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vsat-20230630.htm"/>
      <w:bookmarkStart w:id="1" w:name="ksvsat20230630"/>
      <w:bookmarkEnd w:id="0"/>
      <w:bookmarkEnd w:id="1"/>
      <w:r>
        <w:rPr/>
        <w:t> </w:t>
      </w:r>
    </w:p>
    <w:p>
      <w:pPr>
        <w:pStyle w:val="TextBody"/>
        <w:bidi w:val="0"/>
        <w:spacing w:before="0" w:after="0"/>
        <w:jc w:val="center"/>
        <w:rPr>
          <w:rFonts w:ascii="Times New Roman" w:hAnsi="Times New Roman"/>
          <w:sz w:val="20"/>
        </w:rPr>
      </w:pPr>
      <w:r>
        <w:rPr>
          <w:rFonts w:ascii="Arial;sans-serif" w:hAnsi="Arial;sans-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4"/>
        </w:rPr>
        <w:t>Washington, D.C. 20549</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Arial;sans-serif" w:hAnsi="Arial;sans-serif"/>
          <w:b/>
          <w:sz w:val="36"/>
        </w:rPr>
        <w:t>FORM 10-Q</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Arial;sans-serif" w:hAnsi="Arial;sans-serif"/>
          <w:b w:val="false"/>
          <w:sz w:val="16"/>
        </w:rPr>
        <w:t>(Mark One)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728"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For the quarterly period ended June 30, 2023.</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Arial;sans-serif" w:hAnsi="Arial;sans-serif"/>
          <w:b/>
          <w:sz w:val="20"/>
        </w:rPr>
        <w:t>OR</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728"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For the transition period from to .</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Arial;sans-serif" w:hAnsi="Arial;sans-serif"/>
          <w:b/>
          <w:sz w:val="20"/>
        </w:rPr>
        <w:t>Commission File Number (000-21767)</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80" w:after="0"/>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r>
        <w:rPr/>
        <w:t> </w:t>
      </w:r>
    </w:p>
    <w:p>
      <w:pPr>
        <w:pStyle w:val="TextBody"/>
        <w:bidi w:val="0"/>
        <w:spacing w:before="80" w:after="0"/>
        <w:jc w:val="center"/>
        <w:rPr>
          <w:rFonts w:ascii="Times New Roman" w:hAnsi="Times New Roman"/>
          <w:sz w:val="20"/>
        </w:rPr>
      </w:pPr>
      <w:r>
        <w:rPr>
          <w:rFonts w:ascii="Arial;sans-serif" w:hAnsi="Arial;sans-serif"/>
          <w:b/>
          <w:sz w:val="48"/>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(Exact name of registrant as specified in its charter)</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Delaware</w:t>
            </w:r>
          </w:p>
        </w:tc>
        <w:tc>
          <w:tcPr>
            <w:tcW w:w="157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33-0174996</w:t>
            </w:r>
          </w:p>
        </w:tc>
      </w:tr>
      <w:tr>
        <w:trPr/>
        <w:tc>
          <w:tcPr>
            <w:tcW w:w="2521"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(State or other jurisdiction of</w:t>
            </w:r>
          </w:p>
          <w:p>
            <w:pPr>
              <w:pStyle w:val="TableContents"/>
              <w:bidi w:val="0"/>
              <w:spacing w:before="0" w:after="15"/>
              <w:ind w:left="0" w:right="0" w:hanging="0"/>
              <w:jc w:val="center"/>
              <w:rPr>
                <w:rFonts w:ascii="Arial;sans-serif" w:hAnsi="Arial;sans-serif"/>
                <w:b/>
                <w:sz w:val="16"/>
              </w:rPr>
            </w:pPr>
            <w:r>
              <w:rPr>
                <w:rFonts w:ascii="Arial;sans-serif" w:hAnsi="Arial;sans-serif"/>
                <w:b/>
                <w:sz w:val="16"/>
              </w:rPr>
              <w:t>incorporation or organization)</w:t>
            </w:r>
          </w:p>
        </w:tc>
        <w:tc>
          <w:tcPr>
            <w:tcW w:w="157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(I.R.S. Employer</w:t>
            </w:r>
          </w:p>
          <w:p>
            <w:pPr>
              <w:pStyle w:val="TableContents"/>
              <w:bidi w:val="0"/>
              <w:spacing w:before="0" w:after="15"/>
              <w:ind w:left="0" w:right="0" w:hanging="0"/>
              <w:jc w:val="center"/>
              <w:rPr>
                <w:rFonts w:ascii="Arial;sans-serif" w:hAnsi="Arial;sans-serif"/>
                <w:b/>
                <w:sz w:val="16"/>
              </w:rPr>
            </w:pPr>
            <w:r>
              <w:rPr>
                <w:rFonts w:ascii="Arial;sans-serif" w:hAnsi="Arial;sans-serif"/>
                <w:b/>
                <w:sz w:val="16"/>
              </w:rPr>
              <w:t>Identification No.)</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Arial;sans-serif" w:hAnsi="Arial;sans-serif"/>
          <w:b/>
          <w:sz w:val="20"/>
        </w:rPr>
        <w:t>6155 El Camino Real</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Carlsbad, California</w:t>
      </w:r>
      <w:r>
        <w:rPr>
          <w:rFonts w:ascii="Times New Roman" w:hAnsi="Times New Roman"/>
          <w:sz w:val="20"/>
        </w:rPr>
        <w:t xml:space="preserve"> </w:t>
      </w:r>
      <w:r>
        <w:rPr>
          <w:rFonts w:ascii="Arial;sans-serif" w:hAnsi="Arial;sans-serif"/>
          <w:b/>
          <w:sz w:val="20"/>
        </w:rPr>
        <w:t>92009</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(760) 476-2200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16"/>
        </w:rPr>
        <w:t>(Address of principal executive offices and telephone number)</w:t>
      </w:r>
      <w:r>
        <w:rPr>
          <w:rFonts w:ascii="Times New Roman" w:hAnsi="Times New Roman"/>
          <w:sz w:val="20"/>
        </w:rPr>
        <w:t xml:space="preserve"> </w:t>
      </w:r>
    </w:p>
    <w:p>
      <w:pPr>
        <w:pStyle w:val="TextBody"/>
        <w:bidi w:val="0"/>
        <w:spacing w:before="45" w:after="0"/>
        <w:jc w:val="center"/>
        <w:rPr>
          <w:rFonts w:ascii="Times New Roman" w:hAnsi="Times New Roman"/>
          <w:sz w:val="20"/>
        </w:rPr>
      </w:pPr>
      <w:r>
        <w:rPr>
          <w:rFonts w:ascii="Arial;sans-serif" w:hAnsi="Arial;sans-serif"/>
          <w:b/>
          <w:sz w:val="18"/>
        </w:rPr>
        <w:t>Securities registered pursuant to Section 12(b) of the Act:</w:t>
      </w:r>
      <w:r>
        <w:rPr>
          <w:rFonts w:ascii="Times New Roman" w:hAnsi="Times New Roman"/>
          <w:sz w:val="20"/>
        </w:rPr>
        <w:t xml:space="preserve"> </w:t>
      </w:r>
    </w:p>
    <w:p>
      <w:pPr>
        <w:pStyle w:val="TextBody"/>
        <w:bidi w:val="0"/>
        <w:spacing w:before="0" w:after="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(Name of Each Exchange on which Registered)</w:t>
            </w:r>
          </w:p>
        </w:tc>
      </w:tr>
      <w:tr>
        <w:trPr/>
        <w:tc>
          <w:tcPr>
            <w:tcW w:w="3916"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Common Stock, par value $0.0001 per share</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VSAT</w:t>
            </w:r>
          </w:p>
        </w:tc>
        <w:tc>
          <w:tcPr>
            <w:tcW w:w="14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The Nasdaq Stock Market LLC</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20"/>
        </w:rPr>
        <w:t xml:space="preserve">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20"/>
        </w:rPr>
        <w:t xml:space="preserve">No </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The number of shares outstanding of the registrant’s common stock, $0.0001 par value, as of July 21, 2023 was 124,054,755.</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TABLE OF CONTENTS</w:t>
      </w:r>
      <w:r>
        <w:rPr>
          <w:rFonts w:ascii="Times New Roman" w:hAnsi="Times New Roman"/>
          <w:sz w:val="20"/>
        </w:rPr>
        <w:t xml:space="preserve">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Page</w:t>
            </w:r>
          </w:p>
        </w:tc>
      </w:tr>
      <w:tr>
        <w:trPr/>
        <w:tc>
          <w:tcPr>
            <w:tcW w:w="8536" w:type="dxa"/>
            <w:tcBorders/>
            <w:vAlign w:val="center"/>
          </w:tcPr>
          <w:p>
            <w:pPr>
              <w:pStyle w:val="TableContents"/>
              <w:bidi w:val="0"/>
              <w:spacing w:before="0" w:after="0"/>
              <w:ind w:left="0" w:right="0" w:hanging="0"/>
              <w:jc w:val="left"/>
              <w:rPr/>
            </w:pPr>
            <w:hyperlink w:anchor="part_i_financial_information">
              <w:r>
                <w:rPr>
                  <w:rStyle w:val="InternetLink"/>
                  <w:rFonts w:ascii="Arial;sans-serif" w:hAnsi="Arial;sans-serif"/>
                  <w:b/>
                  <w:sz w:val="20"/>
                  <w:u w:val="single"/>
                </w:rPr>
                <w:t>PART I. FINANCIAL INFORMATION</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536" w:type="dxa"/>
            <w:tcBorders/>
            <w:vAlign w:val="center"/>
          </w:tcPr>
          <w:p>
            <w:pPr>
              <w:pStyle w:val="TableContents"/>
              <w:bidi w:val="0"/>
              <w:spacing w:before="0" w:after="0"/>
              <w:ind w:left="0" w:right="0" w:hanging="0"/>
              <w:jc w:val="left"/>
              <w:rPr/>
            </w:pPr>
            <w:hyperlink w:anchor="item_1_financial_statements_unaudited">
              <w:r>
                <w:rPr>
                  <w:rStyle w:val="InternetLink"/>
                  <w:rFonts w:ascii="Arial;sans-serif" w:hAnsi="Arial;sans-serif"/>
                  <w:b w:val="false"/>
                  <w:sz w:val="20"/>
                  <w:u w:val="single"/>
                </w:rPr>
                <w:t>Item 1. Financial Statements (Unaudited)</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firstLine="490"/>
              <w:jc w:val="right"/>
              <w:rPr>
                <w:rFonts w:ascii="Arial;sans-serif" w:hAnsi="Arial;sans-serif"/>
                <w:b w:val="false"/>
                <w:sz w:val="20"/>
              </w:rPr>
            </w:pPr>
            <w:r>
              <w:rPr>
                <w:rFonts w:ascii="Arial;sans-serif" w:hAnsi="Arial;sans-serif"/>
                <w:b w:val="false"/>
                <w:sz w:val="20"/>
              </w:rPr>
              <w:t>3</w:t>
            </w:r>
          </w:p>
        </w:tc>
      </w:tr>
      <w:tr>
        <w:trPr/>
        <w:tc>
          <w:tcPr>
            <w:tcW w:w="8536" w:type="dxa"/>
            <w:tcBorders/>
            <w:vAlign w:val="center"/>
          </w:tcPr>
          <w:p>
            <w:pPr>
              <w:pStyle w:val="TableContents"/>
              <w:bidi w:val="0"/>
              <w:spacing w:before="0" w:after="0"/>
              <w:ind w:left="490" w:right="0" w:hanging="0"/>
              <w:jc w:val="left"/>
              <w:rPr/>
            </w:pPr>
            <w:hyperlink w:anchor="condensed_consolidated_balance_sheets">
              <w:r>
                <w:rPr>
                  <w:rStyle w:val="InternetLink"/>
                  <w:rFonts w:ascii="Arial;sans-serif" w:hAnsi="Arial;sans-serif"/>
                  <w:b w:val="false"/>
                  <w:sz w:val="20"/>
                  <w:u w:val="single"/>
                </w:rPr>
                <w:t>Condensed Consolidated Balance Sheets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firstLine="490"/>
              <w:jc w:val="right"/>
              <w:rPr>
                <w:rFonts w:ascii="Arial;sans-serif" w:hAnsi="Arial;sans-serif"/>
                <w:b w:val="false"/>
                <w:sz w:val="20"/>
              </w:rPr>
            </w:pPr>
            <w:r>
              <w:rPr>
                <w:rFonts w:ascii="Arial;sans-serif" w:hAnsi="Arial;sans-serif"/>
                <w:b w:val="false"/>
                <w:sz w:val="20"/>
              </w:rPr>
              <w:t>3</w:t>
            </w:r>
          </w:p>
        </w:tc>
      </w:tr>
      <w:tr>
        <w:trPr/>
        <w:tc>
          <w:tcPr>
            <w:tcW w:w="8536" w:type="dxa"/>
            <w:tcBorders/>
            <w:vAlign w:val="center"/>
          </w:tcPr>
          <w:p>
            <w:pPr>
              <w:pStyle w:val="TableContents"/>
              <w:bidi w:val="0"/>
              <w:spacing w:before="0" w:after="0"/>
              <w:ind w:left="490" w:right="0" w:hanging="0"/>
              <w:jc w:val="left"/>
              <w:rPr/>
            </w:pPr>
            <w:hyperlink w:anchor="condensed_consolidated_statements_operat">
              <w:r>
                <w:rPr>
                  <w:rStyle w:val="InternetLink"/>
                  <w:rFonts w:ascii="Arial;sans-serif" w:hAnsi="Arial;sans-serif"/>
                  <w:b w:val="false"/>
                  <w:sz w:val="20"/>
                  <w:u w:val="single"/>
                </w:rPr>
                <w:t>Condensed Consolidated Statements of Operations and Comprehensive Income (Loss)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firstLine="490"/>
              <w:jc w:val="right"/>
              <w:rPr>
                <w:rFonts w:ascii="Arial;sans-serif" w:hAnsi="Arial;sans-serif"/>
                <w:b w:val="false"/>
                <w:sz w:val="20"/>
              </w:rPr>
            </w:pPr>
            <w:r>
              <w:rPr>
                <w:rFonts w:ascii="Arial;sans-serif" w:hAnsi="Arial;sans-serif"/>
                <w:b w:val="false"/>
                <w:sz w:val="20"/>
              </w:rPr>
              <w:t>4</w:t>
            </w:r>
          </w:p>
        </w:tc>
      </w:tr>
      <w:tr>
        <w:trPr/>
        <w:tc>
          <w:tcPr>
            <w:tcW w:w="8536" w:type="dxa"/>
            <w:tcBorders/>
            <w:vAlign w:val="center"/>
          </w:tcPr>
          <w:p>
            <w:pPr>
              <w:pStyle w:val="TableContents"/>
              <w:bidi w:val="0"/>
              <w:spacing w:before="0" w:after="0"/>
              <w:ind w:left="490" w:right="0" w:hanging="0"/>
              <w:jc w:val="left"/>
              <w:rPr/>
            </w:pPr>
            <w:hyperlink w:anchor="condensed_consolidated_statements_cash_f">
              <w:r>
                <w:rPr>
                  <w:rStyle w:val="InternetLink"/>
                  <w:rFonts w:ascii="Arial;sans-serif" w:hAnsi="Arial;sans-serif"/>
                  <w:b w:val="false"/>
                  <w:sz w:val="20"/>
                  <w:u w:val="single"/>
                </w:rPr>
                <w:t>Condensed Consolidated Statements of Cash Flows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firstLine="490"/>
              <w:jc w:val="right"/>
              <w:rPr>
                <w:rFonts w:ascii="Arial;sans-serif" w:hAnsi="Arial;sans-serif"/>
                <w:b w:val="false"/>
                <w:sz w:val="20"/>
              </w:rPr>
            </w:pPr>
            <w:r>
              <w:rPr>
                <w:rFonts w:ascii="Arial;sans-serif" w:hAnsi="Arial;sans-serif"/>
                <w:b w:val="false"/>
                <w:sz w:val="20"/>
              </w:rPr>
              <w:t>5</w:t>
            </w:r>
          </w:p>
        </w:tc>
      </w:tr>
      <w:tr>
        <w:trPr/>
        <w:tc>
          <w:tcPr>
            <w:tcW w:w="8536" w:type="dxa"/>
            <w:tcBorders/>
            <w:vAlign w:val="center"/>
          </w:tcPr>
          <w:p>
            <w:pPr>
              <w:pStyle w:val="TableContents"/>
              <w:bidi w:val="0"/>
              <w:spacing w:before="0" w:after="0"/>
              <w:ind w:left="490" w:right="0" w:hanging="0"/>
              <w:jc w:val="left"/>
              <w:rPr/>
            </w:pPr>
            <w:hyperlink w:anchor="condensed_consolidated_statement_equity">
              <w:r>
                <w:rPr>
                  <w:rStyle w:val="InternetLink"/>
                  <w:rFonts w:ascii="Arial;sans-serif" w:hAnsi="Arial;sans-serif"/>
                  <w:b w:val="false"/>
                  <w:sz w:val="20"/>
                  <w:u w:val="single"/>
                </w:rPr>
                <w:t>Condensed Consolidated Statements of Equity</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firstLine="490"/>
              <w:jc w:val="right"/>
              <w:rPr>
                <w:rFonts w:ascii="Arial;sans-serif" w:hAnsi="Arial;sans-serif"/>
                <w:b w:val="false"/>
                <w:sz w:val="20"/>
              </w:rPr>
            </w:pPr>
            <w:r>
              <w:rPr>
                <w:rFonts w:ascii="Arial;sans-serif" w:hAnsi="Arial;sans-serif"/>
                <w:b w:val="false"/>
                <w:sz w:val="20"/>
              </w:rPr>
              <w:t>6</w:t>
            </w:r>
          </w:p>
        </w:tc>
      </w:tr>
      <w:tr>
        <w:trPr/>
        <w:tc>
          <w:tcPr>
            <w:tcW w:w="8536" w:type="dxa"/>
            <w:tcBorders/>
            <w:vAlign w:val="center"/>
          </w:tcPr>
          <w:p>
            <w:pPr>
              <w:pStyle w:val="TableContents"/>
              <w:bidi w:val="0"/>
              <w:spacing w:before="0" w:after="0"/>
              <w:ind w:left="490" w:right="0" w:hanging="0"/>
              <w:jc w:val="left"/>
              <w:rPr/>
            </w:pPr>
            <w:hyperlink w:anchor="notes_to_condensed_consolidated_financia">
              <w:r>
                <w:rPr>
                  <w:rStyle w:val="InternetLink"/>
                  <w:rFonts w:ascii="Arial;sans-serif" w:hAnsi="Arial;sans-serif"/>
                  <w:b w:val="false"/>
                  <w:sz w:val="20"/>
                  <w:u w:val="single"/>
                </w:rPr>
                <w:t>Notes to the Condensed Consolidated Financial Statements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r>
      <w:tr>
        <w:trPr/>
        <w:tc>
          <w:tcPr>
            <w:tcW w:w="8536" w:type="dxa"/>
            <w:tcBorders/>
            <w:vAlign w:val="center"/>
          </w:tcPr>
          <w:p>
            <w:pPr>
              <w:pStyle w:val="TableContents"/>
              <w:bidi w:val="0"/>
              <w:spacing w:before="0" w:after="0"/>
              <w:ind w:left="0" w:right="0" w:hanging="0"/>
              <w:jc w:val="left"/>
              <w:rPr/>
            </w:pPr>
            <w:hyperlink w:anchor="item_2_managements_discussion_analysis_f">
              <w:r>
                <w:rPr>
                  <w:rStyle w:val="InternetLink"/>
                  <w:rFonts w:ascii="Arial;sans-serif" w:hAnsi="Arial;sans-serif"/>
                  <w:b w:val="false"/>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r>
      <w:tr>
        <w:trPr/>
        <w:tc>
          <w:tcPr>
            <w:tcW w:w="8536" w:type="dxa"/>
            <w:tcBorders/>
            <w:vAlign w:val="center"/>
          </w:tcPr>
          <w:p>
            <w:pPr>
              <w:pStyle w:val="TableContents"/>
              <w:bidi w:val="0"/>
              <w:spacing w:before="0" w:after="0"/>
              <w:ind w:left="0" w:right="0" w:hanging="0"/>
              <w:jc w:val="left"/>
              <w:rPr/>
            </w:pPr>
            <w:hyperlink w:anchor="item_3_quantitative_qualitative_disclosu">
              <w:r>
                <w:rPr>
                  <w:rStyle w:val="InternetLink"/>
                  <w:rFonts w:ascii="Arial;sans-serif" w:hAnsi="Arial;sans-serif"/>
                  <w:b w:val="false"/>
                  <w:sz w:val="20"/>
                  <w:u w:val="single"/>
                </w:rPr>
                <w:t>Item 3. Quantitative and Qualitative Disclosures About Market Risk</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w:t>
            </w:r>
          </w:p>
        </w:tc>
      </w:tr>
      <w:tr>
        <w:trPr/>
        <w:tc>
          <w:tcPr>
            <w:tcW w:w="8536" w:type="dxa"/>
            <w:tcBorders/>
            <w:vAlign w:val="center"/>
          </w:tcPr>
          <w:p>
            <w:pPr>
              <w:pStyle w:val="TableContents"/>
              <w:bidi w:val="0"/>
              <w:spacing w:before="0" w:after="0"/>
              <w:ind w:left="0" w:right="0" w:hanging="0"/>
              <w:jc w:val="left"/>
              <w:rPr/>
            </w:pPr>
            <w:hyperlink w:anchor="item_4_controls_procedures">
              <w:r>
                <w:rPr>
                  <w:rStyle w:val="InternetLink"/>
                  <w:rFonts w:ascii="Arial;sans-serif" w:hAnsi="Arial;sans-serif"/>
                  <w:b w:val="false"/>
                  <w:sz w:val="20"/>
                  <w:u w:val="single"/>
                </w:rPr>
                <w:t>Item 4. Controls and Procedures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w:t>
            </w:r>
          </w:p>
        </w:tc>
      </w:tr>
      <w:tr>
        <w:trPr/>
        <w:tc>
          <w:tcPr>
            <w:tcW w:w="8536" w:type="dxa"/>
            <w:tcBorders/>
            <w:vAlign w:val="center"/>
          </w:tcPr>
          <w:p>
            <w:pPr>
              <w:pStyle w:val="TableContents"/>
              <w:bidi w:val="0"/>
              <w:spacing w:before="0" w:after="0"/>
              <w:ind w:left="0" w:right="0" w:hanging="0"/>
              <w:jc w:val="left"/>
              <w:rPr/>
            </w:pPr>
            <w:hyperlink w:anchor="part_ii_or_information">
              <w:r>
                <w:rPr>
                  <w:rStyle w:val="InternetLink"/>
                  <w:rFonts w:ascii="Arial;sans-serif" w:hAnsi="Arial;sans-serif"/>
                  <w:b/>
                  <w:sz w:val="20"/>
                  <w:u w:val="single"/>
                </w:rPr>
                <w:t>PART II. OTHER INFORMATION</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536" w:type="dxa"/>
            <w:tcBorders/>
            <w:vAlign w:val="center"/>
          </w:tcPr>
          <w:p>
            <w:pPr>
              <w:pStyle w:val="TableContents"/>
              <w:bidi w:val="0"/>
              <w:spacing w:before="0" w:after="0"/>
              <w:ind w:left="0" w:right="0" w:hanging="0"/>
              <w:jc w:val="left"/>
              <w:rPr/>
            </w:pPr>
            <w:hyperlink w:anchor="item_1_legal_proceedings">
              <w:r>
                <w:rPr>
                  <w:rStyle w:val="InternetLink"/>
                  <w:rFonts w:ascii="Arial;sans-serif" w:hAnsi="Arial;sans-serif"/>
                  <w:b w:val="false"/>
                  <w:sz w:val="20"/>
                  <w:u w:val="single"/>
                </w:rPr>
                <w:t>Item 1. Legal Proceedings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w:t>
            </w:r>
          </w:p>
        </w:tc>
      </w:tr>
      <w:tr>
        <w:trPr/>
        <w:tc>
          <w:tcPr>
            <w:tcW w:w="8536" w:type="dxa"/>
            <w:tcBorders/>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20"/>
                  <w:u w:val="single"/>
                </w:rPr>
                <w:t>Item 1A. Risk Factors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w:t>
            </w:r>
          </w:p>
        </w:tc>
      </w:tr>
      <w:tr>
        <w:trPr/>
        <w:tc>
          <w:tcPr>
            <w:tcW w:w="8536" w:type="dxa"/>
            <w:tcBorders/>
            <w:vAlign w:val="center"/>
          </w:tcPr>
          <w:p>
            <w:pPr>
              <w:pStyle w:val="TableContents"/>
              <w:bidi w:val="0"/>
              <w:spacing w:before="0" w:after="0"/>
              <w:ind w:left="0" w:right="0" w:hanging="0"/>
              <w:jc w:val="left"/>
              <w:rPr/>
            </w:pPr>
            <w:hyperlink w:anchor="item_5_other_information">
              <w:r>
                <w:rPr>
                  <w:rStyle w:val="InternetLink"/>
                  <w:rFonts w:ascii="Arial;sans-serif" w:hAnsi="Arial;sans-serif"/>
                  <w:b w:val="false"/>
                  <w:sz w:val="20"/>
                  <w:u w:val="single"/>
                </w:rPr>
                <w:t>Item 5. Other Information</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w:t>
            </w:r>
          </w:p>
        </w:tc>
      </w:tr>
      <w:tr>
        <w:trPr/>
        <w:tc>
          <w:tcPr>
            <w:tcW w:w="8536" w:type="dxa"/>
            <w:tcBorders/>
            <w:vAlign w:val="center"/>
          </w:tcPr>
          <w:p>
            <w:pPr>
              <w:pStyle w:val="TableContents"/>
              <w:bidi w:val="0"/>
              <w:spacing w:before="0" w:after="0"/>
              <w:ind w:left="0" w:right="0" w:hanging="0"/>
              <w:jc w:val="left"/>
              <w:rPr/>
            </w:pPr>
            <w:hyperlink w:anchor="item_6_exhibits">
              <w:r>
                <w:rPr>
                  <w:rStyle w:val="InternetLink"/>
                  <w:rFonts w:ascii="Arial;sans-serif" w:hAnsi="Arial;sans-serif"/>
                  <w:b w:val="false"/>
                  <w:sz w:val="20"/>
                  <w:u w:val="single"/>
                </w:rPr>
                <w:t>Item 6. Exhibits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w:t>
            </w:r>
          </w:p>
        </w:tc>
      </w:tr>
      <w:tr>
        <w:trPr/>
        <w:tc>
          <w:tcPr>
            <w:tcW w:w="8536" w:type="dxa"/>
            <w:tcBorders/>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146" w:type="dxa"/>
            <w:tcBorders/>
            <w:vAlign w:val="center"/>
          </w:tcPr>
          <w:p>
            <w:pPr>
              <w:pStyle w:val="TableContents"/>
              <w:bidi w:val="0"/>
              <w:spacing w:before="0" w:after="0"/>
              <w:ind w:left="0" w:right="0" w:hanging="0"/>
              <w:jc w:val="right"/>
              <w:rPr/>
            </w:pPr>
            <w:r>
              <w:rPr/>
              <w:t> </w:t>
            </w:r>
          </w:p>
        </w:tc>
        <w:tc>
          <w:tcPr>
            <w:tcW w:w="746"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 w:name="part_i_financial_information"/>
      <w:bookmarkEnd w:id="2"/>
      <w:r>
        <w:rPr>
          <w:rFonts w:ascii="Arial;sans-serif" w:hAnsi="Arial;sans-serif"/>
          <w:b/>
          <w:sz w:val="20"/>
        </w:rPr>
        <w:t>PART I — FINANCIAL INFORMATION</w:t>
      </w:r>
      <w:r>
        <w:rPr>
          <w:rFonts w:ascii="Times New Roman" w:hAnsi="Times New Roman"/>
          <w:sz w:val="20"/>
        </w:rPr>
        <w:t xml:space="preserve"> </w:t>
      </w:r>
    </w:p>
    <w:p>
      <w:pPr>
        <w:pStyle w:val="TextBody"/>
        <w:bidi w:val="0"/>
        <w:spacing w:before="90" w:after="0"/>
        <w:jc w:val="left"/>
        <w:rPr>
          <w:rFonts w:ascii="Times New Roman" w:hAnsi="Times New Roman"/>
          <w:sz w:val="20"/>
        </w:rPr>
      </w:pPr>
      <w:bookmarkStart w:id="3" w:name="item_1_financial_statements_unaudited"/>
      <w:bookmarkEnd w:id="3"/>
      <w:r>
        <w:rPr>
          <w:rFonts w:ascii="Arial;sans-serif" w:hAnsi="Arial;sans-serif"/>
          <w:b/>
          <w:sz w:val="20"/>
        </w:rPr>
        <w:t>Item 1. Financial Statements (Unaudited)</w:t>
      </w:r>
      <w:r>
        <w:rPr>
          <w:rFonts w:ascii="Times New Roman" w:hAnsi="Times New Roman"/>
          <w:sz w:val="20"/>
        </w:rPr>
        <w:t xml:space="preserve"> </w:t>
      </w:r>
    </w:p>
    <w:p>
      <w:pPr>
        <w:pStyle w:val="TextBody"/>
        <w:bidi w:val="0"/>
        <w:spacing w:before="18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densed_consolidated_balance_sheets"/>
      <w:bookmarkEnd w:id="4"/>
      <w:r>
        <w:rPr>
          <w:rFonts w:ascii="Arial;sans-serif" w:hAnsi="Arial;sans-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(UNAUDITED)</w:t>
      </w:r>
      <w:r>
        <w:rPr>
          <w:rFonts w:ascii="Times New Roman" w:hAnsi="Times New Roman"/>
          <w:sz w:val="20"/>
        </w:rPr>
        <w:t xml:space="preserve"> </w:t>
      </w:r>
    </w:p>
    <w:p>
      <w:pPr>
        <w:pStyle w:val="TextBody"/>
        <w:bidi w:val="0"/>
        <w:spacing w:before="0" w:after="0"/>
        <w:jc w:val="left"/>
        <w:rPr/>
      </w:pPr>
      <w:r>
        <w:rPr/>
        <w:t> </w:t>
      </w:r>
    </w:p>
    <w:tbl>
      <w:tblPr>
        <w:tblW w:w="8157" w:type="dxa"/>
        <w:jc w:val="left"/>
        <w:tblInd w:w="0" w:type="dxa"/>
        <w:tblLayout w:type="fixed"/>
        <w:tblCellMar>
          <w:top w:w="28" w:type="dxa"/>
          <w:left w:w="28" w:type="dxa"/>
          <w:bottom w:w="28" w:type="dxa"/>
          <w:right w:w="28" w:type="dxa"/>
        </w:tblCellMar>
      </w:tblPr>
      <w:tblGrid>
        <w:gridCol w:w="4366"/>
        <w:gridCol w:w="146"/>
        <w:gridCol w:w="211"/>
        <w:gridCol w:w="1066"/>
        <w:gridCol w:w="166"/>
        <w:gridCol w:w="146"/>
        <w:gridCol w:w="235"/>
        <w:gridCol w:w="1070"/>
        <w:gridCol w:w="75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4"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751" w:type="dxa"/>
            <w:tcBorders/>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ASSETS</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1,958,506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1,348,854</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30,532</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receivable, net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630,530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419,934</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Inventories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335,561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268,563</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333,642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176,629</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current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3,426,469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2,244,512</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283"/>
              <w:ind w:left="0" w:right="0" w:firstLine="28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equipment and satellites, net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9,162,891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4,378,283</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right-of-use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442,654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281,757</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acquired intangible assets, net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2,546,130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201,205</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1,592,057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158,542</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727,405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466,038</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17,897,606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7,730,337</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LIABILITIES AND EQUITY</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377,638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271,548</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and other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1,034,065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647,232</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 portion of long-term debt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37,939</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current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1,471,460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956,719</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283"/>
              <w:ind w:left="0" w:right="0" w:firstLine="28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notes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3,610,544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1,689,186</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debt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3,607,750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732,315</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operating lease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419,888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273,006</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2,812,092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218,542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11,921,734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3,869,768</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Commitments and contingencies</w:t>
            </w:r>
            <w:r>
              <w:rPr>
                <w:rFonts w:ascii="Times New Roman" w:hAnsi="Times New Roman"/>
                <w:sz w:val="20"/>
              </w:rPr>
              <w:t> </w:t>
            </w:r>
            <w:r>
              <w:rPr>
                <w:rFonts w:ascii="Arial;sans-serif" w:hAnsi="Arial;sans-serif"/>
                <w:b w:val="false"/>
                <w:sz w:val="20"/>
              </w:rPr>
              <w:t>(Note 10)</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Viasat, Inc. stockholders’ equity</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Common stock</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Paid-in capital</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4,718,054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2,540,679</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Retained earnings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1,241,332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1,318,336</w:t>
            </w:r>
          </w:p>
        </w:tc>
        <w:tc>
          <w:tcPr>
            <w:tcW w:w="751" w:type="dxa"/>
            <w:tcBorders/>
            <w:vAlign w:val="center"/>
          </w:tcPr>
          <w:p>
            <w:pPr>
              <w:pStyle w:val="TableContents"/>
              <w:bidi w:val="0"/>
              <w:spacing w:before="0" w:after="0"/>
              <w:ind w:left="0" w:right="0" w:firstLine="280"/>
              <w:jc w:val="left"/>
              <w:rPr/>
            </w:pPr>
            <w:r>
              <w:rPr/>
              <w:t> </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Accumulated other comprehensive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(34,713</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3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Viasat, Inc. stockholders’ equity</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5,939,510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3,824,310</w:t>
            </w:r>
          </w:p>
        </w:tc>
        <w:tc>
          <w:tcPr>
            <w:tcW w:w="75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Noncontrolling interest in subsidiary</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36,259</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4366"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equity</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5,975,872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3,860,569</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140"/>
              <w:jc w:val="left"/>
              <w:rPr/>
            </w:pPr>
            <w:r>
              <w:rPr/>
              <w:t> </w:t>
            </w:r>
          </w:p>
        </w:tc>
      </w:tr>
      <w:tr>
        <w:trPr/>
        <w:tc>
          <w:tcPr>
            <w:tcW w:w="4366" w:type="dxa"/>
            <w:tcBorders/>
            <w:vAlign w:val="center"/>
          </w:tcPr>
          <w:p>
            <w:pPr>
              <w:pStyle w:val="TableContents"/>
              <w:bidi w:val="0"/>
              <w:spacing w:before="0" w:after="0"/>
              <w:ind w:left="140" w:right="0" w:hanging="0"/>
              <w:jc w:val="left"/>
              <w:rPr>
                <w:rFonts w:ascii="Arial;sans-serif" w:hAnsi="Arial;sans-serif"/>
                <w:b w:val="false"/>
                <w:sz w:val="20"/>
              </w:rPr>
            </w:pPr>
            <w:r>
              <w:rPr>
                <w:rFonts w:ascii="Arial;sans-serif" w:hAnsi="Arial;sans-serif"/>
                <w:b w:val="false"/>
                <w:sz w:val="20"/>
              </w:rPr>
              <w:t>Total liabilities and equity</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17,897,606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7,730,337</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sz w:val="20"/>
        </w:rPr>
        <w:t>See accompanying notes to the condensed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densed_consolidated_statements_operat"/>
      <w:bookmarkEnd w:id="5"/>
      <w:r>
        <w:rPr>
          <w:rFonts w:ascii="Arial;sans-serif" w:hAnsi="Arial;sans-serif"/>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AND COMPREHENSIVE INCOME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(UNAUDITED)</w:t>
      </w:r>
      <w:r>
        <w:rPr>
          <w:rFonts w:ascii="Times New Roman" w:hAnsi="Times New Roman"/>
          <w:sz w:val="20"/>
        </w:rPr>
        <w:t xml:space="preserve"> </w:t>
      </w:r>
    </w:p>
    <w:p>
      <w:pPr>
        <w:pStyle w:val="TextBody"/>
        <w:bidi w:val="0"/>
        <w:spacing w:before="0" w:after="0"/>
        <w:jc w:val="left"/>
        <w:rPr/>
      </w:pPr>
      <w:r>
        <w:rPr/>
        <w:t> </w:t>
      </w:r>
    </w:p>
    <w:tbl>
      <w:tblPr>
        <w:tblW w:w="8086" w:type="dxa"/>
        <w:jc w:val="left"/>
        <w:tblInd w:w="0" w:type="dxa"/>
        <w:tblLayout w:type="fixed"/>
        <w:tblCellMar>
          <w:top w:w="28" w:type="dxa"/>
          <w:left w:w="28" w:type="dxa"/>
          <w:bottom w:w="28" w:type="dxa"/>
          <w:right w:w="28" w:type="dxa"/>
        </w:tblCellMar>
      </w:tblPr>
      <w:tblGrid>
        <w:gridCol w:w="5041"/>
        <w:gridCol w:w="146"/>
        <w:gridCol w:w="236"/>
        <w:gridCol w:w="839"/>
        <w:gridCol w:w="180"/>
        <w:gridCol w:w="158"/>
        <w:gridCol w:w="236"/>
        <w:gridCol w:w="839"/>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Three Months Ended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June 30, 2023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8" w:type="dxa"/>
            <w:gridSpan w:val="6"/>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(In thousands, except per share data)</w:t>
            </w:r>
          </w:p>
        </w:tc>
        <w:tc>
          <w:tcPr>
            <w:tcW w:w="411" w:type="dxa"/>
            <w:tcBorders/>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Revenues: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Product revenues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236,372</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172,495</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Service revenues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543,419</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402,561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revenues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779,791</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575,056</w:t>
            </w:r>
          </w:p>
        </w:tc>
        <w:tc>
          <w:tcPr>
            <w:tcW w:w="411" w:type="dxa"/>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Operating expenses: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Cost of product revenues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197,078</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149,116</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Cost of service revenues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347,833</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268,665</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219,581</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171,625</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Independent research and development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29,004</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34,765</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Amortization of acquired intangible assets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27,811</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7,523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(41,516</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(56,638</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income (expense):</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Interest income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19,189</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123</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(55,939</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(5,873</w:t>
            </w:r>
          </w:p>
        </w:tc>
        <w:tc>
          <w:tcPr>
            <w:tcW w:w="41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Other income, net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1,011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Income (loss) from continuing operations before income taxes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(78,266</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(61,377</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(Provision for) benefit from income taxes from continuing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533</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22,813</w:t>
            </w:r>
          </w:p>
        </w:tc>
        <w:tc>
          <w:tcPr>
            <w:tcW w:w="411" w:type="dxa"/>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Equity in income (loss) of unconsolidated affiliate, net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831</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Net income (loss) from continuing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(76,902</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(38,564</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Net income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17,525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Net income (loss)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(76,902</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(21,039</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Less: net income (loss) attributable to</w:t>
              <w:br/>
              <w:t>   noncontrolling interest, net of tax</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102</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Net income (loss) attributable to Viasat, Inc.</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(77,004</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(21,564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Income (loss) per share attributable</w:t>
              <w:br/>
              <w:t>   to Viasat, Inc. common stockholders - basic:</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Continuing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(0.83</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(0.52</w:t>
            </w:r>
          </w:p>
        </w:tc>
        <w:tc>
          <w:tcPr>
            <w:tcW w:w="41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Discontinued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Income (loss)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(0.83</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(0.29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Income (loss) per share attributable</w:t>
              <w:br/>
              <w:t>   to Viasat, Inc. common stockholders - diluted:</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Continuing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(0.83</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(0.52</w:t>
            </w:r>
          </w:p>
        </w:tc>
        <w:tc>
          <w:tcPr>
            <w:tcW w:w="41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Discontinued operations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Income (loss)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(0.83</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(0.29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 xml:space="preserve">Shares used in computing basic net </w:t>
              <w:br/>
              <w:t>   income (loss) per share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93,106</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74,863</w:t>
            </w:r>
          </w:p>
        </w:tc>
        <w:tc>
          <w:tcPr>
            <w:tcW w:w="411" w:type="dxa"/>
            <w:tcBorders/>
            <w:vAlign w:val="center"/>
          </w:tcPr>
          <w:p>
            <w:pPr>
              <w:pStyle w:val="TableContents"/>
              <w:bidi w:val="0"/>
              <w:spacing w:before="0" w:after="0"/>
              <w:ind w:left="0" w:right="0" w:firstLine="200"/>
              <w:jc w:val="lef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 xml:space="preserve">Shares used in computing diluted net </w:t>
              <w:br/>
              <w:t>   income (loss) per share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93,106</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74,863</w:t>
            </w:r>
          </w:p>
        </w:tc>
        <w:tc>
          <w:tcPr>
            <w:tcW w:w="411" w:type="dxa"/>
            <w:tcBorders/>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 (loss):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Net income (loss)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(76,902</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(21,039</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Foreign currency translation adjustments, net</w:t>
              <w:br/>
              <w:t>   of tax</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8,527</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(20,341</w:t>
            </w:r>
          </w:p>
        </w:tc>
        <w:tc>
          <w:tcPr>
            <w:tcW w:w="41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Unrealized gain (loss) on hedging, net of tax</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6,297</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14,824</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(20,341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 (loss)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(62,078</w:t>
            </w:r>
          </w:p>
        </w:tc>
        <w:tc>
          <w:tcPr>
            <w:tcW w:w="18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(41,380</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Less: comprehensive income (loss) attributable</w:t>
              <w:br/>
              <w:t>   to noncontrolling interest, net of tax</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102</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 (loss) attributable to</w:t>
              <w:br/>
              <w:t>   Viasat, Inc.</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(62,180</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58"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(41,905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bl>
    <w:p>
      <w:pPr>
        <w:pStyle w:val="TextBody"/>
        <w:bidi w:val="0"/>
        <w:spacing w:before="0" w:after="0"/>
        <w:jc w:val="center"/>
        <w:rPr>
          <w:rFonts w:ascii="Times New Roman" w:hAnsi="Times New Roman"/>
          <w:sz w:val="20"/>
        </w:rPr>
      </w:pPr>
      <w:r>
        <w:rPr>
          <w:rFonts w:ascii="Arial;sans-serif" w:hAnsi="Arial;sans-serif"/>
          <w:b w:val="false"/>
          <w:sz w:val="20"/>
        </w:rPr>
        <w:t>See accompanying notes to the condensed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densed_consolidated_statements_cash_f"/>
      <w:bookmarkEnd w:id="6"/>
      <w:r>
        <w:rPr>
          <w:rFonts w:ascii="Arial;sans-serif" w:hAnsi="Arial;sans-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381"/>
        <w:gridCol w:w="146"/>
        <w:gridCol w:w="211"/>
        <w:gridCol w:w="961"/>
        <w:gridCol w:w="166"/>
        <w:gridCol w:w="146"/>
        <w:gridCol w:w="225"/>
        <w:gridCol w:w="916"/>
        <w:gridCol w:w="1053"/>
      </w:tblGrid>
      <w:tr>
        <w:trPr/>
        <w:tc>
          <w:tcPr>
            <w:tcW w:w="6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6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8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Continuing and Discontinued Operations</w:t>
            </w:r>
          </w:p>
        </w:tc>
        <w:tc>
          <w:tcPr>
            <w:tcW w:w="146" w:type="dxa"/>
            <w:tcBorders/>
            <w:vAlign w:val="center"/>
          </w:tcPr>
          <w:p>
            <w:pPr>
              <w:pStyle w:val="TableContents"/>
              <w:bidi w:val="0"/>
              <w:spacing w:before="0" w:after="0"/>
              <w:ind w:left="0" w:right="0" w:hanging="0"/>
              <w:jc w:val="center"/>
              <w:rPr/>
            </w:pPr>
            <w:r>
              <w:rPr/>
              <w:t> </w:t>
            </w:r>
          </w:p>
        </w:tc>
        <w:tc>
          <w:tcPr>
            <w:tcW w:w="2625"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053" w:type="dxa"/>
            <w:tcBorders/>
            <w:vAlign w:val="center"/>
          </w:tcPr>
          <w:p>
            <w:pPr>
              <w:pStyle w:val="TableContents"/>
              <w:bidi w:val="0"/>
              <w:spacing w:before="0" w:after="0"/>
              <w:ind w:left="0" w:right="0" w:hanging="0"/>
              <w:jc w:val="center"/>
              <w:rPr/>
            </w:pPr>
            <w:r>
              <w:rPr/>
              <w:t> </w:t>
            </w:r>
          </w:p>
        </w:tc>
      </w:tr>
      <w:tr>
        <w:trPr/>
        <w:tc>
          <w:tcPr>
            <w:tcW w:w="638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operating activities: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firstLine="280"/>
              <w:jc w:val="righ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(76,902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(21,039</w:t>
            </w:r>
          </w:p>
        </w:tc>
        <w:tc>
          <w:tcPr>
            <w:tcW w:w="10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Adjustments to reconcile net income (loss) to net cash provided by operating activities: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firstLine="560"/>
              <w:jc w:val="righ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Depreciation</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132,011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102,353</w:t>
            </w:r>
          </w:p>
        </w:tc>
        <w:tc>
          <w:tcPr>
            <w:tcW w:w="1053" w:type="dxa"/>
            <w:tcBorders/>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Amortization of intangible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21,734</w:t>
            </w:r>
          </w:p>
        </w:tc>
        <w:tc>
          <w:tcPr>
            <w:tcW w:w="1053" w:type="dxa"/>
            <w:tcBorders/>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Stock-based compensation expense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21,232</w:t>
            </w:r>
          </w:p>
        </w:tc>
        <w:tc>
          <w:tcPr>
            <w:tcW w:w="1053" w:type="dxa"/>
            <w:tcBorders/>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Loss on disposition of fixed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11,150</w:t>
            </w:r>
          </w:p>
        </w:tc>
        <w:tc>
          <w:tcPr>
            <w:tcW w:w="1053" w:type="dxa"/>
            <w:tcBorders/>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Deferred income taxes and other non-cash adjustments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(24,203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(7,569</w:t>
            </w:r>
          </w:p>
        </w:tc>
        <w:tc>
          <w:tcPr>
            <w:tcW w:w="105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Increase (decrease) in cash resulting from changes in operating</w:t>
              <w:br/>
              <w:t>   assets and liabilities, net of effect of acquisition:</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firstLine="560"/>
              <w:jc w:val="righ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(27,102</w:t>
            </w:r>
          </w:p>
        </w:tc>
        <w:tc>
          <w:tcPr>
            <w:tcW w:w="1053"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Inventories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(34,684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(20,563</w:t>
            </w:r>
          </w:p>
        </w:tc>
        <w:tc>
          <w:tcPr>
            <w:tcW w:w="1053"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(39,564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9,148</w:t>
            </w:r>
          </w:p>
        </w:tc>
        <w:tc>
          <w:tcPr>
            <w:tcW w:w="1053" w:type="dxa"/>
            <w:tcBorders/>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41,509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16,912</w:t>
            </w:r>
          </w:p>
        </w:tc>
        <w:tc>
          <w:tcPr>
            <w:tcW w:w="1053" w:type="dxa"/>
            <w:tcBorders/>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Accrued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(58,969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(50,195</w:t>
            </w:r>
          </w:p>
        </w:tc>
        <w:tc>
          <w:tcPr>
            <w:tcW w:w="1053"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Other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(16,424</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Net cash provided by (used in) operating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39,637</w:t>
            </w:r>
          </w:p>
        </w:tc>
        <w:tc>
          <w:tcPr>
            <w:tcW w:w="1053" w:type="dxa"/>
            <w:tcBorders/>
            <w:vAlign w:val="center"/>
          </w:tcPr>
          <w:p>
            <w:pPr>
              <w:pStyle w:val="TableContents"/>
              <w:bidi w:val="0"/>
              <w:spacing w:before="0" w:after="0"/>
              <w:ind w:left="0" w:right="0" w:hanging="0"/>
              <w:jc w:val="left"/>
              <w:rPr/>
            </w:pPr>
            <w:r>
              <w:rPr/>
              <w:t> </w:t>
            </w:r>
          </w:p>
        </w:tc>
      </w:tr>
      <w:tr>
        <w:trPr/>
        <w:tc>
          <w:tcPr>
            <w:tcW w:w="638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investing activities: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firstLine="280"/>
              <w:jc w:val="righ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Purchase of property, equipment and satellites, and other assets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(374,926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(270,857</w:t>
            </w:r>
          </w:p>
        </w:tc>
        <w:tc>
          <w:tcPr>
            <w:tcW w:w="105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Payment related to acquisition of business, net of cash acquired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(342,621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Payments to acquire short-term investments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Net cash provided by (used in) investing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(769,547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(270,857</w:t>
            </w:r>
          </w:p>
        </w:tc>
        <w:tc>
          <w:tcPr>
            <w:tcW w:w="10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financing activities: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firstLine="280"/>
              <w:jc w:val="righ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Proceeds from debt borrowings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1,334,683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150,000</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Payments on debt borrowings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(18,868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(12,693</w:t>
            </w:r>
          </w:p>
        </w:tc>
        <w:tc>
          <w:tcPr>
            <w:tcW w:w="105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Payments of debt issuance costs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(34,558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(1,511</w:t>
            </w:r>
          </w:p>
        </w:tc>
        <w:tc>
          <w:tcPr>
            <w:tcW w:w="105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Proceeds from issuance of common stock under equity plans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9,626</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Purchase of common stock in treasury (immediately retired) related</w:t>
              <w:br/>
              <w:t>   to tax withholdings for stock-based compensation</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(2,212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(505</w:t>
            </w:r>
          </w:p>
        </w:tc>
        <w:tc>
          <w:tcPr>
            <w:tcW w:w="1053"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financing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(706</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Net cash provided by (used in) financing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1,278,348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144,211</w:t>
            </w:r>
          </w:p>
        </w:tc>
        <w:tc>
          <w:tcPr>
            <w:tcW w:w="1053" w:type="dxa"/>
            <w:tcBorders/>
            <w:vAlign w:val="center"/>
          </w:tcPr>
          <w:p>
            <w:pPr>
              <w:pStyle w:val="TableContents"/>
              <w:bidi w:val="0"/>
              <w:spacing w:before="0" w:after="0"/>
              <w:ind w:left="0" w:right="0" w:hanging="0"/>
              <w:jc w:val="left"/>
              <w:rPr/>
            </w:pPr>
            <w:r>
              <w:rPr/>
              <w:t> </w:t>
            </w:r>
          </w:p>
        </w:tc>
      </w:tr>
      <w:tr>
        <w:trPr/>
        <w:tc>
          <w:tcPr>
            <w:tcW w:w="6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Effect of exchange rate changes on cash</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(1,930</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increase (decrease) in cash and cash equivalents and restricted cash</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613,084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(88,939</w:t>
            </w:r>
          </w:p>
        </w:tc>
        <w:tc>
          <w:tcPr>
            <w:tcW w:w="10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 and restricted cash at beginning of period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1,379,386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310,459</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 and restricted cash at end of period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1,992,470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221,520</w:t>
            </w:r>
          </w:p>
        </w:tc>
        <w:tc>
          <w:tcPr>
            <w:tcW w:w="10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8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Non-cash investing and financing activities: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firstLine="280"/>
              <w:jc w:val="righ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Issuance of common stock in connection with acquisition</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2,123,455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vAlign w:val="center"/>
          </w:tcPr>
          <w:p>
            <w:pPr>
              <w:pStyle w:val="TableContents"/>
              <w:bidi w:val="0"/>
              <w:spacing w:before="0" w:after="0"/>
              <w:ind w:left="0" w:right="0" w:hanging="0"/>
              <w:jc w:val="right"/>
              <w:rPr/>
            </w:pPr>
            <w:r>
              <w:rPr/>
              <w:t>—</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Issuance of common stock in satisfaction of certain accrued compensation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27,619</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Debt issuance costs not paid for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vAlign w:val="center"/>
          </w:tcPr>
          <w:p>
            <w:pPr>
              <w:pStyle w:val="TableContents"/>
              <w:bidi w:val="0"/>
              <w:spacing w:before="0" w:after="0"/>
              <w:ind w:left="0" w:right="0" w:hanging="0"/>
              <w:jc w:val="right"/>
              <w:rPr/>
            </w:pPr>
            <w:r>
              <w:rPr/>
              <w:t>—</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Right-of-use assets obtained in exchange for operating lease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3,750</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Capital expenditures not paid for during the period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17,944</w:t>
            </w:r>
          </w:p>
        </w:tc>
        <w:tc>
          <w:tcPr>
            <w:tcW w:w="1053" w:type="dxa"/>
            <w:tcBorders/>
            <w:vAlign w:val="center"/>
          </w:tcPr>
          <w:p>
            <w:pPr>
              <w:pStyle w:val="TableContents"/>
              <w:bidi w:val="0"/>
              <w:spacing w:before="0" w:after="0"/>
              <w:ind w:left="0" w:right="0" w:hanging="0"/>
              <w:jc w:val="left"/>
              <w:rPr/>
            </w:pPr>
            <w:r>
              <w:rPr/>
              <w:t> </w:t>
            </w:r>
          </w:p>
        </w:tc>
      </w:tr>
      <w:tr>
        <w:trPr/>
        <w:tc>
          <w:tcPr>
            <w:tcW w:w="6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firstLine="280"/>
              <w:jc w:val="left"/>
              <w:rPr/>
            </w:pPr>
            <w:r>
              <w:rPr/>
              <w:t> </w:t>
            </w:r>
          </w:p>
        </w:tc>
      </w:tr>
      <w:tr>
        <w:trPr/>
        <w:tc>
          <w:tcPr>
            <w:tcW w:w="6381" w:type="dxa"/>
            <w:tcBorders/>
            <w:vAlign w:val="center"/>
          </w:tcPr>
          <w:p>
            <w:pPr>
              <w:pStyle w:val="TableContents"/>
              <w:bidi w:val="0"/>
              <w:spacing w:before="0" w:after="0"/>
              <w:ind w:left="28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rFonts w:ascii="Times New Roman" w:hAnsi="Times New Roman"/>
          <w:sz w:val="20"/>
        </w:rPr>
      </w:pPr>
      <w:r>
        <w:rPr>
          <w:rFonts w:ascii="Arial;sans-serif" w:hAnsi="Arial;sans-serif"/>
          <w:b w:val="false"/>
          <w:sz w:val="20"/>
        </w:rPr>
        <w:t>See accompanying notes to the condensed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densed_consolidated_statement_equity"/>
      <w:bookmarkEnd w:id="7"/>
      <w:r>
        <w:rPr>
          <w:rFonts w:ascii="Arial;sans-serif" w:hAnsi="Arial;sans-serif"/>
          <w:b/>
          <w:sz w:val="20"/>
        </w:rPr>
        <w:t>CONDENSED CONSOLIDATED</w:t>
      </w:r>
      <w:r>
        <w:rPr>
          <w:rFonts w:ascii="Times New Roman" w:hAnsi="Times New Roman"/>
          <w:sz w:val="20"/>
        </w:rPr>
        <w:t xml:space="preserve"> </w:t>
      </w:r>
      <w:r>
        <w:rPr>
          <w:rFonts w:ascii="Arial;sans-serif" w:hAnsi="Arial;sans-serif"/>
          <w:b/>
          <w:sz w:val="20"/>
        </w:rPr>
        <w:t>STATEMENTS OF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55"/>
        <w:gridCol w:w="146"/>
        <w:gridCol w:w="146"/>
        <w:gridCol w:w="871"/>
        <w:gridCol w:w="146"/>
        <w:gridCol w:w="146"/>
        <w:gridCol w:w="201"/>
        <w:gridCol w:w="385"/>
        <w:gridCol w:w="146"/>
        <w:gridCol w:w="146"/>
        <w:gridCol w:w="181"/>
        <w:gridCol w:w="721"/>
        <w:gridCol w:w="151"/>
        <w:gridCol w:w="146"/>
        <w:gridCol w:w="181"/>
        <w:gridCol w:w="721"/>
        <w:gridCol w:w="151"/>
        <w:gridCol w:w="146"/>
        <w:gridCol w:w="263"/>
        <w:gridCol w:w="833"/>
        <w:gridCol w:w="151"/>
        <w:gridCol w:w="146"/>
        <w:gridCol w:w="265"/>
        <w:gridCol w:w="771"/>
        <w:gridCol w:w="146"/>
        <w:gridCol w:w="146"/>
        <w:gridCol w:w="181"/>
        <w:gridCol w:w="721"/>
        <w:gridCol w:w="196"/>
      </w:tblGrid>
      <w:tr>
        <w:trPr/>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68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Viasat, Inc. Stockholders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Number of</w:t>
              <w:br/>
              <w:t>Shares</w:t>
              <w:br/>
              <w:t>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Paid-in</w:t>
              <w:b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Accumulated</w:t>
              <w:br/>
              <w:t>Other</w:t>
              <w:br/>
              <w:t>Comprehensive</w:t>
              <w:br/>
              <w:t>Income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Noncontrolling</w:t>
              <w:br/>
              <w:t>Interest in</w:t>
              <w:br/>
              <w:t>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Total</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208" w:type="dxa"/>
            <w:gridSpan w:val="26"/>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(In thousands, except share data)</w:t>
            </w:r>
          </w:p>
        </w:tc>
        <w:tc>
          <w:tcPr>
            <w:tcW w:w="196" w:type="dxa"/>
            <w:tcBorders/>
            <w:vAlign w:val="center"/>
          </w:tcPr>
          <w:p>
            <w:pPr>
              <w:pStyle w:val="TableContents"/>
              <w:bidi w:val="0"/>
              <w:spacing w:before="0" w:after="0"/>
              <w:ind w:left="0" w:right="0" w:hanging="0"/>
              <w:jc w:val="center"/>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For the Three Months Ended June 30, 2023</w:t>
            </w:r>
          </w:p>
        </w:tc>
        <w:tc>
          <w:tcPr>
            <w:tcW w:w="146" w:type="dxa"/>
            <w:tcBorders/>
            <w:vAlign w:val="center"/>
          </w:tcPr>
          <w:p>
            <w:pPr>
              <w:pStyle w:val="TableContents"/>
              <w:bidi w:val="0"/>
              <w:spacing w:before="0" w:after="0"/>
              <w:ind w:left="0" w:right="0" w:hanging="0"/>
              <w:jc w:val="center"/>
              <w:rPr/>
            </w:pPr>
            <w:r>
              <w:rPr/>
              <w:t> </w:t>
            </w:r>
          </w:p>
        </w:tc>
        <w:tc>
          <w:tcPr>
            <w:tcW w:w="10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76,912,016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2,540,679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1,318,336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(34,713</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3,860,569</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Exercise of stock options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82</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24,882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24,882</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settlement of certain accrued</w:t>
              <w:br/>
              <w:t>   employee compensation liabilities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687,851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31,173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31,173</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RSU awards vesting, net of shares withheld for taxes</w:t>
              <w:br/>
              <w:t>   which have been retired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88,619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(2,212</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(2,212</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connection with acquisition of business, net of issuance costs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46,363,636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2,123,450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2,123,455</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noncontrolling interest activity</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Net income (loss)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(77,004</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(76,902</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comprehensive income (loss), net of tax</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14,824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14,824</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124,054,755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4,718,054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1,241,332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(19,889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36,362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5,975,872</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sz w:val="14"/>
              </w:rPr>
            </w:pPr>
            <w:r>
              <w:rPr>
                <w:rFonts w:ascii="Arial;sans-serif" w:hAnsi="Arial;sans-serif"/>
                <w:b/>
                <w:sz w:val="14"/>
              </w:rPr>
              <w:t>For the Three Months Ended June 30, 2022</w:t>
            </w:r>
          </w:p>
        </w:tc>
        <w:tc>
          <w:tcPr>
            <w:tcW w:w="146" w:type="dxa"/>
            <w:tcBorders/>
            <w:vAlign w:val="center"/>
          </w:tcPr>
          <w:p>
            <w:pPr>
              <w:pStyle w:val="TableContents"/>
              <w:bidi w:val="0"/>
              <w:spacing w:before="0" w:after="0"/>
              <w:ind w:left="0" w:right="0" w:hanging="0"/>
              <w:jc w:val="center"/>
              <w:rPr/>
            </w:pPr>
            <w:r>
              <w:rPr/>
              <w:t> </w:t>
            </w:r>
          </w:p>
        </w:tc>
        <w:tc>
          <w:tcPr>
            <w:tcW w:w="10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March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74,428,816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2,421,950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233,530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(21,621</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48,728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2,682,594</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Issuance of stock under Employee Stock Purchase</w:t>
              <w:br/>
              <w:t>   Plan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369,712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9,626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9,626</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24,158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24,158</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Shares issued in settlement of certain accrued</w:t>
              <w:br/>
              <w:t>   employee compensation liabilities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719,989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27,618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27,619</w:t>
            </w:r>
          </w:p>
        </w:tc>
        <w:tc>
          <w:tcPr>
            <w:tcW w:w="196" w:type="dxa"/>
            <w:tcBorders/>
            <w:vAlign w:val="center"/>
          </w:tcPr>
          <w:p>
            <w:pPr>
              <w:pStyle w:val="TableContents"/>
              <w:bidi w:val="0"/>
              <w:spacing w:before="0" w:after="0"/>
              <w:ind w:left="0" w:right="0" w:hanging="0"/>
              <w:jc w:val="left"/>
              <w:rPr/>
            </w:pPr>
            <w:r>
              <w:rPr/>
              <w:t> </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RSU awards vesting, net of shares withheld for taxes</w:t>
              <w:br/>
              <w:t>   which have been retired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33,306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(505</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(505</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Net income (loss)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(21,564</w:t>
            </w:r>
          </w:p>
        </w:tc>
        <w:tc>
          <w:tcPr>
            <w:tcW w:w="151"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(21,039</w:t>
            </w:r>
          </w:p>
        </w:tc>
        <w:tc>
          <w:tcPr>
            <w:tcW w:w="196"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Other comprehensive income (loss), net of tax</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(20,341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(20,341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r>
      <w:tr>
        <w:trPr/>
        <w:tc>
          <w:tcPr>
            <w:tcW w:w="1655" w:type="dxa"/>
            <w:tcBorders/>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Balance at June 30, 2022</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75,551,823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2,482,847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211,966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(41,962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146" w:type="dxa"/>
            <w:tcBorders/>
            <w:vAlign w:val="center"/>
          </w:tcPr>
          <w:p>
            <w:pPr>
              <w:pStyle w:val="TableContents"/>
              <w:bidi w:val="0"/>
              <w:spacing w:before="0" w:after="0"/>
              <w:ind w:left="0" w:right="0" w:hanging="0"/>
              <w:jc w:val="center"/>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49,253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4"/>
              </w:rPr>
            </w:pPr>
            <w:r>
              <w:rPr>
                <w:rFonts w:ascii="Arial;sans-serif" w:hAnsi="Arial;sans-serif"/>
                <w:b w:val="false"/>
                <w:sz w:val="14"/>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4"/>
              </w:rPr>
            </w:pPr>
            <w:r>
              <w:rPr>
                <w:rFonts w:ascii="Arial;sans-serif" w:hAnsi="Arial;sans-serif"/>
                <w:b w:val="false"/>
                <w:sz w:val="14"/>
              </w:rPr>
              <w:t>2,702,112</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See accompanying notes to the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VIASAT,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notes_to_condensed_consolidated_financia"/>
      <w:bookmarkEnd w:id="8"/>
      <w:r>
        <w:rPr>
          <w:rFonts w:ascii="Arial;sans-serif" w:hAnsi="Arial;sans-serif"/>
          <w:b/>
          <w:sz w:val="20"/>
        </w:rPr>
        <w:t>NOTES TO THE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sz w:val="20"/>
        </w:rPr>
        <w:t>(UNAUDITED)</w:t>
      </w:r>
      <w:r>
        <w:rPr>
          <w:rFonts w:ascii="Times New Roman" w:hAnsi="Times New Roman"/>
          <w:sz w:val="20"/>
        </w:rPr>
        <w:t xml:space="preserve"> </w:t>
      </w:r>
    </w:p>
    <w:p>
      <w:pPr>
        <w:pStyle w:val="TextBody"/>
        <w:bidi w:val="0"/>
        <w:spacing w:before="280" w:after="0"/>
        <w:jc w:val="left"/>
        <w:rPr>
          <w:rFonts w:ascii="Arial;sans-serif" w:hAnsi="Arial;sans-serif"/>
          <w:b/>
          <w:sz w:val="20"/>
        </w:rPr>
      </w:pPr>
      <w:r>
        <w:rPr>
          <w:rFonts w:ascii="Arial;sans-serif" w:hAnsi="Arial;sans-serif"/>
          <w:b/>
          <w:sz w:val="20"/>
        </w:rPr>
        <w:t>Note 1 — Basis of Presentation</w:t>
      </w:r>
    </w:p>
    <w:p>
      <w:pPr>
        <w:pStyle w:val="TextBody"/>
        <w:bidi w:val="0"/>
        <w:spacing w:before="80" w:after="0"/>
        <w:jc w:val="left"/>
        <w:rPr>
          <w:rFonts w:ascii="Arial;sans-serif" w:hAnsi="Arial;sans-serif"/>
          <w:b w:val="false"/>
          <w:sz w:val="20"/>
        </w:rPr>
      </w:pPr>
      <w:r>
        <w:rPr>
          <w:rFonts w:ascii="Arial;sans-serif" w:hAnsi="Arial;sans-serif"/>
          <w:b w:val="false"/>
          <w:sz w:val="20"/>
        </w:rPr>
        <w:t>The accompanying condensed consolidated balance sheet at June 30, 2023, the condensed consolidated statements of operations and comprehensive income (loss) for the three months ended June 30, 2023 and 2022, the condensed consolidated statements of cash flows for the three months ended June 30, 2023 and 2022 and the condensed consolidated statements of equity for the three months ended June 30, 2023 and 2022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2023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2023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0"/>
        <w:jc w:val="left"/>
        <w:rPr>
          <w:rFonts w:ascii="Arial;sans-serif" w:hAnsi="Arial;sans-serif"/>
          <w:b w:val="false"/>
          <w:sz w:val="20"/>
        </w:rPr>
      </w:pPr>
      <w:r>
        <w:rPr>
          <w:rFonts w:ascii="Arial;sans-serif" w:hAnsi="Arial;sans-serif"/>
          <w:b w:val="false"/>
          <w:sz w:val="20"/>
        </w:rPr>
        <w:t>The Company’s condensed consolidated financial statements include the assets, liabilities and results of operations of Viasat, its wholly owned subsidiaries and its majority-owned subsidiary, TrellisWare Technologies, Inc.</w:t>
      </w:r>
    </w:p>
    <w:p>
      <w:pPr>
        <w:pStyle w:val="TextBody"/>
        <w:bidi w:val="0"/>
        <w:spacing w:before="180" w:after="0"/>
        <w:jc w:val="left"/>
        <w:rPr>
          <w:rFonts w:ascii="Arial;sans-serif" w:hAnsi="Arial;sans-serif"/>
          <w:b w:val="false"/>
          <w:sz w:val="20"/>
        </w:rPr>
      </w:pPr>
      <w:r>
        <w:rPr>
          <w:rFonts w:ascii="Arial;sans-serif" w:hAnsi="Arial;sans-serif"/>
          <w:b w:val="false"/>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pStyle w:val="TextBody"/>
        <w:bidi w:val="0"/>
        <w:spacing w:before="180" w:after="0"/>
        <w:jc w:val="left"/>
        <w:rPr>
          <w:rFonts w:ascii="Times New Roman" w:hAnsi="Times New Roman"/>
          <w:sz w:val="20"/>
        </w:rPr>
      </w:pPr>
      <w:r>
        <w:rPr>
          <w:rFonts w:ascii="Arial;sans-serif" w:hAnsi="Arial;sans-serif"/>
          <w:b w:val="false"/>
          <w:sz w:val="20"/>
        </w:rPr>
        <w:t>On May 30, 2023, the Company purchased all of the issued and outstanding shares of Connect Topco Limited, a private company limited by shares and incorporated in Guernsey (Inmarsat Holdings and, together with its subsidiaries, Inmarsat) in exchange for approximately $550.7</w:t>
      </w:r>
      <w:r>
        <w:rPr>
          <w:rFonts w:ascii="Times New Roman" w:hAnsi="Times New Roman"/>
          <w:sz w:val="20"/>
        </w:rPr>
        <w:t xml:space="preserve"> </w:t>
      </w:r>
      <w:r>
        <w:rPr>
          <w:rFonts w:ascii="Arial;sans-serif" w:hAnsi="Arial;sans-serif"/>
          <w:b w:val="false"/>
          <w:sz w:val="20"/>
        </w:rPr>
        <w:t>million in cash and 46.36</w:t>
      </w:r>
      <w:r>
        <w:rPr>
          <w:rFonts w:ascii="Times New Roman" w:hAnsi="Times New Roman"/>
          <w:sz w:val="20"/>
        </w:rPr>
        <w:t xml:space="preserve"> </w:t>
      </w:r>
      <w:r>
        <w:rPr>
          <w:rFonts w:ascii="Arial;sans-serif" w:hAnsi="Arial;sans-serif"/>
          <w:b w:val="false"/>
          <w:sz w:val="20"/>
        </w:rPr>
        <w:t>million unregistered shares of the Company’s common stock (the Inmarsat Acquisition). In connection with the closing of the Inmarsat Acquisition, the Company entered into a $616.7 million senior secured term loan facility (the 2023 Term Loan Facility) and a $733.4 million unsecured bridge loan facility (the Bridge Facility), which were fully drawn at closing. See Note 4 – Acquisition and Note 8 – Senior Notes and Other Long-Term Debt for more information. The Inmarsat Acquisition was accounted for as a purchase and accordingly, the condensed consolidated financial statements include the operating results of Inmarsat from the date of acquisition.</w:t>
      </w:r>
    </w:p>
    <w:p>
      <w:pPr>
        <w:pStyle w:val="TextBody"/>
        <w:bidi w:val="0"/>
        <w:spacing w:before="180" w:after="0"/>
        <w:jc w:val="left"/>
        <w:rPr>
          <w:rFonts w:ascii="Times New Roman" w:hAnsi="Times New Roman"/>
          <w:sz w:val="20"/>
        </w:rPr>
      </w:pPr>
      <w:r>
        <w:rPr>
          <w:rFonts w:ascii="Arial;sans-serif" w:hAnsi="Arial;sans-serif"/>
          <w:b w:val="false"/>
          <w:sz w:val="20"/>
        </w:rPr>
        <w:t>In connection with the closing of the Inmarsat Acquisition, the Company's certificate of incorporation was amended to increase the number of shares of common stock authorized for issuance from 100,000,000</w:t>
      </w:r>
      <w:r>
        <w:rPr>
          <w:rFonts w:ascii="Times New Roman" w:hAnsi="Times New Roman"/>
          <w:sz w:val="20"/>
        </w:rPr>
        <w:t xml:space="preserve"> </w:t>
      </w:r>
      <w:r>
        <w:rPr>
          <w:rFonts w:ascii="Arial;sans-serif" w:hAnsi="Arial;sans-serif"/>
          <w:b w:val="false"/>
          <w:sz w:val="20"/>
        </w:rPr>
        <w:t>to 200,000,000</w:t>
      </w:r>
      <w:r>
        <w:rPr>
          <w:rFonts w:ascii="Times New Roman" w:hAnsi="Times New Roman"/>
          <w:sz w:val="20"/>
        </w:rPr>
        <w:t xml:space="preserve"> </w:t>
      </w:r>
      <w:r>
        <w:rPr>
          <w:rFonts w:ascii="Arial;sans-serif" w:hAnsi="Arial;sans-serif"/>
          <w:b w:val="false"/>
          <w:sz w:val="20"/>
        </w:rPr>
        <w:t>as previously approved by the Company's stockholders at a special meeting held on June 21, 2022.</w:t>
      </w:r>
    </w:p>
    <w:p>
      <w:pPr>
        <w:pStyle w:val="TextBody"/>
        <w:bidi w:val="0"/>
        <w:spacing w:before="180" w:after="0"/>
        <w:jc w:val="left"/>
        <w:rPr>
          <w:rFonts w:ascii="Times New Roman" w:hAnsi="Times New Roman"/>
          <w:sz w:val="20"/>
        </w:rPr>
      </w:pPr>
      <w:r>
        <w:rPr>
          <w:rFonts w:ascii="Arial;sans-serif" w:hAnsi="Arial;sans-serif"/>
          <w:b w:val="false"/>
          <w:sz w:val="20"/>
        </w:rPr>
        <w:t>On January 3, 2023, the Company completed the sale of certain assets and liabilities comprising the Company's Link-16 Tactical Data Links business (the Link-16 TDL Business), part of the Company's government systems segment, to L3Harris Technologies, Inc. (L3Harris) in exchange for approximately $1.96</w:t>
      </w:r>
      <w:r>
        <w:rPr>
          <w:rFonts w:ascii="Times New Roman" w:hAnsi="Times New Roman"/>
          <w:sz w:val="20"/>
        </w:rPr>
        <w:t xml:space="preserve"> </w:t>
      </w:r>
      <w:r>
        <w:rPr>
          <w:rFonts w:ascii="Arial;sans-serif" w:hAnsi="Arial;sans-serif"/>
          <w:b w:val="false"/>
          <w:sz w:val="20"/>
        </w:rPr>
        <w:t>billion in cash, subject to adjustments (the Link-16 TDL Sale). In accordance with the authoritative guidance for discontinued operations (Accounting Standards Codification (ASC) 205-20), the Company determined that the Link-16 TDL Business met held-for-sale and discontinued operations accounting criteria at the end of the second quarter of fiscal year 2023. Therefore, for comparability purposes, the Company recast the previously disclosed first quarter of fiscal year 2023 information and classified the results of the Link-16 TDL Business as discontinued operations in its condensed consolidated statements of operations for the three months ended June 30, 2022. The cash flows related to discontinued operations have not been segregated and are included in the condensed consolidated statements of cash flows for the three months ended June 30, 2022. Unless otherwise noted, discussion within the notes to the condensed consolidated financial statements relates to continuing operations only and excludes the Link-16 TDL Business. See Note 5 — Discontinued Operations for additional information.</w:t>
      </w:r>
    </w:p>
    <w:p>
      <w:pPr>
        <w:pStyle w:val="TextBody"/>
        <w:bidi w:val="0"/>
        <w:spacing w:before="240" w:after="0"/>
        <w:jc w:val="center"/>
        <w:rPr>
          <w:rFonts w:ascii="Arial;sans-serif" w:hAnsi="Arial;sans-serif"/>
          <w:b w:val="false"/>
          <w:sz w:val="20"/>
        </w:rPr>
      </w:pPr>
      <w:r>
        <w:rPr>
          <w:rFonts w:ascii="Arial;sans-serif" w:hAnsi="Arial;sans-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pStyle w:val="TextBody"/>
        <w:bidi w:val="0"/>
        <w:spacing w:before="280" w:after="0"/>
        <w:jc w:val="left"/>
        <w:rPr>
          <w:rFonts w:ascii="Arial;sans-serif" w:hAnsi="Arial;sans-serif"/>
          <w:b/>
          <w:i/>
          <w:sz w:val="20"/>
        </w:rPr>
      </w:pPr>
      <w:r>
        <w:rPr>
          <w:rFonts w:ascii="Arial;sans-serif" w:hAnsi="Arial;sans-serif"/>
          <w:b/>
          <w:i/>
          <w:sz w:val="20"/>
        </w:rPr>
        <w:t>Revenue recognition</w:t>
      </w:r>
    </w:p>
    <w:p>
      <w:pPr>
        <w:pStyle w:val="TextBody"/>
        <w:bidi w:val="0"/>
        <w:spacing w:before="80" w:after="0"/>
        <w:jc w:val="left"/>
        <w:rPr>
          <w:rFonts w:ascii="Arial;sans-serif" w:hAnsi="Arial;sans-serif"/>
          <w:b w:val="false"/>
          <w:sz w:val="20"/>
        </w:rPr>
      </w:pPr>
      <w:r>
        <w:rPr>
          <w:rFonts w:ascii="Arial;sans-serif" w:hAnsi="Arial;sans-serif"/>
          <w:b w:val="false"/>
          <w:sz w:val="20"/>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spacing w:before="0" w:after="0"/>
        <w:jc w:val="left"/>
        <w:rPr/>
      </w:pPr>
      <w:r>
        <w:rPr/>
        <w:t> </w:t>
      </w:r>
    </w:p>
    <w:p>
      <w:pPr>
        <w:pStyle w:val="TextBody"/>
        <w:bidi w:val="0"/>
        <w:spacing w:before="100" w:after="0"/>
        <w:jc w:val="left"/>
        <w:rPr>
          <w:rFonts w:ascii="Arial;sans-serif" w:hAnsi="Arial;sans-serif"/>
          <w:b w:val="false"/>
          <w:i/>
          <w:sz w:val="20"/>
        </w:rPr>
      </w:pPr>
      <w:r>
        <w:rPr>
          <w:rFonts w:ascii="Arial;sans-serif" w:hAnsi="Arial;sans-serif"/>
          <w:b w:val="false"/>
          <w:i/>
          <w:sz w:val="20"/>
        </w:rPr>
        <w:t>Performance obligations</w:t>
      </w:r>
    </w:p>
    <w:p>
      <w:pPr>
        <w:pStyle w:val="TextBody"/>
        <w:bidi w:val="0"/>
        <w:spacing w:before="80" w:after="0"/>
        <w:jc w:val="left"/>
        <w:rPr>
          <w:rFonts w:ascii="Arial;sans-serif" w:hAnsi="Arial;sans-serif"/>
          <w:b w:val="false"/>
          <w:sz w:val="20"/>
        </w:rPr>
      </w:pPr>
      <w:r>
        <w:rPr>
          <w:rFonts w:ascii="Arial;sans-serif" w:hAnsi="Arial;sans-serif"/>
          <w:b w:val="false"/>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0"/>
        <w:jc w:val="left"/>
        <w:rPr>
          <w:rFonts w:ascii="Arial;sans-serif" w:hAnsi="Arial;sans-serif"/>
          <w:b w:val="false"/>
          <w:sz w:val="20"/>
        </w:rPr>
      </w:pPr>
      <w:r>
        <w:rPr>
          <w:rFonts w:ascii="Arial;sans-serif" w:hAnsi="Arial;sans-serif"/>
          <w:b w:val="false"/>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0"/>
        <w:jc w:val="center"/>
        <w:rPr>
          <w:rFonts w:ascii="Arial;sans-serif" w:hAnsi="Arial;sans-serif"/>
          <w:b w:val="false"/>
          <w:sz w:val="20"/>
        </w:rPr>
      </w:pPr>
      <w:r>
        <w:rPr>
          <w:rFonts w:ascii="Arial;sans-serif" w:hAnsi="Arial;sans-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180" w:after="0"/>
        <w:jc w:val="left"/>
        <w:rPr>
          <w:rFonts w:ascii="Times New Roman" w:hAnsi="Times New Roman"/>
          <w:sz w:val="20"/>
        </w:rPr>
      </w:pPr>
      <w:r>
        <w:rPr>
          <w:rFonts w:ascii="Arial;sans-serif" w:hAnsi="Arial;sans-serif"/>
          <w:b w:val="false"/>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Contract costs on U.S. Government contracts are subject to audit and review by the Defense Contracting Management Agency (DCMA), the Defense Contract Audit Agency (DCAA), and other U.S. Government agencies, as well as negotiations with U.S. Government representatives. As of June 30,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$13.6</w:t>
      </w:r>
      <w:r>
        <w:rPr>
          <w:rFonts w:ascii="Times New Roman" w:hAnsi="Times New Roman"/>
          <w:sz w:val="20"/>
        </w:rPr>
        <w:t xml:space="preserve"> </w:t>
      </w:r>
      <w:r>
        <w:rPr>
          <w:rFonts w:ascii="Arial;sans-serif" w:hAnsi="Arial;sans-serif"/>
          <w:b w:val="false"/>
          <w:sz w:val="20"/>
        </w:rPr>
        <w:t>million and $12.9</w:t>
      </w:r>
      <w:r>
        <w:rPr>
          <w:rFonts w:ascii="Times New Roman" w:hAnsi="Times New Roman"/>
          <w:sz w:val="20"/>
        </w:rPr>
        <w:t xml:space="preserve"> </w:t>
      </w:r>
      <w:r>
        <w:rPr>
          <w:rFonts w:ascii="Arial;sans-serif" w:hAnsi="Arial;sans-serif"/>
          <w:b w:val="false"/>
          <w:sz w:val="20"/>
        </w:rPr>
        <w:t>million as of June 30, 2023 and March 31, 2023, respectively, in contract-related reserves for its estimate of potential refunds to customers for potential cost adjustments on several multi-year U.S. Government cost reimbursable contracts (see Note 10 — Commitments and Contingencies for more information).</w:t>
      </w:r>
    </w:p>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00" w:after="0"/>
        <w:jc w:val="left"/>
        <w:rPr>
          <w:rFonts w:ascii="Arial;sans-serif" w:hAnsi="Arial;sans-serif"/>
          <w:b w:val="false"/>
          <w:i/>
          <w:sz w:val="20"/>
        </w:rPr>
      </w:pPr>
      <w:r>
        <w:rPr>
          <w:rFonts w:ascii="Arial;sans-serif" w:hAnsi="Arial;sans-serif"/>
          <w:b w:val="false"/>
          <w:i/>
          <w:sz w:val="20"/>
        </w:rPr>
        <w:t>Evaluation of transaction price</w:t>
      </w:r>
    </w:p>
    <w:p>
      <w:pPr>
        <w:pStyle w:val="TextBody"/>
        <w:bidi w:val="0"/>
        <w:spacing w:before="80" w:after="0"/>
        <w:jc w:val="left"/>
        <w:rPr>
          <w:rFonts w:ascii="Arial;sans-serif" w:hAnsi="Arial;sans-serif"/>
          <w:b w:val="false"/>
          <w:sz w:val="20"/>
        </w:rPr>
      </w:pPr>
      <w:r>
        <w:rPr>
          <w:rFonts w:ascii="Arial;sans-serif" w:hAnsi="Arial;sans-serif"/>
          <w:b w:val="false"/>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0"/>
        <w:jc w:val="left"/>
        <w:rPr>
          <w:rFonts w:ascii="Arial;sans-serif" w:hAnsi="Arial;sans-serif"/>
          <w:b w:val="false"/>
          <w:sz w:val="20"/>
        </w:rPr>
      </w:pPr>
      <w:r>
        <w:rPr>
          <w:rFonts w:ascii="Arial;sans-serif" w:hAnsi="Arial;sans-serif"/>
          <w:b w:val="false"/>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spacing w:before="0" w:after="0"/>
        <w:jc w:val="both"/>
        <w:rPr/>
      </w:pPr>
      <w:r>
        <w:rPr/>
        <w:t> </w:t>
      </w:r>
    </w:p>
    <w:p>
      <w:pPr>
        <w:pStyle w:val="TextBody"/>
        <w:bidi w:val="0"/>
        <w:spacing w:before="100" w:after="0"/>
        <w:jc w:val="left"/>
        <w:rPr>
          <w:rFonts w:ascii="Arial;sans-serif" w:hAnsi="Arial;sans-serif"/>
          <w:b w:val="false"/>
          <w:i/>
          <w:sz w:val="20"/>
        </w:rPr>
      </w:pPr>
      <w:r>
        <w:rPr>
          <w:rFonts w:ascii="Arial;sans-serif" w:hAnsi="Arial;sans-serif"/>
          <w:b w:val="false"/>
          <w:i/>
          <w:sz w:val="20"/>
        </w:rPr>
        <w:t>Transaction price allocated to remaining performance obligations</w:t>
      </w:r>
    </w:p>
    <w:p>
      <w:pPr>
        <w:pStyle w:val="TextBody"/>
        <w:bidi w:val="0"/>
        <w:spacing w:before="80" w:after="0"/>
        <w:jc w:val="left"/>
        <w:rPr>
          <w:rFonts w:ascii="Times New Roman" w:hAnsi="Times New Roman"/>
          <w:sz w:val="20"/>
        </w:rPr>
      </w:pPr>
      <w:r>
        <w:rPr>
          <w:rFonts w:ascii="Arial;sans-serif" w:hAnsi="Arial;sans-serif"/>
          <w:b w:val="false"/>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June 30, 2023, the aggregate amount of the transaction price allocated to remaining performance obligations was $3.8</w:t>
      </w:r>
      <w:r>
        <w:rPr>
          <w:rFonts w:ascii="Times New Roman" w:hAnsi="Times New Roman"/>
          <w:sz w:val="20"/>
        </w:rPr>
        <w:t xml:space="preserve"> </w:t>
      </w:r>
      <w:r>
        <w:rPr>
          <w:rFonts w:ascii="Arial;sans-serif" w:hAnsi="Arial;sans-serif"/>
          <w:b w:val="false"/>
          <w:sz w:val="20"/>
        </w:rPr>
        <w:t>billion, of which the Company expects to recognize almost half over the next 12 months, with the balance recognized thereafter.</w:t>
      </w:r>
    </w:p>
    <w:p>
      <w:pPr>
        <w:pStyle w:val="TextBody"/>
        <w:bidi w:val="0"/>
        <w:spacing w:before="0" w:after="0"/>
        <w:jc w:val="both"/>
        <w:rPr/>
      </w:pPr>
      <w:r>
        <w:rPr/>
        <w:t> </w:t>
      </w:r>
    </w:p>
    <w:p>
      <w:pPr>
        <w:pStyle w:val="TextBody"/>
        <w:bidi w:val="0"/>
        <w:spacing w:before="100" w:after="0"/>
        <w:jc w:val="left"/>
        <w:rPr>
          <w:rFonts w:ascii="Arial;sans-serif" w:hAnsi="Arial;sans-serif"/>
          <w:b w:val="false"/>
          <w:i/>
          <w:sz w:val="20"/>
        </w:rPr>
      </w:pPr>
      <w:r>
        <w:rPr>
          <w:rFonts w:ascii="Arial;sans-serif" w:hAnsi="Arial;sans-serif"/>
          <w:b w:val="false"/>
          <w:i/>
          <w:sz w:val="20"/>
        </w:rPr>
        <w:t>Disaggregation of revenue</w:t>
      </w:r>
    </w:p>
    <w:p>
      <w:pPr>
        <w:pStyle w:val="TextBody"/>
        <w:bidi w:val="0"/>
        <w:spacing w:before="80" w:after="0"/>
        <w:jc w:val="left"/>
        <w:rPr>
          <w:rFonts w:ascii="Times New Roman" w:hAnsi="Times New Roman"/>
          <w:sz w:val="20"/>
        </w:rPr>
      </w:pPr>
      <w:r>
        <w:rPr>
          <w:rFonts w:ascii="Arial;sans-serif" w:hAnsi="Arial;sans-serif"/>
          <w:b w:val="false"/>
          <w:sz w:val="20"/>
        </w:rPr>
        <w:t>The Company operates and manages its business in three</w:t>
      </w:r>
      <w:r>
        <w:rPr>
          <w:rFonts w:ascii="Times New Roman" w:hAnsi="Times New Roman"/>
          <w:sz w:val="20"/>
        </w:rPr>
        <w:t xml:space="preserve"> </w:t>
      </w:r>
      <w:r>
        <w:rPr>
          <w:rFonts w:ascii="Arial;sans-serif" w:hAnsi="Arial;sans-serif"/>
          <w:b w:val="false"/>
          <w:sz w:val="20"/>
        </w:rPr>
        <w:t>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following sets forth disaggregated reported revenue by segment and product and services for the three months ended June 30, 2023 and 2022:</w:t>
      </w:r>
    </w:p>
    <w:p>
      <w:pPr>
        <w:pStyle w:val="TextBody"/>
        <w:bidi w:val="0"/>
        <w:spacing w:before="0" w:after="0"/>
        <w:jc w:val="left"/>
        <w:rPr/>
      </w:pPr>
      <w:r>
        <w:rPr/>
        <w:t> </w:t>
      </w:r>
    </w:p>
    <w:p>
      <w:pPr>
        <w:pStyle w:val="TextBody"/>
        <w:bidi w:val="0"/>
        <w:spacing w:before="0" w:after="0"/>
        <w:jc w:val="left"/>
        <w:rPr/>
      </w:pPr>
      <w:r>
        <w:rPr/>
        <w:t> </w:t>
      </w:r>
    </w:p>
    <w:tbl>
      <w:tblPr>
        <w:tblW w:w="7025" w:type="dxa"/>
        <w:jc w:val="left"/>
        <w:tblInd w:w="0" w:type="dxa"/>
        <w:tblLayout w:type="fixed"/>
        <w:tblCellMar>
          <w:top w:w="28" w:type="dxa"/>
          <w:left w:w="28" w:type="dxa"/>
          <w:bottom w:w="28" w:type="dxa"/>
          <w:right w:w="28" w:type="dxa"/>
        </w:tblCellMar>
      </w:tblPr>
      <w:tblGrid>
        <w:gridCol w:w="1651"/>
        <w:gridCol w:w="146"/>
        <w:gridCol w:w="211"/>
        <w:gridCol w:w="796"/>
        <w:gridCol w:w="146"/>
        <w:gridCol w:w="146"/>
        <w:gridCol w:w="220"/>
        <w:gridCol w:w="831"/>
        <w:gridCol w:w="146"/>
        <w:gridCol w:w="146"/>
        <w:gridCol w:w="229"/>
        <w:gridCol w:w="867"/>
        <w:gridCol w:w="146"/>
        <w:gridCol w:w="146"/>
        <w:gridCol w:w="211"/>
        <w:gridCol w:w="796"/>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3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Satellite</w:t>
              <w:b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Commercial</w:t>
              <w:br/>
              <w:t>Networks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Government</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Revenues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37"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236,372</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398,484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124,221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543,419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398,484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148,595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779,791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3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Satellite</w:t>
              <w:b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Commercial</w:t>
              <w:br/>
              <w:t>Networks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Government</w:t>
              <w:br/>
              <w:t>Systems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Revenues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37"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172,495</w:t>
            </w:r>
          </w:p>
        </w:tc>
        <w:tc>
          <w:tcPr>
            <w:tcW w:w="191" w:type="dxa"/>
            <w:tcBorders/>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71,252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402,561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112,784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150,172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575,056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Revenues from the U.S. Government as an individual customer comprised approximately 17%</w:t>
      </w:r>
      <w:r>
        <w:rPr>
          <w:rFonts w:ascii="Times New Roman" w:hAnsi="Times New Roman"/>
          <w:sz w:val="20"/>
        </w:rPr>
        <w:t xml:space="preserve"> </w:t>
      </w:r>
      <w:r>
        <w:rPr>
          <w:rFonts w:ascii="Arial;sans-serif" w:hAnsi="Arial;sans-serif"/>
          <w:b w:val="false"/>
          <w:sz w:val="20"/>
        </w:rPr>
        <w:t>and 15%</w:t>
      </w:r>
      <w:r>
        <w:rPr>
          <w:rFonts w:ascii="Times New Roman" w:hAnsi="Times New Roman"/>
          <w:sz w:val="20"/>
        </w:rPr>
        <w:t xml:space="preserve"> </w:t>
      </w:r>
      <w:r>
        <w:rPr>
          <w:rFonts w:ascii="Arial;sans-serif" w:hAnsi="Arial;sans-serif"/>
          <w:b w:val="false"/>
          <w:sz w:val="20"/>
        </w:rPr>
        <w:t>of total revenues for the three months ended June 30, 2023 and 2022, respectively, mainly reported within the government systems segment. Revenues from the Company’s other customers, mainly reported within the commercial networks and satellite services segments, comprised approximately 83%</w:t>
      </w:r>
      <w:r>
        <w:rPr>
          <w:rFonts w:ascii="Times New Roman" w:hAnsi="Times New Roman"/>
          <w:sz w:val="20"/>
        </w:rPr>
        <w:t xml:space="preserve"> </w:t>
      </w:r>
      <w:r>
        <w:rPr>
          <w:rFonts w:ascii="Arial;sans-serif" w:hAnsi="Arial;sans-serif"/>
          <w:b w:val="false"/>
          <w:sz w:val="20"/>
        </w:rPr>
        <w:t>and 85%</w:t>
      </w:r>
      <w:r>
        <w:rPr>
          <w:rFonts w:ascii="Times New Roman" w:hAnsi="Times New Roman"/>
          <w:sz w:val="20"/>
        </w:rPr>
        <w:t xml:space="preserve"> </w:t>
      </w:r>
      <w:r>
        <w:rPr>
          <w:rFonts w:ascii="Arial;sans-serif" w:hAnsi="Arial;sans-serif"/>
          <w:b w:val="false"/>
          <w:sz w:val="20"/>
        </w:rPr>
        <w:t>of total revenues for the three months ended June 30, 2023 and 2022, respectively.</w:t>
      </w:r>
    </w:p>
    <w:p>
      <w:pPr>
        <w:pStyle w:val="TextBody"/>
        <w:bidi w:val="0"/>
        <w:spacing w:before="180" w:after="0"/>
        <w:jc w:val="left"/>
        <w:rPr>
          <w:rFonts w:ascii="Times New Roman" w:hAnsi="Times New Roman"/>
          <w:sz w:val="20"/>
        </w:rPr>
      </w:pPr>
      <w:r>
        <w:rPr>
          <w:rFonts w:ascii="Arial;sans-serif" w:hAnsi="Arial;sans-serif"/>
          <w:b w:val="false"/>
          <w:sz w:val="20"/>
        </w:rPr>
        <w:t>The Company’s satellite services segment revenues are primarily derived from the Company’s fixed broadband services, in-flight services, maritime and narrowband services (primarily acquired through the Inmarsat Acquisition) and energy services.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86%</w:t>
      </w:r>
      <w:r>
        <w:rPr>
          <w:rFonts w:ascii="Times New Roman" w:hAnsi="Times New Roman"/>
          <w:sz w:val="20"/>
        </w:rPr>
        <w:t xml:space="preserve"> </w:t>
      </w:r>
      <w:r>
        <w:rPr>
          <w:rFonts w:ascii="Arial;sans-serif" w:hAnsi="Arial;sans-serif"/>
          <w:b w:val="false"/>
          <w:sz w:val="20"/>
        </w:rPr>
        <w:t>and 84%</w:t>
      </w:r>
      <w:r>
        <w:rPr>
          <w:rFonts w:ascii="Times New Roman" w:hAnsi="Times New Roman"/>
          <w:sz w:val="20"/>
        </w:rPr>
        <w:t xml:space="preserve"> </w:t>
      </w:r>
      <w:r>
        <w:rPr>
          <w:rFonts w:ascii="Arial;sans-serif" w:hAnsi="Arial;sans-serif"/>
          <w:b w:val="false"/>
          <w:sz w:val="20"/>
        </w:rPr>
        <w:t>of the Company’s total revenues for these segments for the three months ended June 30, 2023 and 2022,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15%</w:t>
      </w:r>
      <w:r>
        <w:rPr>
          <w:rFonts w:ascii="Times New Roman" w:hAnsi="Times New Roman"/>
          <w:sz w:val="20"/>
        </w:rPr>
        <w:t xml:space="preserve"> </w:t>
      </w:r>
      <w:r>
        <w:rPr>
          <w:rFonts w:ascii="Arial;sans-serif" w:hAnsi="Arial;sans-serif"/>
          <w:b w:val="false"/>
          <w:sz w:val="20"/>
        </w:rPr>
        <w:t>and 18%</w:t>
      </w:r>
      <w:r>
        <w:rPr>
          <w:rFonts w:ascii="Times New Roman" w:hAnsi="Times New Roman"/>
          <w:sz w:val="20"/>
        </w:rPr>
        <w:t xml:space="preserve"> </w:t>
      </w:r>
      <w:r>
        <w:rPr>
          <w:rFonts w:ascii="Arial;sans-serif" w:hAnsi="Arial;sans-serif"/>
          <w:b w:val="false"/>
          <w:sz w:val="20"/>
        </w:rPr>
        <w:t>of its total revenues for the three months ended June 30, 2023 and 2022, respectively.</w:t>
      </w:r>
    </w:p>
    <w:p>
      <w:pPr>
        <w:pStyle w:val="TextBody"/>
        <w:bidi w:val="0"/>
        <w:spacing w:before="240" w:after="0"/>
        <w:jc w:val="center"/>
        <w:rPr>
          <w:rFonts w:ascii="Arial;sans-serif" w:hAnsi="Arial;sans-serif"/>
          <w:b w:val="false"/>
          <w:sz w:val="20"/>
        </w:rPr>
      </w:pPr>
      <w:r>
        <w:rPr>
          <w:rFonts w:ascii="Arial;sans-serif" w:hAnsi="Arial;sans-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00" w:after="0"/>
        <w:jc w:val="left"/>
        <w:rPr>
          <w:rFonts w:ascii="Arial;sans-serif" w:hAnsi="Arial;sans-serif"/>
          <w:b w:val="false"/>
          <w:i/>
          <w:sz w:val="20"/>
        </w:rPr>
      </w:pPr>
      <w:r>
        <w:rPr>
          <w:rFonts w:ascii="Arial;sans-serif" w:hAnsi="Arial;sans-serif"/>
          <w:b w:val="false"/>
          <w:i/>
          <w:sz w:val="20"/>
        </w:rPr>
        <w:t>Contract balances</w:t>
      </w:r>
    </w:p>
    <w:p>
      <w:pPr>
        <w:pStyle w:val="TextBody"/>
        <w:bidi w:val="0"/>
        <w:spacing w:before="80" w:after="0"/>
        <w:jc w:val="left"/>
        <w:rPr>
          <w:rFonts w:ascii="Times New Roman" w:hAnsi="Times New Roman"/>
          <w:sz w:val="20"/>
        </w:rPr>
      </w:pPr>
      <w:r>
        <w:rPr>
          <w:rFonts w:ascii="Arial;sans-serif" w:hAnsi="Arial;sans-serif"/>
          <w:b w:val="false"/>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pStyle w:val="TextBody"/>
        <w:bidi w:val="0"/>
        <w:spacing w:before="180" w:after="0"/>
        <w:jc w:val="left"/>
        <w:rPr>
          <w:rFonts w:ascii="Times New Roman" w:hAnsi="Times New Roman"/>
          <w:sz w:val="20"/>
        </w:rPr>
      </w:pPr>
      <w:r>
        <w:rPr>
          <w:rFonts w:ascii="Arial;sans-serif" w:hAnsi="Arial;sans-serif"/>
          <w:b w:val="false"/>
          <w:sz w:val="20"/>
        </w:rPr>
        <w:t>The following table presents contract assets and liabilities as of June 30, 2023 and March 31, 2023:</w:t>
      </w:r>
      <w:r>
        <w:rPr>
          <w:rFonts w:ascii="Times New Roman" w:hAnsi="Times New Roman"/>
          <w:sz w:val="20"/>
        </w:rPr>
        <w:t xml:space="preserve"> </w:t>
      </w:r>
    </w:p>
    <w:p>
      <w:pPr>
        <w:pStyle w:val="TextBody"/>
        <w:bidi w:val="0"/>
        <w:spacing w:before="0" w:after="0"/>
        <w:jc w:val="left"/>
        <w:rPr/>
      </w:pPr>
      <w:r>
        <w:rPr/>
        <w:t> </w:t>
      </w:r>
    </w:p>
    <w:tbl>
      <w:tblPr>
        <w:tblW w:w="8205" w:type="dxa"/>
        <w:jc w:val="left"/>
        <w:tblInd w:w="0" w:type="dxa"/>
        <w:tblLayout w:type="fixed"/>
        <w:tblCellMar>
          <w:top w:w="28" w:type="dxa"/>
          <w:left w:w="28" w:type="dxa"/>
          <w:bottom w:w="28" w:type="dxa"/>
          <w:right w:w="28" w:type="dxa"/>
        </w:tblCellMar>
      </w:tblPr>
      <w:tblGrid>
        <w:gridCol w:w="5056"/>
        <w:gridCol w:w="146"/>
        <w:gridCol w:w="218"/>
        <w:gridCol w:w="997"/>
        <w:gridCol w:w="146"/>
        <w:gridCol w:w="146"/>
        <w:gridCol w:w="273"/>
        <w:gridCol w:w="103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Unbilled accounts receivable</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104,889</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Collections in excess of revenues and deferred revenues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291,749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132,187</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Deferred revenues, long-term portion</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1,040,119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84,747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Unbilled accounts receivable increased by $25.8</w:t>
      </w:r>
      <w:r>
        <w:rPr>
          <w:rFonts w:ascii="Times New Roman" w:hAnsi="Times New Roman"/>
          <w:sz w:val="20"/>
        </w:rPr>
        <w:t xml:space="preserve"> </w:t>
      </w:r>
      <w:r>
        <w:rPr>
          <w:rFonts w:ascii="Arial;sans-serif" w:hAnsi="Arial;sans-serif"/>
          <w:b w:val="false"/>
          <w:sz w:val="20"/>
        </w:rPr>
        <w:t>million during the three months ended June 30, 2023, primarily driven by revenue recognized in the Company’s satellite services segment in excess of billings. The Inmarsat Acquisition contributed approximately $15.0</w:t>
      </w:r>
      <w:r>
        <w:rPr>
          <w:rFonts w:ascii="Times New Roman" w:hAnsi="Times New Roman"/>
          <w:sz w:val="20"/>
        </w:rPr>
        <w:t xml:space="preserve"> </w:t>
      </w:r>
      <w:r>
        <w:rPr>
          <w:rFonts w:ascii="Arial;sans-serif" w:hAnsi="Arial;sans-serif"/>
          <w:b w:val="false"/>
          <w:sz w:val="20"/>
        </w:rPr>
        <w:t>million of unbilled accounts receivable.</w:t>
      </w:r>
    </w:p>
    <w:p>
      <w:pPr>
        <w:pStyle w:val="TextBody"/>
        <w:bidi w:val="0"/>
        <w:spacing w:before="180" w:after="0"/>
        <w:jc w:val="left"/>
        <w:rPr>
          <w:rFonts w:ascii="Times New Roman" w:hAnsi="Times New Roman"/>
          <w:sz w:val="20"/>
        </w:rPr>
      </w:pPr>
      <w:r>
        <w:rPr>
          <w:rFonts w:ascii="Arial;sans-serif" w:hAnsi="Arial;sans-serif"/>
          <w:b w:val="false"/>
          <w:sz w:val="20"/>
        </w:rPr>
        <w:t>Collections in excess of revenues and deferred revenues increased by $159.6</w:t>
      </w:r>
      <w:r>
        <w:rPr>
          <w:rFonts w:ascii="Times New Roman" w:hAnsi="Times New Roman"/>
          <w:sz w:val="20"/>
        </w:rPr>
        <w:t xml:space="preserve"> </w:t>
      </w:r>
      <w:r>
        <w:rPr>
          <w:rFonts w:ascii="Arial;sans-serif" w:hAnsi="Arial;sans-serif"/>
          <w:b w:val="false"/>
          <w:sz w:val="20"/>
        </w:rPr>
        <w:t>million during the three months ended June 30, 2023, primarily driven by advances on goods or services received in excess of revenue recognized mainly in the Company’s satellite services and government systems segments. Based on preliminary estimates, the Inmarsat Acquisition contributed approximately $144.1</w:t>
      </w:r>
      <w:r>
        <w:rPr>
          <w:rFonts w:ascii="Times New Roman" w:hAnsi="Times New Roman"/>
          <w:sz w:val="20"/>
        </w:rPr>
        <w:t xml:space="preserve"> </w:t>
      </w:r>
      <w:r>
        <w:rPr>
          <w:rFonts w:ascii="Arial;sans-serif" w:hAnsi="Arial;sans-serif"/>
          <w:b w:val="false"/>
          <w:sz w:val="20"/>
        </w:rPr>
        <w:t>million of collections in excess of revenues and deferred revenues.</w:t>
      </w:r>
    </w:p>
    <w:p>
      <w:pPr>
        <w:pStyle w:val="TextBody"/>
        <w:bidi w:val="0"/>
        <w:spacing w:before="180" w:after="0"/>
        <w:jc w:val="left"/>
        <w:rPr>
          <w:rFonts w:ascii="Times New Roman" w:hAnsi="Times New Roman"/>
          <w:sz w:val="20"/>
        </w:rPr>
      </w:pPr>
      <w:r>
        <w:rPr>
          <w:rFonts w:ascii="Arial;sans-serif" w:hAnsi="Arial;sans-serif"/>
          <w:b w:val="false"/>
          <w:sz w:val="20"/>
        </w:rPr>
        <w:t>Based on preliminary estimates, the Inmarsat Acquisition contributed approximately $860.0</w:t>
      </w:r>
      <w:r>
        <w:rPr>
          <w:rFonts w:ascii="Times New Roman" w:hAnsi="Times New Roman"/>
          <w:sz w:val="20"/>
        </w:rPr>
        <w:t xml:space="preserve"> </w:t>
      </w:r>
      <w:r>
        <w:rPr>
          <w:rFonts w:ascii="Arial;sans-serif" w:hAnsi="Arial;sans-serif"/>
          <w:b w:val="false"/>
          <w:sz w:val="20"/>
        </w:rPr>
        <w:t>million of deferred revenues (long-term).</w:t>
      </w:r>
    </w:p>
    <w:p>
      <w:pPr>
        <w:pStyle w:val="TextBody"/>
        <w:bidi w:val="0"/>
        <w:spacing w:before="180" w:after="0"/>
        <w:jc w:val="left"/>
        <w:rPr>
          <w:rFonts w:ascii="Times New Roman" w:hAnsi="Times New Roman"/>
          <w:sz w:val="20"/>
        </w:rPr>
      </w:pPr>
      <w:r>
        <w:rPr>
          <w:rFonts w:ascii="Arial;sans-serif" w:hAnsi="Arial;sans-serif"/>
          <w:b w:val="false"/>
          <w:sz w:val="20"/>
        </w:rPr>
        <w:t>During the three months ended June 30, 2023, the Company recognized revenue of $53.8</w:t>
      </w:r>
      <w:r>
        <w:rPr>
          <w:rFonts w:ascii="Times New Roman" w:hAnsi="Times New Roman"/>
          <w:sz w:val="20"/>
        </w:rPr>
        <w:t xml:space="preserve"> </w:t>
      </w:r>
      <w:r>
        <w:rPr>
          <w:rFonts w:ascii="Arial;sans-serif" w:hAnsi="Arial;sans-serif"/>
          <w:b w:val="false"/>
          <w:sz w:val="20"/>
        </w:rPr>
        <w:t>million that was previously included in the Company’s collections in excess of revenues and deferred revenues at March 31, 2023. During the three months ended June 30, 2022, the Company recognized revenue of $75.6</w:t>
      </w:r>
      <w:r>
        <w:rPr>
          <w:rFonts w:ascii="Times New Roman" w:hAnsi="Times New Roman"/>
          <w:sz w:val="20"/>
        </w:rPr>
        <w:t xml:space="preserve"> </w:t>
      </w:r>
      <w:r>
        <w:rPr>
          <w:rFonts w:ascii="Arial;sans-serif" w:hAnsi="Arial;sans-serif"/>
          <w:b w:val="false"/>
          <w:sz w:val="20"/>
        </w:rPr>
        <w:t>million that was previously included in the Company’s collections in excess of revenues and deferred revenues at March 31, 2022.</w:t>
      </w:r>
    </w:p>
    <w:p>
      <w:pPr>
        <w:pStyle w:val="TextBody"/>
        <w:bidi w:val="0"/>
        <w:spacing w:before="280" w:after="0"/>
        <w:jc w:val="left"/>
        <w:rPr>
          <w:rFonts w:ascii="Arial;sans-serif" w:hAnsi="Arial;sans-serif"/>
          <w:b/>
          <w:i/>
          <w:sz w:val="20"/>
        </w:rPr>
      </w:pPr>
      <w:r>
        <w:rPr>
          <w:rFonts w:ascii="Arial;sans-serif" w:hAnsi="Arial;sans-serif"/>
          <w:b/>
          <w:i/>
          <w:sz w:val="20"/>
        </w:rPr>
        <w:t>Cash equivalents</w:t>
      </w:r>
    </w:p>
    <w:p>
      <w:pPr>
        <w:pStyle w:val="TextBody"/>
        <w:bidi w:val="0"/>
        <w:spacing w:before="80" w:after="0"/>
        <w:jc w:val="left"/>
        <w:rPr>
          <w:rFonts w:ascii="Arial;sans-serif" w:hAnsi="Arial;sans-serif"/>
          <w:b w:val="false"/>
          <w:sz w:val="20"/>
        </w:rPr>
      </w:pPr>
      <w:r>
        <w:rPr>
          <w:rFonts w:ascii="Arial;sans-serif" w:hAnsi="Arial;sans-serif"/>
          <w:b w:val="false"/>
          <w:sz w:val="20"/>
        </w:rPr>
        <w:t>Cash equivalents consist of highly liquid investments with original maturities of three months or less at the date of purchase, with a significant portion held in U.S. government-backed qualified money-market securities.</w:t>
      </w:r>
    </w:p>
    <w:p>
      <w:pPr>
        <w:pStyle w:val="TextBody"/>
        <w:bidi w:val="0"/>
        <w:spacing w:before="280" w:after="0"/>
        <w:jc w:val="left"/>
        <w:rPr>
          <w:rFonts w:ascii="Arial;sans-serif" w:hAnsi="Arial;sans-serif"/>
          <w:b/>
          <w:i/>
          <w:sz w:val="20"/>
        </w:rPr>
      </w:pPr>
      <w:r>
        <w:rPr>
          <w:rFonts w:ascii="Arial;sans-serif" w:hAnsi="Arial;sans-serif"/>
          <w:b/>
          <w:i/>
          <w:sz w:val="20"/>
        </w:rPr>
        <w:t>Restricted cash</w:t>
      </w:r>
    </w:p>
    <w:p>
      <w:pPr>
        <w:pStyle w:val="TextBody"/>
        <w:bidi w:val="0"/>
        <w:spacing w:before="80" w:after="0"/>
        <w:jc w:val="left"/>
        <w:rPr>
          <w:rFonts w:ascii="Times New Roman" w:hAnsi="Times New Roman"/>
          <w:sz w:val="20"/>
        </w:rPr>
      </w:pPr>
      <w:r>
        <w:rPr>
          <w:rFonts w:ascii="Arial;sans-serif" w:hAnsi="Arial;sans-serif"/>
          <w:b w:val="false"/>
          <w:sz w:val="20"/>
        </w:rPr>
        <w:t>Restricted cash relates to deposits required by certain counterparties as collateral pursuant to outstanding letters of credit. Restricted cash as of June 30, 2023 and March 31, 2023 was $34.0</w:t>
      </w:r>
      <w:r>
        <w:rPr>
          <w:rFonts w:ascii="Times New Roman" w:hAnsi="Times New Roman"/>
          <w:sz w:val="20"/>
        </w:rPr>
        <w:t xml:space="preserve"> </w:t>
      </w:r>
      <w:r>
        <w:rPr>
          <w:rFonts w:ascii="Arial;sans-serif" w:hAnsi="Arial;sans-serif"/>
          <w:b w:val="false"/>
          <w:sz w:val="20"/>
        </w:rPr>
        <w:t>million and $30.5</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180" w:after="0"/>
        <w:jc w:val="left"/>
        <w:rPr>
          <w:rFonts w:ascii="Arial;sans-serif" w:hAnsi="Arial;sans-serif"/>
          <w:b w:val="false"/>
          <w:sz w:val="20"/>
        </w:rPr>
      </w:pPr>
      <w:r>
        <w:rPr>
          <w:rFonts w:ascii="Arial;sans-serif" w:hAnsi="Arial;sans-serif"/>
          <w:b w:val="false"/>
          <w:sz w:val="20"/>
        </w:rPr>
        <w:t>In accordance with the authoritative guidance for the statement of cash flows (ASU 230), the following table provides a reconciliation of cash and cash equivalents and restricted cash reported within the condensed consolidated balance sheets that total to the amounts shown in the condensed consolidated statements of cash flows.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16"/>
        <w:gridCol w:w="146"/>
        <w:gridCol w:w="215"/>
        <w:gridCol w:w="984"/>
        <w:gridCol w:w="146"/>
        <w:gridCol w:w="146"/>
        <w:gridCol w:w="226"/>
        <w:gridCol w:w="1032"/>
        <w:gridCol w:w="194"/>
      </w:tblGrid>
      <w:tr>
        <w:trPr/>
        <w:tc>
          <w:tcPr>
            <w:tcW w:w="7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9"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4" w:type="dxa"/>
            <w:tcBorders/>
            <w:vAlign w:val="center"/>
          </w:tcPr>
          <w:p>
            <w:pPr>
              <w:pStyle w:val="TableContents"/>
              <w:bidi w:val="0"/>
              <w:spacing w:before="0" w:after="0"/>
              <w:ind w:left="0" w:right="0" w:hanging="0"/>
              <w:jc w:val="center"/>
              <w:rPr/>
            </w:pPr>
            <w:r>
              <w:rPr/>
              <w:t> </w:t>
            </w:r>
          </w:p>
        </w:tc>
      </w:tr>
      <w:tr>
        <w:trPr/>
        <w:tc>
          <w:tcPr>
            <w:tcW w:w="7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1,958,506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1,348,854</w:t>
            </w:r>
          </w:p>
        </w:tc>
        <w:tc>
          <w:tcPr>
            <w:tcW w:w="194" w:type="dxa"/>
            <w:tcBorders/>
            <w:vAlign w:val="center"/>
          </w:tcPr>
          <w:p>
            <w:pPr>
              <w:pStyle w:val="TableContents"/>
              <w:bidi w:val="0"/>
              <w:spacing w:before="0" w:after="0"/>
              <w:ind w:left="0" w:right="0" w:hanging="0"/>
              <w:jc w:val="left"/>
              <w:rPr/>
            </w:pPr>
            <w:r>
              <w:rPr/>
              <w:t> </w:t>
            </w:r>
          </w:p>
        </w:tc>
      </w:tr>
      <w:tr>
        <w:trPr/>
        <w:tc>
          <w:tcPr>
            <w:tcW w:w="7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30,532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cash and cash equivalents and restricted cash shown in the condensed consolidated statements of cash flows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1,992,470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1,379,386</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i/>
          <w:sz w:val="20"/>
        </w:rPr>
        <w:t>Short-term investments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Short-term investments comprise deposits held with banks, money market funds, certificate of deposits and other short-term, highly liquid investments with an original maturity of between 91 and 120 days.</w:t>
      </w:r>
    </w:p>
    <w:p>
      <w:pPr>
        <w:pStyle w:val="TextBody"/>
        <w:bidi w:val="0"/>
        <w:spacing w:before="280" w:after="0"/>
        <w:jc w:val="left"/>
        <w:rPr>
          <w:rFonts w:ascii="Times New Roman" w:hAnsi="Times New Roman"/>
          <w:sz w:val="20"/>
        </w:rPr>
      </w:pPr>
      <w:r>
        <w:rPr>
          <w:rFonts w:ascii="Arial;sans-serif" w:hAnsi="Arial;sans-serif"/>
          <w:b/>
          <w:i/>
          <w:sz w:val="20"/>
        </w:rPr>
        <w:t>Property, equipment and satellites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sz w:val="20"/>
        </w:rPr>
        <w:t xml:space="preserve"> </w:t>
      </w:r>
      <w:r>
        <w:rPr>
          <w:rFonts w:ascii="Arial;sans-serif" w:hAnsi="Arial;sans-serif"/>
          <w:b w:val="false"/>
          <w:sz w:val="20"/>
        </w:rPr>
        <w:t>to 38 years. Leasehold improvements are capitalized and amortized using the straight-line method over the shorter of the lease term or the life of the improvement.</w:t>
      </w:r>
    </w:p>
    <w:p>
      <w:pPr>
        <w:pStyle w:val="TextBody"/>
        <w:bidi w:val="0"/>
        <w:spacing w:before="180" w:after="0"/>
        <w:jc w:val="left"/>
        <w:rPr>
          <w:rFonts w:ascii="Times New Roman" w:hAnsi="Times New Roman"/>
          <w:sz w:val="20"/>
        </w:rPr>
      </w:pPr>
      <w:r>
        <w:rPr>
          <w:rFonts w:ascii="Arial;sans-serif" w:hAnsi="Arial;sans-serif"/>
          <w:b w:val="false"/>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sz w:val="20"/>
        </w:rPr>
        <w:t xml:space="preserve"> </w:t>
      </w:r>
      <w:r>
        <w:rPr>
          <w:rFonts w:ascii="Arial;sans-serif" w:hAnsi="Arial;sans-serif"/>
          <w:b w:val="false"/>
          <w:sz w:val="20"/>
        </w:rPr>
        <w:t>to seven years. Capitalized costs for internal-use software are included in property, equipment and satellites, net in the Company’s condensed consolidated balance sheets.</w:t>
      </w:r>
    </w:p>
    <w:p>
      <w:pPr>
        <w:pStyle w:val="TextBody"/>
        <w:bidi w:val="0"/>
        <w:spacing w:before="180" w:after="0"/>
        <w:jc w:val="left"/>
        <w:rPr>
          <w:rFonts w:ascii="Times New Roman" w:hAnsi="Times New Roman"/>
          <w:sz w:val="20"/>
        </w:rPr>
      </w:pPr>
      <w:r>
        <w:rPr>
          <w:rFonts w:ascii="Arial;sans-serif" w:hAnsi="Arial;sans-serif"/>
          <w:b w:val="false"/>
          <w:sz w:val="20"/>
        </w:rPr>
        <w:t>Interest expense is capitalized on the carrying value of assets under construction, in accordance with the authoritative guidance for the capitalization of interest (ASC 835-20).</w:t>
      </w:r>
      <w:r>
        <w:rPr>
          <w:rFonts w:ascii="Times New Roman" w:hAnsi="Times New Roman"/>
          <w:sz w:val="20"/>
        </w:rPr>
        <w:t xml:space="preserve"> </w:t>
      </w:r>
      <w:r>
        <w:rPr>
          <w:rFonts w:ascii="Arial;sans-serif" w:hAnsi="Arial;sans-serif"/>
          <w:b w:val="false"/>
          <w:sz w:val="20"/>
        </w:rPr>
        <w:t>With respect to the construction of satellites, gateway and networking equipment and other assets under construction, the Company capitalized $56.7</w:t>
      </w:r>
      <w:r>
        <w:rPr>
          <w:rFonts w:ascii="Times New Roman" w:hAnsi="Times New Roman"/>
          <w:sz w:val="20"/>
        </w:rPr>
        <w:t xml:space="preserve"> </w:t>
      </w:r>
      <w:r>
        <w:rPr>
          <w:rFonts w:ascii="Arial;sans-serif" w:hAnsi="Arial;sans-serif"/>
          <w:b w:val="false"/>
          <w:sz w:val="20"/>
        </w:rPr>
        <w:t>million of interest expense for the three months ended June 30, 2023, and $33.6</w:t>
      </w:r>
      <w:r>
        <w:rPr>
          <w:rFonts w:ascii="Times New Roman" w:hAnsi="Times New Roman"/>
          <w:sz w:val="20"/>
        </w:rPr>
        <w:t xml:space="preserve"> </w:t>
      </w:r>
      <w:r>
        <w:rPr>
          <w:rFonts w:ascii="Arial;sans-serif" w:hAnsi="Arial;sans-serif"/>
          <w:b w:val="false"/>
          <w:sz w:val="20"/>
        </w:rPr>
        <w:t>million for the three months ended June 30, 2022.</w:t>
      </w:r>
    </w:p>
    <w:p>
      <w:pPr>
        <w:pStyle w:val="TextBody"/>
        <w:bidi w:val="0"/>
        <w:spacing w:before="180" w:after="0"/>
        <w:jc w:val="left"/>
        <w:rPr>
          <w:rFonts w:ascii="Times New Roman" w:hAnsi="Times New Roman"/>
          <w:sz w:val="20"/>
        </w:rPr>
      </w:pPr>
      <w:r>
        <w:rPr>
          <w:rFonts w:ascii="Arial;sans-serif" w:hAnsi="Arial;sans-serif"/>
          <w:b w:val="false"/>
          <w:sz w:val="20"/>
        </w:rPr>
        <w:t>The Company's complementary fleet of 22 satellites in space spans the Ka-, L- and S- bands. In addition to Viasat’s legacy satellite fleet, the closing of the Inmarsat Acquisition added: five additional high-bandwidth Ka-band satellites, eight high-availability L-band satellites (three of which are contingency satellites in orbit but not currently in service), an S-band satellite that supports the European Aviation Network (EAN) to provide IFC services to commercial airlines in Europe, and two I-6 class hybrid Ka-/L-band satellites (the I-6 F1 and I-6 F2 satellites), with additional satellites under development.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June 30, 2023 were $609.2</w:t>
      </w:r>
      <w:r>
        <w:rPr>
          <w:rFonts w:ascii="Times New Roman" w:hAnsi="Times New Roman"/>
          <w:sz w:val="20"/>
        </w:rPr>
        <w:t xml:space="preserve"> </w:t>
      </w:r>
      <w:r>
        <w:rPr>
          <w:rFonts w:ascii="Arial;sans-serif" w:hAnsi="Arial;sans-serif"/>
          <w:b w:val="false"/>
          <w:sz w:val="20"/>
        </w:rPr>
        <w:t>million and $216.0</w:t>
      </w:r>
      <w:r>
        <w:rPr>
          <w:rFonts w:ascii="Times New Roman" w:hAnsi="Times New Roman"/>
          <w:sz w:val="20"/>
        </w:rPr>
        <w:t xml:space="preserve"> </w:t>
      </w:r>
      <w:r>
        <w:rPr>
          <w:rFonts w:ascii="Arial;sans-serif" w:hAnsi="Arial;sans-serif"/>
          <w:b w:val="false"/>
          <w:sz w:val="20"/>
        </w:rPr>
        <w:t>million, respectively. The total cost and accumulated depreciation of CPE units included in property, equipment and satellites, net, as of March 31, 2023 were $395.4</w:t>
      </w:r>
      <w:r>
        <w:rPr>
          <w:rFonts w:ascii="Times New Roman" w:hAnsi="Times New Roman"/>
          <w:sz w:val="20"/>
        </w:rPr>
        <w:t xml:space="preserve"> </w:t>
      </w:r>
      <w:r>
        <w:rPr>
          <w:rFonts w:ascii="Arial;sans-serif" w:hAnsi="Arial;sans-serif"/>
          <w:b w:val="false"/>
          <w:sz w:val="20"/>
        </w:rPr>
        <w:t>million and $213.6</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180" w:after="0"/>
        <w:jc w:val="left"/>
        <w:rPr>
          <w:rFonts w:ascii="Arial;sans-serif" w:hAnsi="Arial;sans-serif"/>
          <w:b w:val="false"/>
          <w:sz w:val="20"/>
        </w:rPr>
      </w:pPr>
      <w:r>
        <w:rPr>
          <w:rFonts w:ascii="Arial;sans-serif" w:hAnsi="Arial;sans-serif"/>
          <w:b w:val="false"/>
          <w:sz w:val="20"/>
        </w:rPr>
        <w:t>The Company launched the first of its third-generation ViaSat-3 class satellites, ViaSat-3 Americas, into orbit on April 30, 2023 (see Note 13 – Subsequent Event for more information) and is planning to launch two additional third-generation ViaSat-3 class satellites currently under construction.</w:t>
      </w:r>
    </w:p>
    <w:p>
      <w:pPr>
        <w:pStyle w:val="TextBody"/>
        <w:bidi w:val="0"/>
        <w:spacing w:before="240" w:after="0"/>
        <w:jc w:val="center"/>
        <w:rPr>
          <w:rFonts w:ascii="Arial;sans-serif" w:hAnsi="Arial;sans-serif"/>
          <w:b w:val="false"/>
          <w:sz w:val="20"/>
        </w:rPr>
      </w:pPr>
      <w:r>
        <w:rPr>
          <w:rFonts w:ascii="Arial;sans-serif" w:hAnsi="Arial;sans-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less than one year</w:t>
      </w:r>
      <w:r>
        <w:rPr>
          <w:rFonts w:ascii="Times New Roman" w:hAnsi="Times New Roman"/>
          <w:sz w:val="20"/>
        </w:rPr>
        <w:t xml:space="preserve"> </w:t>
      </w:r>
      <w:r>
        <w:rPr>
          <w:rFonts w:ascii="Arial;sans-serif" w:hAnsi="Arial;sans-serif"/>
          <w:b w:val="false"/>
          <w:sz w:val="20"/>
        </w:rPr>
        <w:t>to three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pStyle w:val="TextBody"/>
        <w:bidi w:val="0"/>
        <w:spacing w:before="180" w:after="0"/>
        <w:jc w:val="left"/>
        <w:rPr>
          <w:rFonts w:ascii="Times New Roman" w:hAnsi="Times New Roman"/>
          <w:sz w:val="20"/>
        </w:rPr>
      </w:pPr>
      <w:r>
        <w:rPr>
          <w:rFonts w:ascii="Arial;sans-serif" w:hAnsi="Arial;sans-serif"/>
          <w:b/>
          <w:i/>
          <w:sz w:val="20"/>
        </w:rPr>
        <w:t>Cloud computing arrangements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pStyle w:val="TextBody"/>
        <w:bidi w:val="0"/>
        <w:spacing w:before="280" w:after="0"/>
        <w:jc w:val="left"/>
        <w:rPr>
          <w:rFonts w:ascii="Arial;sans-serif" w:hAnsi="Arial;sans-serif"/>
          <w:b/>
          <w:i/>
          <w:sz w:val="20"/>
        </w:rPr>
      </w:pPr>
      <w:r>
        <w:rPr>
          <w:rFonts w:ascii="Arial;sans-serif" w:hAnsi="Arial;sans-serif"/>
          <w:b/>
          <w:i/>
          <w:sz w:val="20"/>
        </w:rPr>
        <w:t>Leases</w:t>
      </w:r>
    </w:p>
    <w:p>
      <w:pPr>
        <w:pStyle w:val="TextBody"/>
        <w:bidi w:val="0"/>
        <w:spacing w:before="0" w:after="0"/>
        <w:jc w:val="left"/>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Lessee accounting</w:t>
      </w:r>
    </w:p>
    <w:p>
      <w:pPr>
        <w:pStyle w:val="TextBody"/>
        <w:bidi w:val="0"/>
        <w:spacing w:before="80" w:after="0"/>
        <w:jc w:val="left"/>
        <w:rPr>
          <w:rFonts w:ascii="Times New Roman" w:hAnsi="Times New Roman"/>
          <w:sz w:val="20"/>
        </w:rPr>
      </w:pPr>
      <w:r>
        <w:rPr>
          <w:rFonts w:ascii="Arial;sans-serif" w:hAnsi="Arial;sans-serif"/>
          <w:b w:val="false"/>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0"/>
        <w:jc w:val="left"/>
        <w:rPr>
          <w:rFonts w:ascii="Times New Roman" w:hAnsi="Times New Roman"/>
          <w:sz w:val="20"/>
        </w:rPr>
      </w:pPr>
      <w:r>
        <w:rPr>
          <w:rFonts w:ascii="Arial;sans-serif" w:hAnsi="Arial;sans-serif"/>
          <w:b w:val="false"/>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240" w:after="0"/>
        <w:jc w:val="center"/>
        <w:rPr>
          <w:rFonts w:ascii="Arial;sans-serif" w:hAnsi="Arial;sans-serif"/>
          <w:b w:val="false"/>
          <w:sz w:val="20"/>
        </w:rPr>
      </w:pPr>
      <w:r>
        <w:rPr>
          <w:rFonts w:ascii="Arial;sans-serif" w:hAnsi="Arial;sans-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The Company’s operating leases consist primarily of leases for office space, data centers and satellite ground facilities and have remaining terms that typically range from less than one year</w:t>
      </w:r>
      <w:r>
        <w:rPr>
          <w:rFonts w:ascii="Times New Roman" w:hAnsi="Times New Roman"/>
          <w:sz w:val="20"/>
        </w:rPr>
        <w:t xml:space="preserve"> </w:t>
      </w:r>
      <w:r>
        <w:rPr>
          <w:rFonts w:ascii="Arial;sans-serif" w:hAnsi="Arial;sans-serif"/>
          <w:b w:val="false"/>
          <w:sz w:val="20"/>
        </w:rPr>
        <w:t>to 10</w:t>
      </w:r>
      <w:r>
        <w:rPr>
          <w:rFonts w:ascii="Times New Roman" w:hAnsi="Times New Roman"/>
          <w:sz w:val="20"/>
        </w:rPr>
        <w:t xml:space="preserve"> </w:t>
      </w:r>
      <w:r>
        <w:rPr>
          <w:rFonts w:ascii="Arial;sans-serif" w:hAnsi="Arial;sans-serif"/>
          <w:b w:val="false"/>
          <w:sz w:val="20"/>
        </w:rPr>
        <w:t>years, some of which include renewal options, and some of which include options to terminate</w:t>
      </w:r>
      <w:r>
        <w:rPr>
          <w:rFonts w:ascii="Arial;sans-serif" w:hAnsi="Arial;sans-serif"/>
          <w:sz w:val="20"/>
        </w:rPr>
        <w:t xml:space="preserve"> </w:t>
      </w:r>
      <w:r>
        <w:rPr>
          <w:rFonts w:ascii="Arial;sans-serif" w:hAnsi="Arial;sans-serif"/>
          <w:b w:val="false"/>
          <w:sz w:val="20"/>
        </w:rPr>
        <w:t>the leases within one year.</w:t>
      </w:r>
      <w:r>
        <w:rPr>
          <w:rFonts w:ascii="Times New Roman" w:hAnsi="Times New Roman"/>
          <w:sz w:val="20"/>
        </w:rPr>
        <w:t xml:space="preserve"> </w:t>
      </w:r>
      <w:r>
        <w:rPr>
          <w:rFonts w:ascii="Arial;sans-serif" w:hAnsi="Arial;sans-serif"/>
          <w:b w:val="false"/>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pStyle w:val="TextBody"/>
        <w:bidi w:val="0"/>
        <w:spacing w:before="280" w:after="0"/>
        <w:jc w:val="left"/>
        <w:rPr>
          <w:rFonts w:ascii="Arial;sans-serif" w:hAnsi="Arial;sans-serif"/>
          <w:b w:val="false"/>
          <w:i/>
          <w:sz w:val="20"/>
        </w:rPr>
      </w:pPr>
      <w:r>
        <w:rPr>
          <w:rFonts w:ascii="Arial;sans-serif" w:hAnsi="Arial;sans-serif"/>
          <w:b w:val="false"/>
          <w:i/>
          <w:sz w:val="20"/>
        </w:rPr>
        <w:t>Lessor accounting</w:t>
      </w:r>
    </w:p>
    <w:p>
      <w:pPr>
        <w:pStyle w:val="TextBody"/>
        <w:bidi w:val="0"/>
        <w:spacing w:before="80" w:after="0"/>
        <w:jc w:val="left"/>
        <w:rPr>
          <w:rFonts w:ascii="Arial;sans-serif" w:hAnsi="Arial;sans-serif"/>
          <w:b w:val="false"/>
          <w:sz w:val="20"/>
        </w:rPr>
      </w:pPr>
      <w:r>
        <w:rPr>
          <w:rFonts w:ascii="Arial;sans-serif" w:hAnsi="Arial;sans-serif"/>
          <w:b w:val="false"/>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80" w:after="0"/>
        <w:jc w:val="left"/>
        <w:rPr>
          <w:rFonts w:ascii="Times New Roman" w:hAnsi="Times New Roman"/>
          <w:sz w:val="20"/>
        </w:rPr>
      </w:pPr>
      <w:r>
        <w:rPr>
          <w:rFonts w:ascii="Arial;sans-serif" w:hAnsi="Arial;sans-serif"/>
          <w:b/>
          <w:i/>
          <w:sz w:val="20"/>
        </w:rPr>
        <w:t>Business combinations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80" w:after="0"/>
        <w:jc w:val="left"/>
        <w:rPr>
          <w:rFonts w:ascii="Times New Roman" w:hAnsi="Times New Roman"/>
          <w:sz w:val="20"/>
        </w:rPr>
      </w:pPr>
      <w:r>
        <w:rPr>
          <w:rFonts w:ascii="Arial;sans-serif" w:hAnsi="Arial;sans-serif"/>
          <w:b/>
          <w:i/>
          <w:sz w:val="20"/>
        </w:rPr>
        <w:t>Patents, orbital slots and other licenses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$3.7</w:t>
      </w:r>
      <w:r>
        <w:rPr>
          <w:rFonts w:ascii="Times New Roman" w:hAnsi="Times New Roman"/>
          <w:sz w:val="20"/>
        </w:rPr>
        <w:t xml:space="preserve"> </w:t>
      </w:r>
      <w:r>
        <w:rPr>
          <w:rFonts w:ascii="Arial;sans-serif" w:hAnsi="Arial;sans-serif"/>
          <w:b w:val="false"/>
          <w:sz w:val="20"/>
        </w:rPr>
        <w:t>million were included in other assets as of both June 30, 2023 and March 31, 2023. The Company capitalized costs of $80.5</w:t>
      </w:r>
      <w:r>
        <w:rPr>
          <w:rFonts w:ascii="Times New Roman" w:hAnsi="Times New Roman"/>
          <w:sz w:val="20"/>
        </w:rPr>
        <w:t xml:space="preserve"> </w:t>
      </w:r>
      <w:r>
        <w:rPr>
          <w:rFonts w:ascii="Arial;sans-serif" w:hAnsi="Arial;sans-serif"/>
          <w:b w:val="false"/>
          <w:sz w:val="20"/>
        </w:rPr>
        <w:t>million and $77.0</w:t>
      </w:r>
      <w:r>
        <w:rPr>
          <w:rFonts w:ascii="Times New Roman" w:hAnsi="Times New Roman"/>
          <w:sz w:val="20"/>
        </w:rPr>
        <w:t xml:space="preserve"> </w:t>
      </w:r>
      <w:r>
        <w:rPr>
          <w:rFonts w:ascii="Arial;sans-serif" w:hAnsi="Arial;sans-serif"/>
          <w:b w:val="false"/>
          <w:sz w:val="20"/>
        </w:rPr>
        <w:t>million related to acquiring and obtaining orbital slots and other licenses included in other assets as of June 30, 2023 and March 31, 2023, respectively. Accumulated amortization related to these assets was $7.2</w:t>
      </w:r>
      <w:r>
        <w:rPr>
          <w:rFonts w:ascii="Times New Roman" w:hAnsi="Times New Roman"/>
          <w:sz w:val="20"/>
        </w:rPr>
        <w:t xml:space="preserve"> </w:t>
      </w:r>
      <w:r>
        <w:rPr>
          <w:rFonts w:ascii="Arial;sans-serif" w:hAnsi="Arial;sans-serif"/>
          <w:b w:val="false"/>
          <w:sz w:val="20"/>
        </w:rPr>
        <w:t>million and $6.8</w:t>
      </w:r>
      <w:r>
        <w:rPr>
          <w:rFonts w:ascii="Times New Roman" w:hAnsi="Times New Roman"/>
          <w:sz w:val="20"/>
        </w:rPr>
        <w:t xml:space="preserve"> </w:t>
      </w:r>
      <w:r>
        <w:rPr>
          <w:rFonts w:ascii="Arial;sans-serif" w:hAnsi="Arial;sans-serif"/>
          <w:b w:val="false"/>
          <w:sz w:val="20"/>
        </w:rPr>
        <w:t>million as of June 30, 2023 and March 31, 2023, respectively. Amortization expense related to these assets was an insignificant amount for both the three months ended June 30, 2023 and 2022. If a patent, orbital slot or other license is rejected, abandoned or otherwise invalidated, the unamortized cost is expensed in that period. During the three months ended June 30, 2023 and 2022, the Company did not write off any significant costs due to abandonment or impairment.</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Debt issuance costs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Debt issuance costs are amortized and recognized as interest expense using the effective interest rate method, or, when the results are not materially different, on a straight-line basis over the expected term of the related debt. During the three months ended June 30, 2023 and 2022, the Company capitalized $41.2</w:t>
      </w:r>
      <w:r>
        <w:rPr>
          <w:rFonts w:ascii="Times New Roman" w:hAnsi="Times New Roman"/>
          <w:sz w:val="20"/>
        </w:rPr>
        <w:t xml:space="preserve"> </w:t>
      </w:r>
      <w:r>
        <w:rPr>
          <w:rFonts w:ascii="Arial;sans-serif" w:hAnsi="Arial;sans-serif"/>
          <w:b w:val="false"/>
          <w:sz w:val="20"/>
        </w:rPr>
        <w:t>million of debt issuance costs and no</w:t>
      </w:r>
      <w:r>
        <w:rPr>
          <w:rFonts w:ascii="Times New Roman" w:hAnsi="Times New Roman"/>
          <w:sz w:val="20"/>
        </w:rPr>
        <w:t xml:space="preserve"> </w:t>
      </w:r>
      <w:r>
        <w:rPr>
          <w:rFonts w:ascii="Arial;sans-serif" w:hAnsi="Arial;sans-serif"/>
          <w:b w:val="false"/>
          <w:sz w:val="20"/>
        </w:rPr>
        <w:t>debt issuance costs,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facilities are recorded in other long-term assets in the condensed consolidated balance sheets in accordance with the authoritative guidance for imputation of interest (ASC 835-30). Debt issuance costs related to the Company’s $700.0 million senior secured term loan facility (the Term Loan Facility), the Company's $616.7</w:t>
      </w:r>
      <w:r>
        <w:rPr>
          <w:rFonts w:ascii="Times New Roman" w:hAnsi="Times New Roman"/>
          <w:sz w:val="20"/>
        </w:rPr>
        <w:t xml:space="preserve"> </w:t>
      </w:r>
      <w:r>
        <w:rPr>
          <w:rFonts w:ascii="Arial;sans-serif" w:hAnsi="Arial;sans-serif"/>
          <w:b w:val="false"/>
          <w:sz w:val="20"/>
        </w:rPr>
        <w:t>million 2023 Term Loan Facility, the Company's $733.4 million Bridge Facility, the Company's 5.625% Senior Notes due 2025 (the 2025 Notes), the Company’s 5.625% Senior Secured Notes due 2027 (the 2027 Notes), the Company’s 6.500% Senior Notes due 2028 (the 2028 Notes) and the Company's direct loan facility with the Export-Import Bank of the United States (the Ex-Im Credit Facility and, together with the Term Loan Facility, the 2023 Term Loan Facility and the Bridge Facility, the Viasat Credit Facilities), as well as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80" w:after="0"/>
        <w:jc w:val="left"/>
        <w:rPr>
          <w:rFonts w:ascii="Arial;sans-serif" w:hAnsi="Arial;sans-serif"/>
          <w:b w:val="false"/>
          <w:sz w:val="20"/>
        </w:rPr>
      </w:pPr>
      <w:r>
        <w:rPr>
          <w:rFonts w:ascii="Arial;sans-serif" w:hAnsi="Arial;sans-serif"/>
          <w:b w:val="false"/>
          <w:sz w:val="20"/>
        </w:rPr>
        <w:t>debt issuance costs related to Inmarsat's $1.75 billion senior secured term loan facility (the Inmarsat Term Loan Facility) and Inmarsat's 6.750% Senior Secured Notes due 2026 (the Inmarsat 2026 Notes), are recorded as a direct deduction from the carrying amount of the related debt, consistent with debt discounts, in accordance with the authoritative guidance for imputation of interest (ASC 835-30).</w:t>
      </w:r>
    </w:p>
    <w:p>
      <w:pPr>
        <w:pStyle w:val="TextBody"/>
        <w:bidi w:val="0"/>
        <w:spacing w:before="280" w:after="0"/>
        <w:jc w:val="left"/>
        <w:rPr>
          <w:rFonts w:ascii="Times New Roman" w:hAnsi="Times New Roman"/>
          <w:sz w:val="20"/>
        </w:rPr>
      </w:pPr>
      <w:r>
        <w:rPr>
          <w:rFonts w:ascii="Arial;sans-serif" w:hAnsi="Arial;sans-serif"/>
          <w:b/>
          <w:i/>
          <w:sz w:val="20"/>
        </w:rPr>
        <w:t>Software development</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$223.8</w:t>
      </w:r>
      <w:r>
        <w:rPr>
          <w:rFonts w:ascii="Times New Roman" w:hAnsi="Times New Roman"/>
          <w:sz w:val="20"/>
        </w:rPr>
        <w:t xml:space="preserve"> </w:t>
      </w:r>
      <w:r>
        <w:rPr>
          <w:rFonts w:ascii="Arial;sans-serif" w:hAnsi="Arial;sans-serif"/>
          <w:b w:val="false"/>
          <w:sz w:val="20"/>
        </w:rPr>
        <w:t>million and $222.2</w:t>
      </w:r>
      <w:r>
        <w:rPr>
          <w:rFonts w:ascii="Times New Roman" w:hAnsi="Times New Roman"/>
          <w:sz w:val="20"/>
        </w:rPr>
        <w:t xml:space="preserve"> </w:t>
      </w:r>
      <w:r>
        <w:rPr>
          <w:rFonts w:ascii="Arial;sans-serif" w:hAnsi="Arial;sans-serif"/>
          <w:b w:val="false"/>
          <w:sz w:val="20"/>
        </w:rPr>
        <w:t>million related to software developed for resale were included in other assets as of June 30, 2023 and March 31, 2023, respectively. The Company capitalized $16.0</w:t>
      </w:r>
      <w:r>
        <w:rPr>
          <w:rFonts w:ascii="Times New Roman" w:hAnsi="Times New Roman"/>
          <w:sz w:val="20"/>
        </w:rPr>
        <w:t xml:space="preserve"> </w:t>
      </w:r>
      <w:r>
        <w:rPr>
          <w:rFonts w:ascii="Arial;sans-serif" w:hAnsi="Arial;sans-serif"/>
          <w:b w:val="false"/>
          <w:sz w:val="20"/>
        </w:rPr>
        <w:t>million and $8.7</w:t>
      </w:r>
      <w:r>
        <w:rPr>
          <w:rFonts w:ascii="Times New Roman" w:hAnsi="Times New Roman"/>
          <w:sz w:val="20"/>
        </w:rPr>
        <w:t xml:space="preserve"> </w:t>
      </w:r>
      <w:r>
        <w:rPr>
          <w:rFonts w:ascii="Arial;sans-serif" w:hAnsi="Arial;sans-serif"/>
          <w:b w:val="false"/>
          <w:sz w:val="20"/>
        </w:rPr>
        <w:t>million of costs related to software developed for resale for the three months ended June 30, 2023 and 2022, respectively. Amortization expense for capitalized software development costs was $14.4</w:t>
      </w:r>
      <w:r>
        <w:rPr>
          <w:rFonts w:ascii="Times New Roman" w:hAnsi="Times New Roman"/>
          <w:sz w:val="20"/>
        </w:rPr>
        <w:t xml:space="preserve"> </w:t>
      </w:r>
      <w:r>
        <w:rPr>
          <w:rFonts w:ascii="Arial;sans-serif" w:hAnsi="Arial;sans-serif"/>
          <w:b w:val="false"/>
          <w:sz w:val="20"/>
        </w:rPr>
        <w:t>million and $9.2</w:t>
      </w:r>
      <w:r>
        <w:rPr>
          <w:rFonts w:ascii="Times New Roman" w:hAnsi="Times New Roman"/>
          <w:sz w:val="20"/>
        </w:rPr>
        <w:t xml:space="preserve"> </w:t>
      </w:r>
      <w:r>
        <w:rPr>
          <w:rFonts w:ascii="Arial;sans-serif" w:hAnsi="Arial;sans-serif"/>
          <w:b w:val="false"/>
          <w:sz w:val="20"/>
        </w:rPr>
        <w:t>million for the three months ended June 30, 2023 and 2022, respectively.</w:t>
      </w:r>
    </w:p>
    <w:p>
      <w:pPr>
        <w:pStyle w:val="TextBody"/>
        <w:bidi w:val="0"/>
        <w:spacing w:before="280" w:after="0"/>
        <w:jc w:val="left"/>
        <w:rPr>
          <w:rFonts w:ascii="Times New Roman" w:hAnsi="Times New Roman"/>
          <w:sz w:val="20"/>
        </w:rPr>
      </w:pPr>
      <w:r>
        <w:rPr>
          <w:rFonts w:ascii="Arial;sans-serif" w:hAnsi="Arial;sans-serif"/>
          <w:b/>
          <w:i/>
          <w:sz w:val="20"/>
        </w:rPr>
        <w:t>Self-insurance and post-retirement medical benefit liabilities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$7.7</w:t>
      </w:r>
      <w:r>
        <w:rPr>
          <w:rFonts w:ascii="Times New Roman" w:hAnsi="Times New Roman"/>
          <w:sz w:val="20"/>
        </w:rPr>
        <w:t xml:space="preserve"> </w:t>
      </w:r>
      <w:r>
        <w:rPr>
          <w:rFonts w:ascii="Arial;sans-serif" w:hAnsi="Arial;sans-serif"/>
          <w:b w:val="false"/>
          <w:sz w:val="20"/>
        </w:rPr>
        <w:t>million and $7.9</w:t>
      </w:r>
      <w:r>
        <w:rPr>
          <w:rFonts w:ascii="Times New Roman" w:hAnsi="Times New Roman"/>
          <w:sz w:val="20"/>
        </w:rPr>
        <w:t xml:space="preserve"> </w:t>
      </w:r>
      <w:r>
        <w:rPr>
          <w:rFonts w:ascii="Arial;sans-serif" w:hAnsi="Arial;sans-serif"/>
          <w:b w:val="false"/>
          <w:sz w:val="20"/>
        </w:rPr>
        <w:t>million as of June 30, 2023 and March 31, 2023,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pStyle w:val="TextBody"/>
        <w:bidi w:val="0"/>
        <w:spacing w:before="80" w:after="0"/>
        <w:jc w:val="left"/>
        <w:rPr>
          <w:rFonts w:ascii="Times New Roman" w:hAnsi="Times New Roman"/>
          <w:sz w:val="20"/>
        </w:rPr>
      </w:pPr>
      <w:r>
        <w:rPr>
          <w:rFonts w:ascii="Arial;sans-serif" w:hAnsi="Arial;sans-serif"/>
          <w:b w:val="false"/>
          <w:sz w:val="20"/>
        </w:rPr>
        <w:t>As a part of the Inmarsat Acquisition, the Company assumed a post-retirement medical benefit plan for retired employees (and their dependents) who were employed by Inmarsat before January 1, 1998.</w:t>
      </w:r>
      <w:r>
        <w:rPr>
          <w:rFonts w:ascii="Times New Roman" w:hAnsi="Times New Roman"/>
          <w:sz w:val="20"/>
        </w:rPr>
        <w:t xml:space="preserve"> </w:t>
      </w:r>
      <w:r>
        <w:rPr>
          <w:rFonts w:ascii="Arial;sans-serif" w:hAnsi="Arial;sans-serif"/>
          <w:b w:val="false"/>
          <w:sz w:val="20"/>
        </w:rPr>
        <w:t>The plan is self-funded and there are no plan assets from which the costs are paid. The cost of providing these benefits is actuarially determined and accrued over the service period of the active employee groups. Inmarsat's post-retirement medical liability is capped at the United Kingdom Consumer Price Index +1%.</w:t>
      </w:r>
    </w:p>
    <w:p>
      <w:pPr>
        <w:pStyle w:val="TextBody"/>
        <w:bidi w:val="0"/>
        <w:spacing w:before="280" w:after="0"/>
        <w:jc w:val="left"/>
        <w:rPr>
          <w:rFonts w:ascii="Times New Roman" w:hAnsi="Times New Roman"/>
          <w:sz w:val="20"/>
        </w:rPr>
      </w:pPr>
      <w:r>
        <w:rPr>
          <w:rFonts w:ascii="Arial;sans-serif" w:hAnsi="Arial;sans-serif"/>
          <w:b/>
          <w:i/>
          <w:sz w:val="20"/>
        </w:rPr>
        <w:t>Indemnification provisions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2023 and March 31, 2023, no</w:t>
      </w:r>
      <w:r>
        <w:rPr>
          <w:rFonts w:ascii="Times New Roman" w:hAnsi="Times New Roman"/>
          <w:sz w:val="20"/>
        </w:rPr>
        <w:t xml:space="preserve"> </w:t>
      </w:r>
      <w:r>
        <w:rPr>
          <w:rFonts w:ascii="Arial;sans-serif" w:hAnsi="Arial;sans-serif"/>
          <w:b w:val="false"/>
          <w:sz w:val="20"/>
        </w:rPr>
        <w:t>such amounts were accrued related to the aforementioned provisions.</w:t>
      </w:r>
    </w:p>
    <w:p>
      <w:pPr>
        <w:pStyle w:val="TextBody"/>
        <w:bidi w:val="0"/>
        <w:spacing w:before="240" w:after="0"/>
        <w:jc w:val="center"/>
        <w:rPr>
          <w:rFonts w:ascii="Arial;sans-serif" w:hAnsi="Arial;sans-serif"/>
          <w:b w:val="false"/>
          <w:sz w:val="20"/>
        </w:rPr>
      </w:pPr>
      <w:r>
        <w:rPr>
          <w:rFonts w:ascii="Arial;sans-serif" w:hAnsi="Arial;sans-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i/>
          <w:sz w:val="20"/>
        </w:rPr>
        <w:t>Noncontrolling interests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280" w:after="0"/>
        <w:jc w:val="left"/>
        <w:rPr>
          <w:rFonts w:ascii="Times New Roman" w:hAnsi="Times New Roman"/>
          <w:sz w:val="20"/>
        </w:rPr>
      </w:pPr>
      <w:r>
        <w:rPr>
          <w:rFonts w:ascii="Arial;sans-serif" w:hAnsi="Arial;sans-serif"/>
          <w:b/>
          <w:i/>
          <w:sz w:val="20"/>
        </w:rPr>
        <w:t>Investments in unconsolidated affiliate — equity method</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Common stock held in treasury</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As of June 30, 2023 and March 31, 2023, the Company had no</w:t>
      </w:r>
      <w:r>
        <w:rPr>
          <w:rFonts w:ascii="Times New Roman" w:hAnsi="Times New Roman"/>
          <w:sz w:val="20"/>
        </w:rPr>
        <w:t xml:space="preserve"> </w:t>
      </w:r>
      <w:r>
        <w:rPr>
          <w:rFonts w:ascii="Arial;sans-serif" w:hAnsi="Arial;sans-serif"/>
          <w:b w:val="false"/>
          <w:sz w:val="20"/>
        </w:rPr>
        <w:t>shares of common stock held in treasury.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During the three months ended June 30, 2023 and 2022, the Company issued 137,469</w:t>
      </w:r>
      <w:r>
        <w:rPr>
          <w:rFonts w:ascii="Times New Roman" w:hAnsi="Times New Roman"/>
          <w:sz w:val="20"/>
        </w:rPr>
        <w:t xml:space="preserve"> </w:t>
      </w:r>
      <w:r>
        <w:rPr>
          <w:rFonts w:ascii="Arial;sans-serif" w:hAnsi="Arial;sans-serif"/>
          <w:b w:val="false"/>
          <w:sz w:val="20"/>
        </w:rPr>
        <w:t>and 46,471</w:t>
      </w:r>
      <w:r>
        <w:rPr>
          <w:rFonts w:ascii="Times New Roman" w:hAnsi="Times New Roman"/>
          <w:sz w:val="20"/>
        </w:rPr>
        <w:t xml:space="preserve"> </w:t>
      </w:r>
      <w:r>
        <w:rPr>
          <w:rFonts w:ascii="Arial;sans-serif" w:hAnsi="Arial;sans-serif"/>
          <w:b w:val="false"/>
          <w:sz w:val="20"/>
        </w:rPr>
        <w:t>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2023 and 2022, the Company repurchased 48,850</w:t>
      </w:r>
      <w:r>
        <w:rPr>
          <w:rFonts w:ascii="Times New Roman" w:hAnsi="Times New Roman"/>
          <w:sz w:val="20"/>
        </w:rPr>
        <w:t xml:space="preserve"> </w:t>
      </w:r>
      <w:r>
        <w:rPr>
          <w:rFonts w:ascii="Arial;sans-serif" w:hAnsi="Arial;sans-serif"/>
          <w:b w:val="false"/>
          <w:sz w:val="20"/>
        </w:rPr>
        <w:t>and 13,165</w:t>
      </w:r>
      <w:r>
        <w:rPr>
          <w:rFonts w:ascii="Times New Roman" w:hAnsi="Times New Roman"/>
          <w:sz w:val="20"/>
        </w:rPr>
        <w:t xml:space="preserve"> </w:t>
      </w:r>
      <w:r>
        <w:rPr>
          <w:rFonts w:ascii="Arial;sans-serif" w:hAnsi="Arial;sans-serif"/>
          <w:b w:val="false"/>
          <w:sz w:val="20"/>
        </w:rPr>
        <w:t>shares of common stock, respectively, at cost and with a total value of $2.2</w:t>
      </w:r>
      <w:r>
        <w:rPr>
          <w:rFonts w:ascii="Times New Roman" w:hAnsi="Times New Roman"/>
          <w:sz w:val="20"/>
        </w:rPr>
        <w:t xml:space="preserve"> </w:t>
      </w:r>
      <w:r>
        <w:rPr>
          <w:rFonts w:ascii="Arial;sans-serif" w:hAnsi="Arial;sans-serif"/>
          <w:b w:val="false"/>
          <w:sz w:val="20"/>
        </w:rPr>
        <w:t>million and an insignificant amount,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pStyle w:val="TextBody"/>
        <w:bidi w:val="0"/>
        <w:spacing w:before="280" w:after="0"/>
        <w:jc w:val="left"/>
        <w:rPr>
          <w:rFonts w:ascii="Arial;sans-serif" w:hAnsi="Arial;sans-serif"/>
          <w:b/>
          <w:i/>
          <w:sz w:val="20"/>
        </w:rPr>
      </w:pPr>
      <w:r>
        <w:rPr>
          <w:rFonts w:ascii="Arial;sans-serif" w:hAnsi="Arial;sans-serif"/>
          <w:b/>
          <w:i/>
          <w:sz w:val="20"/>
        </w:rPr>
        <w:t>Derivatives</w:t>
      </w:r>
    </w:p>
    <w:p>
      <w:pPr>
        <w:pStyle w:val="TextBody"/>
        <w:bidi w:val="0"/>
        <w:spacing w:before="80" w:after="0"/>
        <w:jc w:val="left"/>
        <w:rPr>
          <w:rFonts w:ascii="Times New Roman" w:hAnsi="Times New Roman"/>
          <w:sz w:val="20"/>
        </w:rPr>
      </w:pPr>
      <w:r>
        <w:rPr>
          <w:rFonts w:ascii="Arial;sans-serif" w:hAnsi="Arial;sans-serif"/>
          <w:b w:val="false"/>
          <w:sz w:val="20"/>
        </w:rPr>
        <w:t xml:space="preserve">As a result of the Inmarsat Acquisition on May 30, 2023 (see Note 4 – Acquisition for more information), the Company assumed interest rate cap contracts </w:t>
      </w:r>
      <w:r>
        <w:rPr>
          <w:rFonts w:ascii="ARIAL;sans-serif" w:hAnsi="ARIAL;sans-serif"/>
          <w:b w:val="false"/>
          <w:sz w:val="20"/>
        </w:rPr>
        <w:t xml:space="preserve">to hedge the variable interest rate under the Inmarsat Term Loan Facility </w:t>
      </w:r>
      <w:r>
        <w:rPr>
          <w:rFonts w:ascii="Arial;sans-serif" w:hAnsi="Arial;sans-serif"/>
          <w:b w:val="false"/>
          <w:sz w:val="20"/>
        </w:rPr>
        <w:t>(see Note 8 – Senior Notes and Other Long-Term Debt for more information). The interest rate cap contracts provided protection of USD LIBOR up to 2% and covered 98% of the total nominal amount of the Inmarsat Term Loan Facility. At the time of the acquisition, the Company continued to account for the interest rate cap contracts as cash-flow hedges.</w:t>
      </w:r>
    </w:p>
    <w:p>
      <w:pPr>
        <w:pStyle w:val="TextBody"/>
        <w:bidi w:val="0"/>
        <w:spacing w:before="180" w:after="0"/>
        <w:jc w:val="left"/>
        <w:rPr>
          <w:rFonts w:ascii="Times New Roman" w:hAnsi="Times New Roman"/>
          <w:sz w:val="20"/>
        </w:rPr>
      </w:pPr>
      <w:r>
        <w:rPr>
          <w:rFonts w:ascii="Arial;sans-serif" w:hAnsi="Arial;sans-serif"/>
          <w:b w:val="false"/>
          <w:sz w:val="20"/>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liability if the cash flows are due to be received in greater than 12 months, and as a current asset or liability if the cash flows are due to be received in less than 12 months.</w:t>
      </w:r>
    </w:p>
    <w:p>
      <w:pPr>
        <w:pStyle w:val="TextBody"/>
        <w:bidi w:val="0"/>
        <w:spacing w:before="180" w:after="0"/>
        <w:jc w:val="left"/>
        <w:rPr>
          <w:rFonts w:ascii="Times New Roman" w:hAnsi="Times New Roman"/>
          <w:sz w:val="20"/>
        </w:rPr>
      </w:pPr>
      <w:r>
        <w:rPr>
          <w:rFonts w:ascii="Arial;sans-serif" w:hAnsi="Arial;sans-serif"/>
          <w:b w:val="false"/>
          <w:sz w:val="20"/>
        </w:rPr>
        <w:t>Gains and losses arising from derivative instruments not designated as hedging instruments are recorded in other income (expense) as gains (losses) on derivative instruments. 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During the three months ended June 30, 2023, the Company recognized a gain of $12.7</w:t>
      </w:r>
      <w:r>
        <w:rPr>
          <w:rFonts w:ascii="Times New Roman" w:hAnsi="Times New Roman"/>
          <w:sz w:val="20"/>
        </w:rPr>
        <w:t xml:space="preserve"> </w:t>
      </w:r>
      <w:r>
        <w:rPr>
          <w:rFonts w:ascii="Arial;sans-serif" w:hAnsi="Arial;sans-serif"/>
          <w:b w:val="false"/>
          <w:sz w:val="20"/>
        </w:rPr>
        <w:t>million in other comprehensive income arising from changes in the fair value of the interest rate cap contracts (designated as cash-flow hedging instruments) related to the Inmarsat Term Loan Facility. The Company released $4.4</w:t>
      </w:r>
      <w:r>
        <w:rPr>
          <w:rFonts w:ascii="Times New Roman" w:hAnsi="Times New Roman"/>
          <w:sz w:val="20"/>
        </w:rPr>
        <w:t xml:space="preserve"> </w:t>
      </w:r>
      <w:r>
        <w:rPr>
          <w:rFonts w:ascii="Arial;sans-serif" w:hAnsi="Arial;sans-serif"/>
          <w:b w:val="false"/>
          <w:sz w:val="20"/>
        </w:rPr>
        <w:t>million from other comprehensive income to interest expense (based on the nature of the underlying transaction) during the first quarter of fiscal year 2024. As of June 30, 2023, the fair value of the Company's interest rate cap contracts was $52.6</w:t>
      </w:r>
      <w:r>
        <w:rPr>
          <w:rFonts w:ascii="Times New Roman" w:hAnsi="Times New Roman"/>
          <w:sz w:val="20"/>
        </w:rPr>
        <w:t xml:space="preserve"> </w:t>
      </w:r>
      <w:r>
        <w:rPr>
          <w:rFonts w:ascii="Arial;sans-serif" w:hAnsi="Arial;sans-serif"/>
          <w:b w:val="false"/>
          <w:sz w:val="20"/>
        </w:rPr>
        <w:t>million recorded as an other current asset and $26.1</w:t>
      </w:r>
      <w:r>
        <w:rPr>
          <w:rFonts w:ascii="Times New Roman" w:hAnsi="Times New Roman"/>
          <w:sz w:val="20"/>
        </w:rPr>
        <w:t xml:space="preserve"> </w:t>
      </w:r>
      <w:r>
        <w:rPr>
          <w:rFonts w:ascii="Arial;sans-serif" w:hAnsi="Arial;sans-serif"/>
          <w:b w:val="false"/>
          <w:sz w:val="20"/>
        </w:rPr>
        <w:t>million recorded as an other asset (long-term).</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At June 30, 2023</w:t>
      </w:r>
      <w:r>
        <w:rPr>
          <w:rFonts w:ascii="Times New Roman" w:hAnsi="Times New Roman"/>
          <w:sz w:val="20"/>
        </w:rPr>
        <w:t xml:space="preserve"> </w:t>
      </w:r>
      <w:r>
        <w:rPr>
          <w:rFonts w:ascii="Arial;sans-serif" w:hAnsi="Arial;sans-serif"/>
          <w:b w:val="false"/>
          <w:sz w:val="20"/>
        </w:rPr>
        <w:t>the estimated net amount of unrealized gains or losses related to the interest rate cap contracts that was expected to be reclassified to earnings within the next 12 months was $52.6</w:t>
      </w:r>
      <w:r>
        <w:rPr>
          <w:rFonts w:ascii="Times New Roman" w:hAnsi="Times New Roman"/>
          <w:sz w:val="20"/>
        </w:rPr>
        <w:t xml:space="preserve"> </w:t>
      </w:r>
      <w:r>
        <w:rPr>
          <w:rFonts w:ascii="Arial;sans-serif" w:hAnsi="Arial;sans-serif"/>
          <w:b w:val="false"/>
          <w:sz w:val="20"/>
        </w:rPr>
        <w:t>million. The interest rate cap contracts outstanding as of June 30, 2023</w:t>
      </w:r>
      <w:r>
        <w:rPr>
          <w:rFonts w:ascii="Times New Roman" w:hAnsi="Times New Roman"/>
          <w:sz w:val="20"/>
        </w:rPr>
        <w:t xml:space="preserve"> </w:t>
      </w:r>
      <w:r>
        <w:rPr>
          <w:rFonts w:ascii="Arial;sans-serif" w:hAnsi="Arial;sans-serif"/>
          <w:b w:val="false"/>
          <w:sz w:val="20"/>
        </w:rPr>
        <w:t>will mature in February 2025.</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Stock-based compensation</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recognized $21.8</w:t>
      </w:r>
      <w:r>
        <w:rPr>
          <w:rFonts w:ascii="Times New Roman" w:hAnsi="Times New Roman"/>
          <w:sz w:val="20"/>
        </w:rPr>
        <w:t xml:space="preserve"> </w:t>
      </w:r>
      <w:r>
        <w:rPr>
          <w:rFonts w:ascii="Arial;sans-serif" w:hAnsi="Arial;sans-serif"/>
          <w:b w:val="false"/>
          <w:sz w:val="20"/>
        </w:rPr>
        <w:t>million and $20.2</w:t>
      </w:r>
      <w:r>
        <w:rPr>
          <w:rFonts w:ascii="Times New Roman" w:hAnsi="Times New Roman"/>
          <w:sz w:val="20"/>
        </w:rPr>
        <w:t xml:space="preserve"> </w:t>
      </w:r>
      <w:r>
        <w:rPr>
          <w:rFonts w:ascii="Arial;sans-serif" w:hAnsi="Arial;sans-serif"/>
          <w:b w:val="false"/>
          <w:sz w:val="20"/>
        </w:rPr>
        <w:t>million of stock-based compensation expense for the three months ended June 30, 2023 and 2022, respectively. The Company recognizes excess tax benefits or deficiencies on vesting or settlement of awards as discrete items within income tax benefit or provision within net income (loss) and the related cash flows are classified within operating activities.</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Income taxes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180" w:after="0"/>
        <w:jc w:val="left"/>
        <w:rPr>
          <w:rFonts w:ascii="Times New Roman" w:hAnsi="Times New Roman"/>
          <w:sz w:val="20"/>
        </w:rPr>
      </w:pPr>
      <w:r>
        <w:rPr>
          <w:rFonts w:ascii="Arial;sans-serif" w:hAnsi="Arial;sans-serif"/>
          <w:b w:val="false"/>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i/>
          <w:sz w:val="20"/>
        </w:rPr>
        <w:t>Recent authoritative guidance</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 xml:space="preserve">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Company adopted the new guidance prospectively in the first quarter of fiscal year 2024 and applied its provisions to the Inmarsat Acquisition (see Note 4 – Acquisition). </w:t>
      </w:r>
    </w:p>
    <w:p>
      <w:pPr>
        <w:pStyle w:val="TextBody"/>
        <w:bidi w:val="0"/>
        <w:spacing w:before="180" w:after="0"/>
        <w:jc w:val="left"/>
        <w:rPr>
          <w:rFonts w:ascii="Arial;sans-serif" w:hAnsi="Arial;sans-serif"/>
          <w:b w:val="false"/>
          <w:sz w:val="20"/>
        </w:rPr>
      </w:pPr>
      <w:r>
        <w:rPr>
          <w:rFonts w:ascii="Arial;sans-serif" w:hAnsi="Arial;sans-serif"/>
          <w:b w:val="false"/>
          <w:sz w:val="20"/>
        </w:rPr>
        <w:t>In March 2022, the FASB issued ASU 2022-01, Derivatives and Hedging (ASC 815): Fair Value Hedging—Portfolio Layer Method. ASU 2022-01 clarifies the accounting and promotes consistency in reporting for hedges where the portfolio layer method is applied. The Company adopted the new guidance in the first quarter of fiscal year 2024 and the guidance did not have a material impact on its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Company adopted the new guidance prospectively in the first quarter of fiscal year 2024 and the guidance did not have a material impact on its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Company beginning in fiscal year 2025. The Company is currently evaluating the impact of this standard on its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September 2022, the FASB issued ASU 2022-04, Liabilities – Supplier Finance Programs (Subtopic 405-50): Disclosure of Supplier 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the interim period. The Company adopted the new guidance in the first quarter of fiscal year 2024 (including early adoption of the amendment on the rollforward information) and the guidance did not have a material impact on its consolidated financial statements and disclosures.</w:t>
      </w:r>
    </w:p>
    <w:p>
      <w:pPr>
        <w:pStyle w:val="TextBody"/>
        <w:bidi w:val="0"/>
        <w:spacing w:before="180" w:after="0"/>
        <w:jc w:val="left"/>
        <w:rPr>
          <w:rFonts w:ascii="Arial;sans-serif" w:hAnsi="Arial;sans-serif"/>
          <w:b w:val="false"/>
          <w:sz w:val="20"/>
        </w:rPr>
      </w:pPr>
      <w:r>
        <w:rPr>
          <w:rFonts w:ascii="Arial;sans-serif" w:hAnsi="Arial;sans-serif"/>
          <w:b w:val="false"/>
          <w:sz w:val="20"/>
        </w:rPr>
        <w:t>In March 2023, the FASB issued ASU 2023-01, Leases (Topic 842) - Common Control Agreements. The amendments in this update that apply to public business entities clarify the accounting for leasehold improvements associated with common control leases. The new standard will become effective for the Company beginning in fiscal year 2025. The Company is currently evaluating the impact of this standard on its consolidated financial statements and disclosures.</w:t>
      </w:r>
    </w:p>
    <w:p>
      <w:pPr>
        <w:pStyle w:val="TextBody"/>
        <w:bidi w:val="0"/>
        <w:spacing w:before="240" w:after="0"/>
        <w:jc w:val="center"/>
        <w:rPr>
          <w:rFonts w:ascii="Arial;sans-serif" w:hAnsi="Arial;sans-serif"/>
          <w:b w:val="false"/>
          <w:sz w:val="20"/>
        </w:rPr>
      </w:pPr>
      <w:r>
        <w:rPr>
          <w:rFonts w:ascii="Arial;sans-serif" w:hAnsi="Arial;sans-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sz w:val="20"/>
        </w:rPr>
        <w:t>Note 2 — Composition of Certain Balance Sheet Captions</w:t>
      </w:r>
      <w:r>
        <w:rPr>
          <w:rFonts w:ascii="Times New Roman" w:hAnsi="Times New Roman"/>
          <w:sz w:val="20"/>
        </w:rPr>
        <w:t xml:space="preserve"> </w:t>
      </w:r>
    </w:p>
    <w:p>
      <w:pPr>
        <w:pStyle w:val="TextBody"/>
        <w:bidi w:val="0"/>
        <w:spacing w:before="0" w:after="0"/>
        <w:jc w:val="left"/>
        <w:rPr/>
      </w:pPr>
      <w:r>
        <w:rPr/>
        <w:t> </w:t>
      </w:r>
    </w:p>
    <w:tbl>
      <w:tblPr>
        <w:tblW w:w="8654" w:type="dxa"/>
        <w:jc w:val="left"/>
        <w:tblInd w:w="0" w:type="dxa"/>
        <w:tblLayout w:type="fixed"/>
        <w:tblCellMar>
          <w:top w:w="28" w:type="dxa"/>
          <w:left w:w="28" w:type="dxa"/>
          <w:bottom w:w="28" w:type="dxa"/>
          <w:right w:w="28" w:type="dxa"/>
        </w:tblCellMar>
      </w:tblPr>
      <w:tblGrid>
        <w:gridCol w:w="5896"/>
        <w:gridCol w:w="146"/>
        <w:gridCol w:w="181"/>
        <w:gridCol w:w="796"/>
        <w:gridCol w:w="151"/>
        <w:gridCol w:w="146"/>
        <w:gridCol w:w="181"/>
        <w:gridCol w:w="766"/>
        <w:gridCol w:w="39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2"/>
              </w:rPr>
            </w:pPr>
            <w:r>
              <w:rPr>
                <w:rFonts w:ascii="Arial;sans-serif" w:hAnsi="Arial;sans-serif"/>
                <w:b/>
                <w:sz w:val="12"/>
              </w:rPr>
              <w:t>As of</w:t>
              <w:br/>
              <w:t> June 30, 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2"/>
              </w:rPr>
            </w:pPr>
            <w:r>
              <w:rPr>
                <w:rFonts w:ascii="Arial;sans-serif" w:hAnsi="Arial;sans-serif"/>
                <w:b/>
                <w:sz w:val="12"/>
              </w:rPr>
              <w:t>As of</w:t>
              <w:br/>
              <w:t> 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21" w:type="dxa"/>
            <w:gridSpan w:val="6"/>
            <w:tcBorders/>
            <w:vAlign w:val="center"/>
          </w:tcPr>
          <w:p>
            <w:pPr>
              <w:pStyle w:val="TableContents"/>
              <w:bidi w:val="0"/>
              <w:spacing w:before="0" w:after="0"/>
              <w:ind w:left="0" w:right="0" w:hanging="0"/>
              <w:jc w:val="center"/>
              <w:rPr>
                <w:rFonts w:ascii="Arial;sans-serif" w:hAnsi="Arial;sans-serif"/>
                <w:b/>
                <w:sz w:val="12"/>
              </w:rPr>
            </w:pPr>
            <w:r>
              <w:rPr>
                <w:rFonts w:ascii="Arial;sans-serif" w:hAnsi="Arial;sans-serif"/>
                <w:b/>
                <w:sz w:val="12"/>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Accounts receivable, net:</w:t>
            </w:r>
          </w:p>
        </w:tc>
        <w:tc>
          <w:tcPr>
            <w:tcW w:w="146" w:type="dxa"/>
            <w:tcBorders/>
            <w:vAlign w:val="center"/>
          </w:tcPr>
          <w:p>
            <w:pPr>
              <w:pStyle w:val="TableContents"/>
              <w:bidi w:val="0"/>
              <w:spacing w:before="0" w:after="0"/>
              <w:ind w:left="0" w:right="0" w:hanging="0"/>
              <w:jc w:val="left"/>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Billed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513,517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327,148</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Unbilled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130,655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104,889</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Allowance for doubtful accounts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(13,642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(12,103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630,530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419,934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Inventories:</w:t>
            </w:r>
          </w:p>
        </w:tc>
        <w:tc>
          <w:tcPr>
            <w:tcW w:w="146" w:type="dxa"/>
            <w:tcBorders/>
            <w:vAlign w:val="center"/>
          </w:tcPr>
          <w:p>
            <w:pPr>
              <w:pStyle w:val="TableContents"/>
              <w:bidi w:val="0"/>
              <w:spacing w:before="0" w:after="0"/>
              <w:ind w:left="0" w:right="0" w:hanging="0"/>
              <w:jc w:val="left"/>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Raw materials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111,303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68,655</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Work in process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25,820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25,347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Finished goods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198,438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174,561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335,561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268,563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Prepaid expenses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175,414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115,701</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Other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158,228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60,928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333,642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176,629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Property, equipment and satellites, net:</w:t>
            </w:r>
          </w:p>
        </w:tc>
        <w:tc>
          <w:tcPr>
            <w:tcW w:w="146" w:type="dxa"/>
            <w:tcBorders/>
            <w:vAlign w:val="center"/>
          </w:tcPr>
          <w:p>
            <w:pPr>
              <w:pStyle w:val="TableContents"/>
              <w:bidi w:val="0"/>
              <w:spacing w:before="0" w:after="0"/>
              <w:ind w:left="0" w:right="0" w:hanging="0"/>
              <w:jc w:val="left"/>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Equipment and software (estimated useful life of 3-7 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3,109,932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1,917,243</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CPE leased equipment (estimated useful life of 4-7 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609,183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395,427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3"/>
              </w:rPr>
              <w:t>Furniture and fixtures (estimated useful life of 7</w:t>
            </w:r>
            <w:r>
              <w:rPr>
                <w:rFonts w:ascii="Times New Roman" w:hAnsi="Times New Roman"/>
                <w:sz w:val="20"/>
              </w:rPr>
              <w:t> </w:t>
            </w:r>
            <w:r>
              <w:rPr>
                <w:rFonts w:ascii="Arial;sans-serif" w:hAnsi="Arial;sans-serif"/>
                <w:b w:val="false"/>
                <w:sz w:val="13"/>
              </w:rPr>
              <w:t>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64,035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58,807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Leasehold improvements (estimated useful life of 2-17 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180,112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151,827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Buildings (estimated useful life of 12-38 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16,425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12,487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Land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29,434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3,873</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Construction in progress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1,033,066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685,646</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Satellites (estimated useful life of 7-17 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2,705,771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1,056,313</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Satellite Ka-band capacity obtained under finance leases (estimated useful life of 7-11 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175,712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175,712</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Satellites under construction</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3,689,340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2,252,908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11,613,010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6,710,243</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(2,450,119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(2,331,960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58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9,162,891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4,378,283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Other acquired intangible assets, net:</w:t>
            </w:r>
          </w:p>
        </w:tc>
        <w:tc>
          <w:tcPr>
            <w:tcW w:w="146" w:type="dxa"/>
            <w:tcBorders/>
            <w:vAlign w:val="center"/>
          </w:tcPr>
          <w:p>
            <w:pPr>
              <w:pStyle w:val="TableContents"/>
              <w:bidi w:val="0"/>
              <w:spacing w:before="0" w:after="0"/>
              <w:ind w:left="0" w:right="0" w:hanging="0"/>
              <w:jc w:val="left"/>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3"/>
              </w:rPr>
              <w:t>Contracts and customer relationships (weighted average useful life of 11</w:t>
            </w:r>
            <w:r>
              <w:rPr>
                <w:rFonts w:ascii="Times New Roman" w:hAnsi="Times New Roman"/>
                <w:sz w:val="20"/>
              </w:rPr>
              <w:t> </w:t>
            </w:r>
            <w:r>
              <w:rPr>
                <w:rFonts w:ascii="Arial;sans-serif" w:hAnsi="Arial;sans-serif"/>
                <w:b w:val="false"/>
                <w:sz w:val="13"/>
              </w:rPr>
              <w:t>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1,068,425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132,563</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3"/>
              </w:rPr>
              <w:t>Orbital slots and spectrum assets (weighted average useful life of 12</w:t>
            </w:r>
            <w:r>
              <w:rPr>
                <w:rFonts w:ascii="Times New Roman" w:hAnsi="Times New Roman"/>
                <w:sz w:val="20"/>
              </w:rPr>
              <w:t> </w:t>
            </w:r>
            <w:r>
              <w:rPr>
                <w:rFonts w:ascii="Arial;sans-serif" w:hAnsi="Arial;sans-serif"/>
                <w:b w:val="false"/>
                <w:sz w:val="13"/>
              </w:rPr>
              <w:t>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1,018,600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8,600</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3"/>
              </w:rPr>
              <w:t>Technology (weighted average useful life of 7</w:t>
            </w:r>
            <w:r>
              <w:rPr>
                <w:rFonts w:ascii="Times New Roman" w:hAnsi="Times New Roman"/>
                <w:sz w:val="20"/>
              </w:rPr>
              <w:t> </w:t>
            </w:r>
            <w:r>
              <w:rPr>
                <w:rFonts w:ascii="Arial;sans-serif" w:hAnsi="Arial;sans-serif"/>
                <w:b w:val="false"/>
                <w:sz w:val="13"/>
              </w:rPr>
              <w:t>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258,492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151,327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3"/>
              </w:rPr>
              <w:t>Trade name (weighted average useful life of 8</w:t>
            </w:r>
            <w:r>
              <w:rPr>
                <w:rFonts w:ascii="Times New Roman" w:hAnsi="Times New Roman"/>
                <w:sz w:val="20"/>
              </w:rPr>
              <w:t> </w:t>
            </w:r>
            <w:r>
              <w:rPr>
                <w:rFonts w:ascii="Arial;sans-serif" w:hAnsi="Arial;sans-serif"/>
                <w:b w:val="false"/>
                <w:sz w:val="13"/>
              </w:rPr>
              <w:t>years)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117,419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32,253</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Times New Roman" w:hAnsi="Times New Roman"/>
                <w:sz w:val="20"/>
              </w:rPr>
            </w:pPr>
            <w:r>
              <w:rPr>
                <w:rFonts w:ascii="Arial;sans-serif" w:hAnsi="Arial;sans-serif"/>
                <w:b w:val="false"/>
                <w:sz w:val="13"/>
              </w:rPr>
              <w:t>Other (weighted average useful life of 6</w:t>
            </w:r>
            <w:r>
              <w:rPr>
                <w:rFonts w:ascii="Times New Roman" w:hAnsi="Times New Roman"/>
                <w:sz w:val="20"/>
              </w:rPr>
              <w:t> </w:t>
            </w:r>
            <w:r>
              <w:rPr>
                <w:rFonts w:ascii="Arial;sans-serif" w:hAnsi="Arial;sans-serif"/>
                <w:b w:val="false"/>
                <w:sz w:val="13"/>
              </w:rPr>
              <w:t>years)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257,568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21,782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2,720,504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346,525</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Less: accumulated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(174,374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(145,320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2,546,130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201,205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Other assets:</w:t>
            </w:r>
          </w:p>
        </w:tc>
        <w:tc>
          <w:tcPr>
            <w:tcW w:w="146" w:type="dxa"/>
            <w:tcBorders/>
            <w:vAlign w:val="center"/>
          </w:tcPr>
          <w:p>
            <w:pPr>
              <w:pStyle w:val="TableContents"/>
              <w:bidi w:val="0"/>
              <w:spacing w:before="0" w:after="0"/>
              <w:ind w:left="0" w:right="0" w:hanging="0"/>
              <w:jc w:val="center"/>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Deferred income taxes</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177,014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23,724</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Capitalized software costs, net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223,847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222,155</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Patents, orbital slots and other licenses, net</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76,952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73,932</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Other</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249,592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146,227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727,405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466,038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Accrued and other liabilities:</w:t>
            </w:r>
          </w:p>
        </w:tc>
        <w:tc>
          <w:tcPr>
            <w:tcW w:w="146" w:type="dxa"/>
            <w:tcBorders/>
            <w:vAlign w:val="center"/>
          </w:tcPr>
          <w:p>
            <w:pPr>
              <w:pStyle w:val="TableContents"/>
              <w:bidi w:val="0"/>
              <w:spacing w:before="0" w:after="0"/>
              <w:ind w:left="0" w:right="0" w:hanging="0"/>
              <w:jc w:val="center"/>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Collections in excess of revenues and deferred revenues</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291,749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132,187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Accrued employee compensation</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91,482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125,349</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Accrued vacation</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50,370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45,177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Operating lease liabilities</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66,340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50,639</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Income taxes payable</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192,546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113,905</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Other</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341,578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179,975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1,034,065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647,232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Other liabilities:</w:t>
            </w:r>
          </w:p>
        </w:tc>
        <w:tc>
          <w:tcPr>
            <w:tcW w:w="146" w:type="dxa"/>
            <w:tcBorders/>
            <w:vAlign w:val="center"/>
          </w:tcPr>
          <w:p>
            <w:pPr>
              <w:pStyle w:val="TableContents"/>
              <w:bidi w:val="0"/>
              <w:spacing w:before="0" w:after="0"/>
              <w:ind w:left="0" w:right="0" w:hanging="0"/>
              <w:jc w:val="center"/>
              <w:rPr/>
            </w:pPr>
            <w:r>
              <w:rPr/>
              <w:t> </w:t>
            </w:r>
          </w:p>
        </w:tc>
        <w:tc>
          <w:tcPr>
            <w:tcW w:w="97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Deferred revenues, long-term portion</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1,040,119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84,747</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Deferred income taxes</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1,408,701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85,989</w:t>
            </w:r>
          </w:p>
        </w:tc>
        <w:tc>
          <w:tcPr>
            <w:tcW w:w="391" w:type="dxa"/>
            <w:tcBorders/>
            <w:vAlign w:val="center"/>
          </w:tcPr>
          <w:p>
            <w:pPr>
              <w:pStyle w:val="TableContents"/>
              <w:bidi w:val="0"/>
              <w:spacing w:before="0" w:after="0"/>
              <w:ind w:left="0" w:right="0" w:firstLine="200"/>
              <w:jc w:val="left"/>
              <w:rPr/>
            </w:pPr>
            <w:r>
              <w:rPr/>
              <w:t> </w:t>
            </w:r>
          </w:p>
        </w:tc>
      </w:tr>
      <w:tr>
        <w:trPr/>
        <w:tc>
          <w:tcPr>
            <w:tcW w:w="5896" w:type="dxa"/>
            <w:tcBorders/>
            <w:vAlign w:val="center"/>
          </w:tcPr>
          <w:p>
            <w:pPr>
              <w:pStyle w:val="TableContents"/>
              <w:bidi w:val="0"/>
              <w:spacing w:before="0" w:after="0"/>
              <w:ind w:left="200" w:right="0" w:hanging="0"/>
              <w:jc w:val="left"/>
              <w:rPr>
                <w:rFonts w:ascii="Arial;sans-serif" w:hAnsi="Arial;sans-serif"/>
                <w:b w:val="false"/>
                <w:sz w:val="13"/>
              </w:rPr>
            </w:pPr>
            <w:r>
              <w:rPr>
                <w:rFonts w:ascii="Arial;sans-serif" w:hAnsi="Arial;sans-serif"/>
                <w:b w:val="false"/>
                <w:sz w:val="13"/>
              </w:rPr>
              <w:t>Other</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363,272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47,806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2,812,092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3"/>
              </w:rPr>
            </w:pPr>
            <w:r>
              <w:rPr>
                <w:rFonts w:ascii="Arial;sans-serif" w:hAnsi="Arial;sans-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3"/>
              </w:rPr>
            </w:pPr>
            <w:r>
              <w:rPr>
                <w:rFonts w:ascii="Arial;sans-serif" w:hAnsi="Arial;sans-serif"/>
                <w:b w:val="false"/>
                <w:sz w:val="13"/>
              </w:rPr>
              <w:t>218,542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sz w:val="20"/>
        </w:rPr>
        <w:t>Note 3 — Fair Value Measurements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0"/>
        <w:jc w:val="left"/>
        <w:rPr>
          <w:rFonts w:ascii="Arial;sans-serif" w:hAnsi="Arial;sans-serif"/>
          <w:b w:val="false"/>
          <w:sz w:val="20"/>
        </w:rPr>
      </w:pPr>
      <w:r>
        <w:rPr>
          <w:rFonts w:ascii="Arial;sans-serif" w:hAnsi="Arial;sans-serif"/>
          <w:b w:val="false"/>
          <w:sz w:val="20"/>
        </w:rPr>
        <w:t> Level 1 — Inputs based on quoted market prices for identical assets or liabilities in active markets at the measurement date.</w:t>
      </w:r>
    </w:p>
    <w:p>
      <w:pPr>
        <w:pStyle w:val="TextBody"/>
        <w:bidi w:val="0"/>
        <w:spacing w:before="120" w:after="0"/>
        <w:jc w:val="left"/>
        <w:rPr>
          <w:rFonts w:ascii="Arial;sans-serif" w:hAnsi="Arial;sans-serif"/>
          <w:b w:val="false"/>
          <w:sz w:val="20"/>
        </w:rPr>
      </w:pPr>
      <w:r>
        <w:rPr>
          <w:rFonts w:ascii="Arial;sans-serif" w:hAnsi="Arial;sans-serif"/>
          <w:b w:val="false"/>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0"/>
        <w:jc w:val="left"/>
        <w:rPr>
          <w:rFonts w:ascii="Arial;sans-serif" w:hAnsi="Arial;sans-serif"/>
          <w:b w:val="false"/>
          <w:sz w:val="20"/>
        </w:rPr>
      </w:pPr>
      <w:r>
        <w:rPr>
          <w:rFonts w:ascii="Arial;sans-serif" w:hAnsi="Arial;sans-serif"/>
          <w:b w:val="false"/>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180"/>
        <w:jc w:val="left"/>
        <w:rPr>
          <w:rFonts w:ascii="Times New Roman" w:hAnsi="Times New Roman"/>
          <w:sz w:val="20"/>
        </w:rPr>
      </w:pPr>
      <w:r>
        <w:rPr>
          <w:rFonts w:ascii="Arial;sans-serif" w:hAnsi="Arial;sans-serif"/>
          <w:b w:val="false"/>
          <w:sz w:val="20"/>
        </w:rPr>
        <w:t>The following tables present the Company's hierarchy for its assets measured at fair value on a recurring basis as of both June 30, 2023 and March 31, 2023. The Company had no</w:t>
      </w:r>
      <w:r>
        <w:rPr>
          <w:rFonts w:ascii="Times New Roman" w:hAnsi="Times New Roman"/>
          <w:sz w:val="20"/>
        </w:rPr>
        <w:t xml:space="preserve"> </w:t>
      </w:r>
      <w:r>
        <w:rPr>
          <w:rFonts w:ascii="Arial;sans-serif" w:hAnsi="Arial;sans-serif"/>
          <w:b w:val="false"/>
          <w:sz w:val="20"/>
        </w:rPr>
        <w:t>liabilities measured at fair value on a recurring basis as of both June 30, 2023 and March 31, 2023:</w:t>
      </w:r>
    </w:p>
    <w:tbl>
      <w:tblPr>
        <w:tblW w:w="9988" w:type="dxa"/>
        <w:jc w:val="left"/>
        <w:tblInd w:w="0" w:type="dxa"/>
        <w:tblLayout w:type="fixed"/>
        <w:tblCellMar>
          <w:top w:w="28" w:type="dxa"/>
          <w:left w:w="28" w:type="dxa"/>
          <w:bottom w:w="28" w:type="dxa"/>
          <w:right w:w="28" w:type="dxa"/>
        </w:tblCellMar>
      </w:tblPr>
      <w:tblGrid>
        <w:gridCol w:w="4441"/>
        <w:gridCol w:w="146"/>
        <w:gridCol w:w="237"/>
        <w:gridCol w:w="1083"/>
        <w:gridCol w:w="146"/>
        <w:gridCol w:w="146"/>
        <w:gridCol w:w="211"/>
        <w:gridCol w:w="961"/>
        <w:gridCol w:w="146"/>
        <w:gridCol w:w="146"/>
        <w:gridCol w:w="211"/>
        <w:gridCol w:w="691"/>
        <w:gridCol w:w="146"/>
        <w:gridCol w:w="146"/>
        <w:gridCol w:w="250"/>
        <w:gridCol w:w="410"/>
        <w:gridCol w:w="47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 as of</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 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30"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1" w:type="dxa"/>
            <w:tcBorders/>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Assets:</w:t>
            </w:r>
          </w:p>
        </w:tc>
        <w:tc>
          <w:tcPr>
            <w:tcW w:w="146" w:type="dxa"/>
            <w:tcBorders/>
            <w:vAlign w:val="center"/>
          </w:tcPr>
          <w:p>
            <w:pPr>
              <w:pStyle w:val="TableContents"/>
              <w:bidi w:val="0"/>
              <w:spacing w:before="0" w:after="0"/>
              <w:ind w:left="0" w:right="0" w:hanging="0"/>
              <w:jc w:val="center"/>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44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vAlign w:val="center"/>
          </w:tcPr>
          <w:p>
            <w:pPr>
              <w:pStyle w:val="TableContents"/>
              <w:bidi w:val="0"/>
              <w:spacing w:before="0" w:after="0"/>
              <w:ind w:left="0" w:right="0" w:hanging="0"/>
              <w:jc w:val="center"/>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1,092,609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1,092,609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44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vAlign w:val="center"/>
          </w:tcPr>
          <w:p>
            <w:pPr>
              <w:pStyle w:val="TableContents"/>
              <w:bidi w:val="0"/>
              <w:spacing w:before="0" w:after="0"/>
              <w:ind w:left="0" w:right="0" w:hanging="0"/>
              <w:jc w:val="center"/>
              <w:rPr/>
            </w:pPr>
            <w:r>
              <w:rPr/>
              <w:t> </w:t>
            </w:r>
          </w:p>
        </w:tc>
        <w:tc>
          <w:tcPr>
            <w:tcW w:w="237" w:type="dxa"/>
            <w:tcBorders/>
            <w:vAlign w:val="center"/>
          </w:tcPr>
          <w:p>
            <w:pPr>
              <w:pStyle w:val="TableContents"/>
              <w:bidi w:val="0"/>
              <w:spacing w:before="0" w:after="0"/>
              <w:ind w:left="0" w:right="0" w:hanging="0"/>
              <w:jc w:val="left"/>
              <w:rPr/>
            </w:pPr>
            <w:r>
              <w:rPr/>
              <w:t> </w:t>
            </w:r>
          </w:p>
        </w:tc>
        <w:tc>
          <w:tcPr>
            <w:tcW w:w="10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44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rate cap contracts</w:t>
            </w:r>
          </w:p>
        </w:tc>
        <w:tc>
          <w:tcPr>
            <w:tcW w:w="146" w:type="dxa"/>
            <w:tcBorders/>
            <w:vAlign w:val="center"/>
          </w:tcPr>
          <w:p>
            <w:pPr>
              <w:pStyle w:val="TableContents"/>
              <w:bidi w:val="0"/>
              <w:spacing w:before="0" w:after="0"/>
              <w:ind w:left="0" w:right="0" w:hanging="0"/>
              <w:jc w:val="center"/>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78,638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78,638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 measured at fair value on a recurring</w:t>
              <w:br/>
              <w:t>   basis</w:t>
            </w:r>
          </w:p>
        </w:tc>
        <w:tc>
          <w:tcPr>
            <w:tcW w:w="146" w:type="dxa"/>
            <w:tcBorders/>
            <w:vAlign w:val="center"/>
          </w:tcPr>
          <w:p>
            <w:pPr>
              <w:pStyle w:val="TableContents"/>
              <w:bidi w:val="0"/>
              <w:spacing w:before="0" w:after="0"/>
              <w:ind w:left="0" w:right="0" w:hanging="0"/>
              <w:jc w:val="center"/>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1,305,513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1,226,875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78,638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 as of</w:t>
              <w:b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 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30"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1" w:type="dxa"/>
            <w:tcBorders/>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Assets:</w:t>
            </w:r>
          </w:p>
        </w:tc>
        <w:tc>
          <w:tcPr>
            <w:tcW w:w="146" w:type="dxa"/>
            <w:tcBorders/>
            <w:vAlign w:val="center"/>
          </w:tcPr>
          <w:p>
            <w:pPr>
              <w:pStyle w:val="TableContents"/>
              <w:bidi w:val="0"/>
              <w:spacing w:before="0" w:after="0"/>
              <w:ind w:left="0" w:right="0" w:hanging="0"/>
              <w:jc w:val="center"/>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44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vAlign w:val="center"/>
          </w:tcPr>
          <w:p>
            <w:pPr>
              <w:pStyle w:val="TableContents"/>
              <w:bidi w:val="0"/>
              <w:spacing w:before="0" w:after="0"/>
              <w:ind w:left="0" w:right="0" w:hanging="0"/>
              <w:jc w:val="center"/>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757,600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757,600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 measured at fair value on a recurring</w:t>
              <w:br/>
              <w:t>   basis</w:t>
            </w:r>
          </w:p>
        </w:tc>
        <w:tc>
          <w:tcPr>
            <w:tcW w:w="146" w:type="dxa"/>
            <w:tcBorders/>
            <w:vAlign w:val="center"/>
          </w:tcPr>
          <w:p>
            <w:pPr>
              <w:pStyle w:val="TableContents"/>
              <w:bidi w:val="0"/>
              <w:spacing w:before="0" w:after="0"/>
              <w:ind w:left="0" w:right="0" w:hanging="0"/>
              <w:jc w:val="center"/>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757,600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757,600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left"/>
        <w:rPr>
          <w:rFonts w:ascii="Arial;sans-serif" w:hAnsi="Arial;sans-serif"/>
          <w:b w:val="false"/>
          <w:sz w:val="20"/>
        </w:rPr>
      </w:pPr>
      <w:r>
        <w:rPr>
          <w:rFonts w:ascii="Arial;sans-serif" w:hAnsi="Arial;sans-serif"/>
          <w:b w:val="false"/>
          <w:sz w:val="20"/>
        </w:rPr>
        <w:t>The following section describes the valuation methodologies the Company uses to measure financial instruments at fair value:</w:t>
      </w:r>
    </w:p>
    <w:p>
      <w:pPr>
        <w:pStyle w:val="TextBody"/>
        <w:bidi w:val="0"/>
        <w:spacing w:before="180" w:after="0"/>
        <w:jc w:val="left"/>
        <w:rPr>
          <w:rFonts w:ascii="Times New Roman" w:hAnsi="Times New Roman"/>
          <w:sz w:val="20"/>
        </w:rPr>
      </w:pPr>
      <w:r>
        <w:rPr>
          <w:rFonts w:ascii="Arial;sans-serif" w:hAnsi="Arial;sans-serif"/>
          <w:b w:val="false"/>
          <w:i/>
          <w:sz w:val="20"/>
        </w:rPr>
        <w:t xml:space="preserve">Cash equivalents </w:t>
      </w:r>
      <w:r>
        <w:rPr>
          <w:rFonts w:ascii="Times New Roman" w:hAnsi="Times New Roman"/>
          <w:sz w:val="20"/>
        </w:rPr>
        <w:t xml:space="preserve">— </w:t>
      </w:r>
      <w:r>
        <w:rPr>
          <w:rFonts w:ascii="Arial;sans-serif" w:hAnsi="Arial;sans-serif"/>
          <w:b w:val="false"/>
          <w:sz w:val="20"/>
        </w:rPr>
        <w:t>The Company’s cash equivalents consist of money market funds, with a significant portion held in U.S. government backed qualified money market securities.</w:t>
      </w:r>
    </w:p>
    <w:p>
      <w:pPr>
        <w:pStyle w:val="TextBody"/>
        <w:bidi w:val="0"/>
        <w:spacing w:before="180" w:after="0"/>
        <w:jc w:val="left"/>
        <w:rPr>
          <w:rFonts w:ascii="Times New Roman" w:hAnsi="Times New Roman"/>
          <w:sz w:val="20"/>
        </w:rPr>
      </w:pPr>
      <w:r>
        <w:rPr>
          <w:rFonts w:ascii="Arial;sans-serif" w:hAnsi="Arial;sans-serif"/>
          <w:b w:val="false"/>
          <w:i/>
          <w:sz w:val="20"/>
        </w:rPr>
        <w:t xml:space="preserve">Short-term investments </w:t>
      </w:r>
      <w:r>
        <w:rPr>
          <w:rFonts w:ascii="Times New Roman" w:hAnsi="Times New Roman"/>
          <w:sz w:val="20"/>
        </w:rPr>
        <w:t xml:space="preserve">— </w:t>
      </w:r>
      <w:r>
        <w:rPr>
          <w:rFonts w:ascii="Arial;sans-serif" w:hAnsi="Arial;sans-serif"/>
          <w:b w:val="false"/>
          <w:sz w:val="20"/>
        </w:rPr>
        <w:t>The Company’s short-term investments consist of deposits held with banks, money market funds, certificate of deposits and other short-term, highly liquid investments with an original maturity of between 91 and 120 days.</w:t>
      </w:r>
    </w:p>
    <w:p>
      <w:pPr>
        <w:pStyle w:val="TextBody"/>
        <w:bidi w:val="0"/>
        <w:spacing w:before="180" w:after="0"/>
        <w:jc w:val="left"/>
        <w:rPr>
          <w:rFonts w:ascii="Times New Roman" w:hAnsi="Times New Roman"/>
          <w:sz w:val="20"/>
        </w:rPr>
      </w:pPr>
      <w:r>
        <w:rPr>
          <w:rFonts w:ascii="Arial;sans-serif" w:hAnsi="Arial;sans-serif"/>
          <w:b w:val="false"/>
          <w:i/>
          <w:sz w:val="20"/>
        </w:rPr>
        <w:t>Interest rate cap contracts</w:t>
      </w:r>
      <w:r>
        <w:rPr>
          <w:rFonts w:ascii="Times New Roman" w:hAnsi="Times New Roman"/>
          <w:sz w:val="20"/>
        </w:rPr>
        <w:t xml:space="preserve"> — </w:t>
      </w:r>
      <w:r>
        <w:rPr>
          <w:rFonts w:ascii="Arial;sans-serif" w:hAnsi="Arial;sans-serif"/>
          <w:b w:val="false"/>
          <w:sz w:val="20"/>
        </w:rPr>
        <w:t>The Company assumed interest rate cap contracts to hedge the variable interest rate under the Inmarsat Term Loan Facility (see Note 1 – The Company and a Summary of Its Significant Accounting Policies – Derivatives for more information). The Company’s interest rate cap contracts are valued using the forward interest rate curve at each reporting date (Level 2).</w:t>
      </w:r>
    </w:p>
    <w:p>
      <w:pPr>
        <w:pStyle w:val="TextBody"/>
        <w:bidi w:val="0"/>
        <w:spacing w:before="240" w:after="0"/>
        <w:jc w:val="center"/>
        <w:rPr>
          <w:rFonts w:ascii="Arial;sans-serif" w:hAnsi="Arial;sans-serif"/>
          <w:b w:val="false"/>
          <w:sz w:val="20"/>
        </w:rPr>
      </w:pPr>
      <w:r>
        <w:rPr>
          <w:rFonts w:ascii="Arial;sans-serif" w:hAnsi="Arial;sans-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180"/>
        <w:jc w:val="left"/>
        <w:rPr>
          <w:rFonts w:ascii="Times New Roman" w:hAnsi="Times New Roman"/>
          <w:sz w:val="20"/>
        </w:rPr>
      </w:pPr>
      <w:r>
        <w:rPr>
          <w:rFonts w:ascii="Arial;sans-serif" w:hAnsi="Arial;sans-serif"/>
          <w:b w:val="false"/>
          <w:i/>
          <w:sz w:val="20"/>
        </w:rPr>
        <w:t>Contingencies</w:t>
      </w:r>
      <w:r>
        <w:rPr>
          <w:rFonts w:ascii="Times New Roman" w:hAnsi="Times New Roman"/>
          <w:sz w:val="20"/>
        </w:rPr>
        <w:t xml:space="preserve"> — </w:t>
      </w:r>
      <w:r>
        <w:rPr>
          <w:rFonts w:ascii="Arial;sans-serif" w:hAnsi="Arial;sans-serif"/>
          <w:b w:val="false"/>
          <w:sz w:val="20"/>
        </w:rPr>
        <w:t>In connection with the acquisition of the remaining 51% interest in Euro Broadband Infrastructure Sàrl</w:t>
      </w:r>
      <w:r>
        <w:rPr>
          <w:rFonts w:ascii="Times New Roman" w:hAnsi="Times New Roman"/>
          <w:sz w:val="20"/>
        </w:rPr>
        <w:t xml:space="preserve"> </w:t>
      </w:r>
      <w:r>
        <w:rPr>
          <w:rFonts w:ascii="Arial;sans-serif" w:hAnsi="Arial;sans-serif"/>
          <w:b w:val="false"/>
          <w:sz w:val="20"/>
        </w:rPr>
        <w:t>(EBI) on April 30, 2021, part of the purchase price consideration will not be determined until approximately two years after the closing date, when the Company may pay or receive up to €20.0</w:t>
      </w:r>
      <w:r>
        <w:rPr>
          <w:rFonts w:ascii="Arial;sans-serif" w:hAnsi="Arial;sans-serif"/>
          <w:sz w:val="20"/>
        </w:rPr>
        <w:t xml:space="preserve"> </w:t>
      </w:r>
      <w:r>
        <w:rPr>
          <w:rFonts w:ascii="Arial;sans-serif" w:hAnsi="Arial;sans-serif"/>
          <w:b w:val="false"/>
          <w:sz w:val="20"/>
        </w:rPr>
        <w:t>million, or approximately $21.8</w:t>
      </w:r>
      <w:r>
        <w:rPr>
          <w:rFonts w:ascii="Arial;sans-serif" w:hAnsi="Arial;sans-serif"/>
          <w:sz w:val="20"/>
        </w:rPr>
        <w:t xml:space="preserve"> </w:t>
      </w:r>
      <w:r>
        <w:rPr>
          <w:rFonts w:ascii="Arial;sans-serif" w:hAnsi="Arial;sans-serif"/>
          <w:b w:val="false"/>
          <w:sz w:val="20"/>
        </w:rPr>
        <w:t>million, in cash.</w:t>
      </w:r>
      <w:r>
        <w:rPr>
          <w:rFonts w:ascii="Times New Roman" w:hAnsi="Times New Roman"/>
          <w:sz w:val="20"/>
        </w:rPr>
        <w:t xml:space="preserve"> </w:t>
      </w:r>
      <w:r>
        <w:rPr>
          <w:rFonts w:ascii="Arial;sans-serif" w:hAnsi="Arial;sans-serif"/>
          <w:b w:val="false"/>
          <w:sz w:val="20"/>
        </w:rPr>
        <w:t>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current assets within the prepaid expenses and other current assets caption on the Company's condensed consolidated balance sheets and any change to fair value is recorded in the Company’s condensed consolidated statements of operations each reporting period. As of June 30, 2023 and March 31, 2023, and for the three months ended June 30, 2023 and 2022, the Company’s fair value estimate, and change in fair value of the contingent consideration were immaterial.</w:t>
      </w:r>
    </w:p>
    <w:p>
      <w:pPr>
        <w:pStyle w:val="TextBody"/>
        <w:bidi w:val="0"/>
        <w:spacing w:before="180" w:after="180"/>
        <w:jc w:val="left"/>
        <w:rPr>
          <w:rFonts w:ascii="Times New Roman" w:hAnsi="Times New Roman"/>
          <w:sz w:val="20"/>
        </w:rPr>
      </w:pPr>
      <w:r>
        <w:rPr>
          <w:rFonts w:ascii="Arial;sans-serif" w:hAnsi="Arial;sans-serif"/>
          <w:b w:val="false"/>
          <w:i/>
          <w:sz w:val="20"/>
        </w:rPr>
        <w:t>Long-term debt</w:t>
      </w:r>
      <w:r>
        <w:rPr>
          <w:rFonts w:ascii="Times New Roman" w:hAnsi="Times New Roman"/>
          <w:sz w:val="20"/>
        </w:rPr>
        <w:t xml:space="preserve"> — </w:t>
      </w:r>
      <w:r>
        <w:rPr>
          <w:rFonts w:ascii="Arial;sans-serif" w:hAnsi="Arial;sans-serif"/>
          <w:b w:val="false"/>
          <w:sz w:val="20"/>
        </w:rPr>
        <w:t>The Company’s long-term debt consists of borrowings under the Viasat Credit Facilities and Inmarsat's $2.45 billion senior secured credit facility (the Inmarsat Secured Credit Facility), $700.0 million in aggregate principal amount of 2025 Notes, $600.0 million in aggregate principal amount of 2027 Notes, $400.0 million in aggregate principal amount of 2028 Notes, $2.08 billion in aggregate principal amount of Inmarsat 2026 Notes and finance lease obligations reported at the present value of future minimum lease payments with current accrued interest. Long-term debt related to Viasat's $700.0 million revolving credit facility (the Viasat Revolving Credit Facility) and Inmarsat's $700.0 million revolving line of credit under the Inmarsat Secured Credit Facility (the Inmarsat Revolving Credit Facility) is reported at the outstanding principal amount of borrowings, while long-term debt related to the Term Loan Facility, the Ex-Im Credit Facility, the Inmarsat Term Loan Facility, the 2025 Notes, the 2027 Notes and the 2028 Notes is reported at amortized cost. However, for disclosure purposes, the Company is required to measure the fair value of outstanding debt on a recurring basis. The fair value of the Company’s long-term debt related to the Term Loan Facility, the 2023 Term Loan Facility, the Viasat Revolving Credit Facility and the Inmarsat Secured Credit Facility approximates its carrying amount due to its variable interest rate, which approximates a market interest rate. As of June 30, 2023 and March 31, 2023, the fair value of the Company’s long-term debt related to the Ex-Im Credit Facility was Level 2 and was approximately $47.8</w:t>
      </w:r>
      <w:r>
        <w:rPr>
          <w:rFonts w:ascii="Times New Roman" w:hAnsi="Times New Roman"/>
          <w:sz w:val="20"/>
        </w:rPr>
        <w:t xml:space="preserve"> </w:t>
      </w:r>
      <w:r>
        <w:rPr>
          <w:rFonts w:ascii="Arial;sans-serif" w:hAnsi="Arial;sans-serif"/>
          <w:b w:val="false"/>
          <w:sz w:val="20"/>
        </w:rPr>
        <w:t>million and $57.1</w:t>
      </w:r>
      <w:r>
        <w:rPr>
          <w:rFonts w:ascii="Times New Roman" w:hAnsi="Times New Roman"/>
          <w:sz w:val="20"/>
        </w:rPr>
        <w:t xml:space="preserve"> </w:t>
      </w:r>
      <w:r>
        <w:rPr>
          <w:rFonts w:ascii="Arial;sans-serif" w:hAnsi="Arial;sans-serif"/>
          <w:b w:val="false"/>
          <w:sz w:val="20"/>
        </w:rPr>
        <w:t>million, respectively. As of June 30, 2023 and March 31, 2023, the estimated fair value of the Company’s outstanding long-term debt related to each series of Notes was Level 2 and was $676.6</w:t>
      </w:r>
      <w:r>
        <w:rPr>
          <w:rFonts w:ascii="Times New Roman" w:hAnsi="Times New Roman"/>
          <w:sz w:val="20"/>
        </w:rPr>
        <w:t xml:space="preserve"> </w:t>
      </w:r>
      <w:r>
        <w:rPr>
          <w:rFonts w:ascii="Arial;sans-serif" w:hAnsi="Arial;sans-serif"/>
          <w:b w:val="false"/>
          <w:sz w:val="20"/>
        </w:rPr>
        <w:t>million and $661.5</w:t>
      </w:r>
      <w:r>
        <w:rPr>
          <w:rFonts w:ascii="Times New Roman" w:hAnsi="Times New Roman"/>
          <w:sz w:val="20"/>
        </w:rPr>
        <w:t xml:space="preserve"> </w:t>
      </w:r>
      <w:r>
        <w:rPr>
          <w:rFonts w:ascii="Arial;sans-serif" w:hAnsi="Arial;sans-serif"/>
          <w:b w:val="false"/>
          <w:sz w:val="20"/>
        </w:rPr>
        <w:t>million, respectively, for the 2025 Notes, $558.3</w:t>
      </w:r>
      <w:r>
        <w:rPr>
          <w:rFonts w:ascii="Times New Roman" w:hAnsi="Times New Roman"/>
          <w:sz w:val="20"/>
        </w:rPr>
        <w:t xml:space="preserve"> </w:t>
      </w:r>
      <w:r>
        <w:rPr>
          <w:rFonts w:ascii="Arial;sans-serif" w:hAnsi="Arial;sans-serif"/>
          <w:b w:val="false"/>
          <w:sz w:val="20"/>
        </w:rPr>
        <w:t>million and $561.7</w:t>
      </w:r>
      <w:r>
        <w:rPr>
          <w:rFonts w:ascii="Times New Roman" w:hAnsi="Times New Roman"/>
          <w:sz w:val="20"/>
        </w:rPr>
        <w:t xml:space="preserve"> </w:t>
      </w:r>
      <w:r>
        <w:rPr>
          <w:rFonts w:ascii="Arial;sans-serif" w:hAnsi="Arial;sans-serif"/>
          <w:b w:val="false"/>
          <w:sz w:val="20"/>
        </w:rPr>
        <w:t>million, respectively, for the 2027 Notes, and $337.7</w:t>
      </w:r>
      <w:r>
        <w:rPr>
          <w:rFonts w:ascii="Times New Roman" w:hAnsi="Times New Roman"/>
          <w:sz w:val="20"/>
        </w:rPr>
        <w:t xml:space="preserve"> </w:t>
      </w:r>
      <w:r>
        <w:rPr>
          <w:rFonts w:ascii="Arial;sans-serif" w:hAnsi="Arial;sans-serif"/>
          <w:b w:val="false"/>
          <w:sz w:val="20"/>
        </w:rPr>
        <w:t>million and $292.0</w:t>
      </w:r>
      <w:r>
        <w:rPr>
          <w:rFonts w:ascii="Times New Roman" w:hAnsi="Times New Roman"/>
          <w:sz w:val="20"/>
        </w:rPr>
        <w:t xml:space="preserve"> </w:t>
      </w:r>
      <w:r>
        <w:rPr>
          <w:rFonts w:ascii="Arial;sans-serif" w:hAnsi="Arial;sans-serif"/>
          <w:b w:val="false"/>
          <w:sz w:val="20"/>
        </w:rPr>
        <w:t>million, respectively, for the 2028 Notes. The fair value of the Company’s outstanding long-term debt as of June 30, 2023 related to the Inmarsat 2026 Notes was Level 2 and was $2.02</w:t>
      </w:r>
      <w:r>
        <w:rPr>
          <w:rFonts w:ascii="Times New Roman" w:hAnsi="Times New Roman"/>
          <w:sz w:val="20"/>
        </w:rPr>
        <w:t xml:space="preserve"> </w:t>
      </w:r>
      <w:r>
        <w:rPr>
          <w:rFonts w:ascii="Arial;sans-serif" w:hAnsi="Arial;sans-serif"/>
          <w:b w:val="false"/>
          <w:sz w:val="20"/>
        </w:rPr>
        <w:t>billion. The fair value of the Company’s outstanding long-term debt as of June 30, 2023 related to the Bridge Facility was Level 2 and was approximately $619.2</w:t>
      </w:r>
      <w:r>
        <w:rPr>
          <w:rFonts w:ascii="Times New Roman" w:hAnsi="Times New Roman"/>
          <w:sz w:val="20"/>
        </w:rPr>
        <w:t xml:space="preserve"> </w:t>
      </w:r>
      <w:r>
        <w:rPr>
          <w:rFonts w:ascii="Arial;sans-serif" w:hAnsi="Arial;sans-serif"/>
          <w:b w:val="false"/>
          <w:sz w:val="20"/>
        </w:rPr>
        <w:t>million.</w:t>
      </w:r>
    </w:p>
    <w:p>
      <w:pPr>
        <w:pStyle w:val="TextBody"/>
        <w:bidi w:val="0"/>
        <w:spacing w:before="180" w:after="0"/>
        <w:jc w:val="left"/>
        <w:rPr>
          <w:rFonts w:ascii="Times New Roman" w:hAnsi="Times New Roman"/>
          <w:sz w:val="20"/>
        </w:rPr>
      </w:pPr>
      <w:r>
        <w:rPr>
          <w:rFonts w:ascii="Arial;sans-serif" w:hAnsi="Arial;sans-serif"/>
          <w:b w:val="false"/>
          <w:i/>
          <w:sz w:val="20"/>
        </w:rPr>
        <w:t>Satellite performance incentive obligations</w:t>
      </w:r>
      <w:r>
        <w:rPr>
          <w:rFonts w:ascii="Times New Roman" w:hAnsi="Times New Roman"/>
          <w:sz w:val="20"/>
        </w:rPr>
        <w:t xml:space="preserve"> — </w:t>
      </w:r>
      <w:r>
        <w:rPr>
          <w:rFonts w:ascii="Arial;sans-serif" w:hAnsi="Arial;sans-serif"/>
          <w:b w:val="false"/>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2023 and March 31, 2023, the Company’s estimated satellite performance incentive obligations relating to certain satellites in commercial service, including accrued interest, were $19.0</w:t>
      </w:r>
      <w:r>
        <w:rPr>
          <w:rFonts w:ascii="Times New Roman" w:hAnsi="Times New Roman"/>
          <w:sz w:val="20"/>
        </w:rPr>
        <w:t xml:space="preserve"> </w:t>
      </w:r>
      <w:r>
        <w:rPr>
          <w:rFonts w:ascii="Arial;sans-serif" w:hAnsi="Arial;sans-serif"/>
          <w:b w:val="false"/>
          <w:sz w:val="20"/>
        </w:rPr>
        <w:t>million and $20.0</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240" w:after="0"/>
        <w:jc w:val="center"/>
        <w:rPr>
          <w:rFonts w:ascii="Arial;sans-serif" w:hAnsi="Arial;sans-serif"/>
          <w:b w:val="false"/>
          <w:sz w:val="20"/>
        </w:rPr>
      </w:pPr>
      <w:r>
        <w:rPr>
          <w:rFonts w:ascii="Arial;sans-serif" w:hAnsi="Arial;sans-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Arial;sans-serif" w:hAnsi="Arial;sans-serif"/>
          <w:b/>
          <w:sz w:val="20"/>
        </w:rPr>
      </w:pPr>
      <w:r>
        <w:rPr>
          <w:rFonts w:ascii="Arial;sans-serif" w:hAnsi="Arial;sans-serif"/>
          <w:b/>
          <w:sz w:val="20"/>
        </w:rPr>
        <w:t>Note 4 — Acquisition</w:t>
      </w:r>
    </w:p>
    <w:p>
      <w:pPr>
        <w:pStyle w:val="TextBody"/>
        <w:bidi w:val="0"/>
        <w:spacing w:before="80" w:after="0"/>
        <w:jc w:val="left"/>
        <w:rPr>
          <w:rFonts w:ascii="Times New Roman" w:hAnsi="Times New Roman"/>
          <w:sz w:val="20"/>
        </w:rPr>
      </w:pPr>
      <w:r>
        <w:rPr>
          <w:rFonts w:ascii="Arial;sans-serif" w:hAnsi="Arial;sans-serif"/>
          <w:b w:val="false"/>
          <w:sz w:val="20"/>
        </w:rPr>
        <w:t>On May 30,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affordably, securely and reliably connect the world. The complementary assets and resources of the combined company position the Company to provide advanced new services in mobile and fixed segments, driving greater customer choice in broadband communications and narrowband services (including the Internet of Things (IoT)).</w:t>
      </w:r>
      <w:r>
        <w:rPr>
          <w:rFonts w:ascii="Times New Roman" w:hAnsi="Times New Roman"/>
          <w:sz w:val="20"/>
        </w:rPr>
        <w:t xml:space="preserve"> </w:t>
      </w:r>
      <w:r>
        <w:rPr>
          <w:rFonts w:ascii="Arial;sans-serif" w:hAnsi="Arial;sans-serif"/>
          <w:b w:val="false"/>
          <w:sz w:val="20"/>
        </w:rPr>
        <w:t>These benefits and additional opportunities were among the factors that contributed to a purchase price resulting in the recognition of preliminary estimated goodwill of $956.2</w:t>
      </w:r>
      <w:r>
        <w:rPr>
          <w:rFonts w:ascii="Times New Roman" w:hAnsi="Times New Roman"/>
          <w:sz w:val="20"/>
        </w:rPr>
        <w:t xml:space="preserve"> </w:t>
      </w:r>
      <w:r>
        <w:rPr>
          <w:rFonts w:ascii="Arial;sans-serif" w:hAnsi="Arial;sans-serif"/>
          <w:b w:val="false"/>
          <w:sz w:val="20"/>
        </w:rPr>
        <w:t>million and $478.1</w:t>
      </w:r>
      <w:r>
        <w:rPr>
          <w:rFonts w:ascii="Times New Roman" w:hAnsi="Times New Roman"/>
          <w:sz w:val="20"/>
        </w:rPr>
        <w:t xml:space="preserve"> </w:t>
      </w:r>
      <w:r>
        <w:rPr>
          <w:rFonts w:ascii="Arial;sans-serif" w:hAnsi="Arial;sans-serif"/>
          <w:b w:val="false"/>
          <w:sz w:val="20"/>
        </w:rPr>
        <w:t>million which was recognized in the Company's satellite services and government systems segments, respectively. The goodwill recognized was not deductible for U.S. and foreign income tax purposes.</w:t>
      </w:r>
    </w:p>
    <w:p>
      <w:pPr>
        <w:pStyle w:val="TextBody"/>
        <w:bidi w:val="0"/>
        <w:spacing w:before="180" w:after="0"/>
        <w:jc w:val="left"/>
        <w:rPr>
          <w:rFonts w:ascii="Times New Roman" w:hAnsi="Times New Roman"/>
          <w:sz w:val="20"/>
        </w:rPr>
      </w:pPr>
      <w:r>
        <w:rPr>
          <w:rFonts w:ascii="Arial;sans-serif" w:hAnsi="Arial;sans-serif"/>
          <w:b w:val="false"/>
          <w:sz w:val="20"/>
        </w:rPr>
        <w:t>The consideration transferred of approximately $2.7</w:t>
      </w:r>
      <w:r>
        <w:rPr>
          <w:rFonts w:ascii="Times New Roman" w:hAnsi="Times New Roman"/>
          <w:sz w:val="20"/>
        </w:rPr>
        <w:t xml:space="preserve"> </w:t>
      </w:r>
      <w:r>
        <w:rPr>
          <w:rFonts w:ascii="Arial;sans-serif" w:hAnsi="Arial;sans-serif"/>
          <w:b w:val="false"/>
          <w:sz w:val="20"/>
        </w:rPr>
        <w:t>billion was comprised of $2.1</w:t>
      </w:r>
      <w:r>
        <w:rPr>
          <w:rFonts w:ascii="Times New Roman" w:hAnsi="Times New Roman"/>
          <w:sz w:val="20"/>
        </w:rPr>
        <w:t xml:space="preserve"> </w:t>
      </w:r>
      <w:r>
        <w:rPr>
          <w:rFonts w:ascii="Arial;sans-serif" w:hAnsi="Arial;sans-serif"/>
          <w:b w:val="false"/>
          <w:sz w:val="20"/>
        </w:rPr>
        <w:t>billion of the fair value of approximately 46.36</w:t>
      </w:r>
      <w:r>
        <w:rPr>
          <w:rFonts w:ascii="Times New Roman" w:hAnsi="Times New Roman"/>
          <w:sz w:val="20"/>
        </w:rPr>
        <w:t xml:space="preserve"> </w:t>
      </w:r>
      <w:r>
        <w:rPr>
          <w:rFonts w:ascii="Arial;sans-serif" w:hAnsi="Arial;sans-serif"/>
          <w:b w:val="false"/>
          <w:sz w:val="20"/>
        </w:rPr>
        <w:t>million unregistered shares of the Company’s common stock issued at the closing of the transaction and $550.7</w:t>
      </w:r>
      <w:r>
        <w:rPr>
          <w:rFonts w:ascii="Times New Roman" w:hAnsi="Times New Roman"/>
          <w:sz w:val="20"/>
        </w:rPr>
        <w:t xml:space="preserve"> </w:t>
      </w:r>
      <w:r>
        <w:rPr>
          <w:rFonts w:ascii="Arial;sans-serif" w:hAnsi="Arial;sans-serif"/>
          <w:b w:val="false"/>
          <w:sz w:val="20"/>
        </w:rPr>
        <w:t>million in cash consideration. In connection with the Inmarsat Acquisition, the Company recorded $27.4</w:t>
      </w:r>
      <w:r>
        <w:rPr>
          <w:rFonts w:ascii="Times New Roman" w:hAnsi="Times New Roman"/>
          <w:sz w:val="20"/>
        </w:rPr>
        <w:t xml:space="preserve"> </w:t>
      </w:r>
      <w:r>
        <w:rPr>
          <w:rFonts w:ascii="Arial;sans-serif" w:hAnsi="Arial;sans-serif"/>
          <w:b w:val="false"/>
          <w:sz w:val="20"/>
        </w:rPr>
        <w:t>million and $12.7</w:t>
      </w:r>
      <w:r>
        <w:rPr>
          <w:rFonts w:ascii="Times New Roman" w:hAnsi="Times New Roman"/>
          <w:sz w:val="20"/>
        </w:rPr>
        <w:t xml:space="preserve"> </w:t>
      </w:r>
      <w:r>
        <w:rPr>
          <w:rFonts w:ascii="Arial;sans-serif" w:hAnsi="Arial;sans-serif"/>
          <w:b w:val="false"/>
          <w:sz w:val="20"/>
        </w:rPr>
        <w:t>million of acquisition-related transaction costs during the three months ended June 30, 2023 and 2022, respectively, included in selling, general and administrative expenses.</w:t>
      </w:r>
    </w:p>
    <w:p>
      <w:pPr>
        <w:pStyle w:val="TextBody"/>
        <w:bidi w:val="0"/>
        <w:spacing w:before="180" w:after="0"/>
        <w:jc w:val="left"/>
        <w:rPr>
          <w:rFonts w:ascii="Arial;sans-serif" w:hAnsi="Arial;sans-serif"/>
          <w:b w:val="false"/>
          <w:sz w:val="20"/>
        </w:rPr>
      </w:pPr>
      <w:r>
        <w:rPr>
          <w:rFonts w:ascii="Arial;sans-serif" w:hAnsi="Arial;sans-serif"/>
          <w:b w:val="false"/>
          <w:sz w:val="20"/>
        </w:rPr>
        <w:t>The purchase price allocation is preliminary primarily due to the pending finalization of the Company’s valuation analysis and review of various tax attributes. The Company allocated the purchase price to tangible and intangible assets acquired and liabilities assumed based on the preliminary estimates of their fair values, which is subject to adjustment for up to one year after the close of the acquisition as additional information is obtained. The preliminary purchase price allocation of the acquired assets and assumed liabilities in the Inmarsat Acquisition based on the preliminary estimated fair values as of May 30, 2023 is as follows:</w:t>
      </w:r>
    </w:p>
    <w:p>
      <w:pPr>
        <w:pStyle w:val="TextBody"/>
        <w:bidi w:val="0"/>
        <w:spacing w:before="0" w:after="0"/>
        <w:jc w:val="left"/>
        <w:rPr/>
      </w:pPr>
      <w:r>
        <w:rPr/>
        <w:t> </w:t>
      </w:r>
    </w:p>
    <w:tbl>
      <w:tblPr>
        <w:tblW w:w="5003" w:type="dxa"/>
        <w:jc w:val="left"/>
        <w:tblInd w:w="0" w:type="dxa"/>
        <w:tblLayout w:type="fixed"/>
        <w:tblCellMar>
          <w:top w:w="28" w:type="dxa"/>
          <w:left w:w="28" w:type="dxa"/>
          <w:bottom w:w="28" w:type="dxa"/>
          <w:right w:w="28" w:type="dxa"/>
        </w:tblCellMar>
      </w:tblPr>
      <w:tblGrid>
        <w:gridCol w:w="3091"/>
        <w:gridCol w:w="146"/>
        <w:gridCol w:w="218"/>
        <w:gridCol w:w="1057"/>
        <w:gridCol w:w="4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652,396</w:t>
            </w:r>
          </w:p>
        </w:tc>
        <w:tc>
          <w:tcPr>
            <w:tcW w:w="4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equipment and satellites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4,589,853</w:t>
            </w:r>
          </w:p>
        </w:tc>
        <w:tc>
          <w:tcPr>
            <w:tcW w:w="4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Identifiable intangible assets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2,370,700</w:t>
            </w:r>
          </w:p>
        </w:tc>
        <w:tc>
          <w:tcPr>
            <w:tcW w:w="4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401,754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assets acquired</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8,014,703</w:t>
            </w:r>
          </w:p>
        </w:tc>
        <w:tc>
          <w:tcPr>
            <w:tcW w:w="4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(579,874</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(3,519,550</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(2,670,504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 assumed</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(6,769,928</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1,434,317</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consideration transferred</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2,679,092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left"/>
        <w:rPr>
          <w:rFonts w:ascii="Times New Roman" w:hAnsi="Times New Roman"/>
          <w:sz w:val="20"/>
        </w:rPr>
      </w:pPr>
      <w:r>
        <w:rPr>
          <w:rFonts w:ascii="Arial;sans-serif" w:hAnsi="Arial;sans-serif"/>
          <w:b w:val="false"/>
          <w:sz w:val="20"/>
        </w:rPr>
        <w:t>Current liabilities and other long-term liabilities include approximately $29.6</w:t>
      </w:r>
      <w:r>
        <w:rPr>
          <w:rFonts w:ascii="Times New Roman" w:hAnsi="Times New Roman"/>
          <w:sz w:val="20"/>
        </w:rPr>
        <w:t xml:space="preserve"> </w:t>
      </w:r>
      <w:r>
        <w:rPr>
          <w:rFonts w:ascii="Arial;sans-serif" w:hAnsi="Arial;sans-serif"/>
          <w:b w:val="false"/>
          <w:sz w:val="20"/>
        </w:rPr>
        <w:t>million and $248.3</w:t>
      </w:r>
      <w:r>
        <w:rPr>
          <w:rFonts w:ascii="Times New Roman" w:hAnsi="Times New Roman"/>
          <w:sz w:val="20"/>
        </w:rPr>
        <w:t xml:space="preserve"> </w:t>
      </w:r>
      <w:r>
        <w:rPr>
          <w:rFonts w:ascii="Arial;sans-serif" w:hAnsi="Arial;sans-serif"/>
          <w:b w:val="false"/>
          <w:sz w:val="20"/>
        </w:rPr>
        <w:t>million, respectively, of unfavorable contract liabilities. Estimated amounts assigned to identifiable intangible assets are being amortized on a straight-line basis over their estimated useful lives (which approximates the economic pattern of benefit) and are as follows as of May 30, 2023:</w:t>
      </w:r>
    </w:p>
    <w:p>
      <w:pPr>
        <w:pStyle w:val="TextBody"/>
        <w:bidi w:val="0"/>
        <w:spacing w:before="0" w:after="0"/>
        <w:jc w:val="left"/>
        <w:rPr/>
      </w:pPr>
      <w:r>
        <w:rPr/>
        <w:t> </w:t>
      </w:r>
    </w:p>
    <w:tbl>
      <w:tblPr>
        <w:tblW w:w="7920" w:type="dxa"/>
        <w:jc w:val="left"/>
        <w:tblInd w:w="0" w:type="dxa"/>
        <w:tblLayout w:type="fixed"/>
        <w:tblCellMar>
          <w:top w:w="28" w:type="dxa"/>
          <w:left w:w="28" w:type="dxa"/>
          <w:bottom w:w="28" w:type="dxa"/>
          <w:right w:w="28" w:type="dxa"/>
        </w:tblCellMar>
      </w:tblPr>
      <w:tblGrid>
        <w:gridCol w:w="3076"/>
        <w:gridCol w:w="146"/>
        <w:gridCol w:w="310"/>
        <w:gridCol w:w="1415"/>
        <w:gridCol w:w="146"/>
        <w:gridCol w:w="146"/>
        <w:gridCol w:w="785"/>
        <w:gridCol w:w="1705"/>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Estimated Fair Value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Estimated Useful Life</w:t>
            </w:r>
          </w:p>
        </w:tc>
        <w:tc>
          <w:tcPr>
            <w:tcW w:w="19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Orbital slots and spectrum assets</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c>
          <w:tcPr>
            <w:tcW w:w="17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c>
          <w:tcPr>
            <w:tcW w:w="17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Technology</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c>
          <w:tcPr>
            <w:tcW w:w="17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c>
          <w:tcPr>
            <w:tcW w:w="17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c>
          <w:tcPr>
            <w:tcW w:w="17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identifiable intangible assets</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2,370,700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c>
          <w:tcPr>
            <w:tcW w:w="170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0"/>
        <w:jc w:val="left"/>
        <w:rPr>
          <w:rFonts w:ascii="Arial;sans-serif" w:hAnsi="Arial;sans-serif"/>
          <w:b w:val="false"/>
          <w:sz w:val="20"/>
        </w:rPr>
      </w:pPr>
      <w:r>
        <w:rPr>
          <w:rFonts w:ascii="Arial;sans-serif" w:hAnsi="Arial;sans-serif"/>
          <w:b w:val="false"/>
          <w:sz w:val="20"/>
        </w:rPr>
        <w:t>The intangible assets acquired in the Inmarsat Acquisition were determined in accordance with the authoritative guidance for business combinations (ASC 805), based on estimated fair values using valuation techniques consistent with the market approach, income approach and/or cost approach to measure fair value.</w:t>
      </w:r>
    </w:p>
    <w:p>
      <w:pPr>
        <w:pStyle w:val="TextBody"/>
        <w:bidi w:val="0"/>
        <w:spacing w:before="240" w:after="0"/>
        <w:jc w:val="center"/>
        <w:rPr>
          <w:rFonts w:ascii="Arial;sans-serif" w:hAnsi="Arial;sans-serif"/>
          <w:b w:val="false"/>
          <w:sz w:val="20"/>
        </w:rPr>
      </w:pPr>
      <w:r>
        <w:rPr>
          <w:rFonts w:ascii="Arial;sans-serif" w:hAnsi="Arial;sans-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The condensed consolidated financial statements include the operating results of Inmarsat from the date of acquisition. Since the acquisition date on May 30, 2023, the Company recorded approximately $134.1</w:t>
      </w:r>
      <w:r>
        <w:rPr>
          <w:rFonts w:ascii="Times New Roman" w:hAnsi="Times New Roman"/>
          <w:sz w:val="20"/>
        </w:rPr>
        <w:t xml:space="preserve"> </w:t>
      </w:r>
      <w:r>
        <w:rPr>
          <w:rFonts w:ascii="Arial;sans-serif" w:hAnsi="Arial;sans-serif"/>
          <w:b w:val="false"/>
          <w:sz w:val="20"/>
        </w:rPr>
        <w:t>million in revenue during the three months ended June 30, 2023, and an insignificant amount of net income during the three months ended June 30, 2023, with respect to the Inmarsat business (primarily in the Company’s satellite services segment, with a portion included in its government systems segment and an insignificant amount included in its commercial networks segment) in the condensed consolidated statements of operations.</w:t>
      </w:r>
    </w:p>
    <w:p>
      <w:pPr>
        <w:pStyle w:val="TextBody"/>
        <w:bidi w:val="0"/>
        <w:spacing w:before="280" w:after="0"/>
        <w:jc w:val="left"/>
        <w:rPr>
          <w:rFonts w:ascii="Arial;sans-serif" w:hAnsi="Arial;sans-serif"/>
          <w:b w:val="false"/>
          <w:i/>
          <w:sz w:val="20"/>
        </w:rPr>
      </w:pPr>
      <w:r>
        <w:rPr>
          <w:rFonts w:ascii="Arial;sans-serif" w:hAnsi="Arial;sans-serif"/>
          <w:b w:val="false"/>
          <w:i/>
          <w:sz w:val="20"/>
        </w:rPr>
        <w:t>Unaudited Pro Forma Financial Information</w:t>
      </w:r>
    </w:p>
    <w:p>
      <w:pPr>
        <w:pStyle w:val="TextBody"/>
        <w:bidi w:val="0"/>
        <w:spacing w:before="80" w:after="0"/>
        <w:jc w:val="left"/>
        <w:rPr>
          <w:rFonts w:ascii="Arial;sans-serif" w:hAnsi="Arial;sans-serif"/>
          <w:b w:val="false"/>
          <w:sz w:val="20"/>
        </w:rPr>
      </w:pPr>
      <w:r>
        <w:rPr>
          <w:rFonts w:ascii="Arial;sans-serif" w:hAnsi="Arial;sans-serif"/>
          <w:b w:val="false"/>
          <w:sz w:val="20"/>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 months ended June 30, 2023 and 2022 include the business combination accounting effects primarily related to the amortization and depreciation changes from acquired intangible and tangible assets, acquisition-related transaction costs and related tax effects.</w:t>
      </w:r>
    </w:p>
    <w:p>
      <w:pPr>
        <w:pStyle w:val="TextBody"/>
        <w:bidi w:val="0"/>
        <w:spacing w:before="0" w:after="0"/>
        <w:jc w:val="left"/>
        <w:rPr/>
      </w:pPr>
      <w:r>
        <w:rPr/>
        <w:t> </w:t>
      </w:r>
    </w:p>
    <w:tbl>
      <w:tblPr>
        <w:tblW w:w="7994" w:type="dxa"/>
        <w:jc w:val="left"/>
        <w:tblInd w:w="0" w:type="dxa"/>
        <w:tblLayout w:type="fixed"/>
        <w:tblCellMar>
          <w:top w:w="28" w:type="dxa"/>
          <w:left w:w="28" w:type="dxa"/>
          <w:bottom w:w="28" w:type="dxa"/>
          <w:right w:w="28" w:type="dxa"/>
        </w:tblCellMar>
      </w:tblPr>
      <w:tblGrid>
        <w:gridCol w:w="3961"/>
        <w:gridCol w:w="316"/>
        <w:gridCol w:w="1439"/>
        <w:gridCol w:w="166"/>
        <w:gridCol w:w="146"/>
        <w:gridCol w:w="347"/>
        <w:gridCol w:w="1408"/>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 </w:t>
            </w:r>
          </w:p>
        </w:tc>
        <w:tc>
          <w:tcPr>
            <w:tcW w:w="175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211" w:type="dxa"/>
            <w:tcBorders/>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pPr>
            <w:r>
              <w:rPr/>
              <w:t> </w:t>
            </w:r>
          </w:p>
        </w:tc>
        <w:tc>
          <w:tcPr>
            <w:tcW w:w="382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9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3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1,050,226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944,410</w:t>
            </w:r>
          </w:p>
        </w:tc>
        <w:tc>
          <w:tcPr>
            <w:tcW w:w="211"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3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(41,962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(222,689</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80" w:after="0"/>
        <w:jc w:val="left"/>
        <w:rPr>
          <w:rFonts w:ascii="Arial;sans-serif" w:hAnsi="Arial;sans-serif"/>
          <w:b/>
          <w:sz w:val="20"/>
        </w:rPr>
      </w:pPr>
      <w:r>
        <w:rPr>
          <w:rFonts w:ascii="Arial;sans-serif" w:hAnsi="Arial;sans-serif"/>
          <w:b/>
          <w:sz w:val="20"/>
        </w:rPr>
        <w:t>Note 5 — Discontinued Operations</w:t>
      </w:r>
    </w:p>
    <w:p>
      <w:pPr>
        <w:pStyle w:val="TextBody"/>
        <w:bidi w:val="0"/>
        <w:spacing w:before="80" w:after="0"/>
        <w:jc w:val="left"/>
        <w:rPr>
          <w:rFonts w:ascii="Times New Roman" w:hAnsi="Times New Roman"/>
          <w:sz w:val="20"/>
        </w:rPr>
      </w:pPr>
      <w:r>
        <w:rPr>
          <w:rFonts w:ascii="Arial;sans-serif" w:hAnsi="Arial;sans-serif"/>
          <w:b w:val="false"/>
          <w:sz w:val="20"/>
        </w:rPr>
        <w:t>On October 1, 2022, the Company entered into an Asset Purchase Agreement to sell the Link-16 TDL Business in its government systems segment to L3Harris in exchange for approximately $1.96</w:t>
      </w:r>
      <w:r>
        <w:rPr>
          <w:rFonts w:ascii="Times New Roman" w:hAnsi="Times New Roman"/>
          <w:sz w:val="20"/>
        </w:rPr>
        <w:t xml:space="preserve"> </w:t>
      </w:r>
      <w:r>
        <w:rPr>
          <w:rFonts w:ascii="Arial;sans-serif" w:hAnsi="Arial;sans-serif"/>
          <w:b w:val="false"/>
          <w:sz w:val="20"/>
        </w:rPr>
        <w:t>billion in cash, subject to adjustments. In accordance with ASC 205-20, the Company determined that the Link-16 TDL Business met held-for sale and discontinued operations accounting criteria at the end of the second quarter of fiscal year 2023.</w:t>
      </w:r>
      <w:r>
        <w:rPr>
          <w:rFonts w:ascii="Times New Roman" w:hAnsi="Times New Roman"/>
          <w:sz w:val="20"/>
        </w:rPr>
        <w:t xml:space="preserve"> </w:t>
      </w:r>
      <w:r>
        <w:rPr>
          <w:rFonts w:ascii="Arial;sans-serif" w:hAnsi="Arial;sans-serif"/>
          <w:b w:val="false"/>
          <w:sz w:val="20"/>
        </w:rPr>
        <w:t>On January 3, 2023, the Company completed the Link-16 TDL Sale. Therefore, for comparability purposes, the Company recast the previously disclosed first quarter of fiscal year 2023 information and classified the results of the Link-16 TDL Business as discontinued operations in its condensed consolidated statements of operations for the three months ended June 30, 2022.</w:t>
      </w:r>
    </w:p>
    <w:p>
      <w:pPr>
        <w:pStyle w:val="TextBody"/>
        <w:bidi w:val="0"/>
        <w:spacing w:before="180" w:after="0"/>
        <w:jc w:val="left"/>
        <w:rPr>
          <w:rFonts w:ascii="Arial;sans-serif" w:hAnsi="Arial;sans-serif"/>
          <w:b w:val="false"/>
          <w:sz w:val="20"/>
        </w:rPr>
      </w:pPr>
      <w:r>
        <w:rPr>
          <w:rFonts w:ascii="Arial;sans-serif" w:hAnsi="Arial;sans-serif"/>
          <w:b w:val="false"/>
          <w:sz w:val="20"/>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 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 The impact of these agreements on the Company's condensed consolidated financial statements was not significant.</w:t>
      </w:r>
    </w:p>
    <w:p>
      <w:pPr>
        <w:pStyle w:val="TextBody"/>
        <w:bidi w:val="0"/>
        <w:spacing w:before="180" w:after="0"/>
        <w:jc w:val="left"/>
        <w:rPr>
          <w:rFonts w:ascii="Arial;sans-serif" w:hAnsi="Arial;sans-serif"/>
          <w:b w:val="false"/>
          <w:sz w:val="20"/>
        </w:rPr>
      </w:pPr>
      <w:r>
        <w:rPr>
          <w:rFonts w:ascii="Arial;sans-serif" w:hAnsi="Arial;sans-serif"/>
          <w:b w:val="false"/>
          <w:sz w:val="20"/>
        </w:rPr>
        <w:t>The operating results of the discontinued operations only reflect revenues and expenses that are directly attributable to the Link-16 TDL Business that will be eliminated from continuing operations. The following table presents key components of “Net income (loss) from discontinued operations, net of tax” for the three months ended June 30, 2022:</w:t>
      </w:r>
    </w:p>
    <w:p>
      <w:pPr>
        <w:pStyle w:val="TextBody"/>
        <w:bidi w:val="0"/>
        <w:spacing w:before="0" w:after="0"/>
        <w:jc w:val="left"/>
        <w:rPr/>
      </w:pPr>
      <w:r>
        <w:rPr/>
        <w:t> </w:t>
      </w:r>
    </w:p>
    <w:tbl>
      <w:tblPr>
        <w:tblW w:w="8418" w:type="dxa"/>
        <w:jc w:val="left"/>
        <w:tblInd w:w="0" w:type="dxa"/>
        <w:tblLayout w:type="fixed"/>
        <w:tblCellMar>
          <w:top w:w="28" w:type="dxa"/>
          <w:left w:w="28" w:type="dxa"/>
          <w:bottom w:w="28" w:type="dxa"/>
          <w:right w:w="28" w:type="dxa"/>
        </w:tblCellMar>
      </w:tblPr>
      <w:tblGrid>
        <w:gridCol w:w="6046"/>
        <w:gridCol w:w="146"/>
        <w:gridCol w:w="367"/>
        <w:gridCol w:w="1388"/>
        <w:gridCol w:w="47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3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103,167</w:t>
            </w:r>
          </w:p>
        </w:tc>
        <w:tc>
          <w:tcPr>
            <w:tcW w:w="47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75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604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13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64,605</w:t>
            </w:r>
          </w:p>
        </w:tc>
        <w:tc>
          <w:tcPr>
            <w:tcW w:w="471" w:type="dxa"/>
            <w:tcBorders/>
            <w:vAlign w:val="center"/>
          </w:tcPr>
          <w:p>
            <w:pPr>
              <w:pStyle w:val="TableContents"/>
              <w:bidi w:val="0"/>
              <w:spacing w:before="0" w:after="0"/>
              <w:ind w:left="0" w:right="0" w:firstLine="280"/>
              <w:jc w:val="left"/>
              <w:rPr/>
            </w:pPr>
            <w:r>
              <w:rPr/>
              <w:t> </w:t>
            </w:r>
          </w:p>
        </w:tc>
      </w:tr>
      <w:tr>
        <w:trPr/>
        <w:tc>
          <w:tcPr>
            <w:tcW w:w="604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operating expenses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8,986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before income taxes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3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29,576</w:t>
            </w:r>
          </w:p>
        </w:tc>
        <w:tc>
          <w:tcPr>
            <w:tcW w:w="47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(12,051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17,525</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cash flows related to discontinued operations have not been segregated and are included in the condensed consolidated statements of cash flows. The following table presents key cash flow and non-cash information related to discontinued operations for the three months ended June 30, 2022:</w:t>
      </w:r>
    </w:p>
    <w:p>
      <w:pPr>
        <w:pStyle w:val="TextBody"/>
        <w:bidi w:val="0"/>
        <w:spacing w:before="0" w:after="0"/>
        <w:jc w:val="left"/>
        <w:rPr/>
      </w:pPr>
      <w:r>
        <w:rPr/>
        <w:t> </w:t>
      </w:r>
    </w:p>
    <w:tbl>
      <w:tblPr>
        <w:tblW w:w="5063" w:type="dxa"/>
        <w:jc w:val="left"/>
        <w:tblInd w:w="0" w:type="dxa"/>
        <w:tblLayout w:type="fixed"/>
        <w:tblCellMar>
          <w:top w:w="28" w:type="dxa"/>
          <w:left w:w="28" w:type="dxa"/>
          <w:bottom w:w="28" w:type="dxa"/>
          <w:right w:w="28" w:type="dxa"/>
        </w:tblCellMar>
      </w:tblPr>
      <w:tblGrid>
        <w:gridCol w:w="2971"/>
        <w:gridCol w:w="146"/>
        <w:gridCol w:w="464"/>
        <w:gridCol w:w="129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5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Depreciation</w:t>
            </w:r>
          </w:p>
        </w:tc>
        <w:tc>
          <w:tcPr>
            <w:tcW w:w="146" w:type="dxa"/>
            <w:tcBorders/>
            <w:vAlign w:val="center"/>
          </w:tcPr>
          <w:p>
            <w:pPr>
              <w:pStyle w:val="TableContents"/>
              <w:bidi w:val="0"/>
              <w:spacing w:before="0" w:after="0"/>
              <w:ind w:left="0" w:right="0" w:hanging="0"/>
              <w:jc w:val="center"/>
              <w:rPr/>
            </w:pPr>
            <w:r>
              <w:rPr/>
              <w:t> </w:t>
            </w:r>
          </w:p>
        </w:tc>
        <w:tc>
          <w:tcPr>
            <w:tcW w:w="4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2,968</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Amortization of intangible assets</w:t>
            </w:r>
          </w:p>
        </w:tc>
        <w:tc>
          <w:tcPr>
            <w:tcW w:w="146" w:type="dxa"/>
            <w:tcBorders/>
            <w:vAlign w:val="center"/>
          </w:tcPr>
          <w:p>
            <w:pPr>
              <w:pStyle w:val="TableContents"/>
              <w:bidi w:val="0"/>
              <w:spacing w:before="0" w:after="0"/>
              <w:ind w:left="0" w:right="0" w:hanging="0"/>
              <w:jc w:val="center"/>
              <w:rPr/>
            </w:pPr>
            <w:r>
              <w:rPr/>
              <w:t> </w:t>
            </w:r>
          </w:p>
        </w:tc>
        <w:tc>
          <w:tcPr>
            <w:tcW w:w="464"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462</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Capital expenditures</w:t>
            </w:r>
          </w:p>
        </w:tc>
        <w:tc>
          <w:tcPr>
            <w:tcW w:w="146" w:type="dxa"/>
            <w:tcBorders/>
            <w:vAlign w:val="center"/>
          </w:tcPr>
          <w:p>
            <w:pPr>
              <w:pStyle w:val="TableContents"/>
              <w:bidi w:val="0"/>
              <w:spacing w:before="0" w:after="0"/>
              <w:ind w:left="0" w:right="0" w:hanging="0"/>
              <w:jc w:val="center"/>
              <w:rPr/>
            </w:pPr>
            <w:r>
              <w:rPr/>
              <w:t> </w:t>
            </w:r>
          </w:p>
        </w:tc>
        <w:tc>
          <w:tcPr>
            <w:tcW w:w="464"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3,289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left"/>
        <w:rPr>
          <w:rFonts w:ascii="Times New Roman" w:hAnsi="Times New Roman"/>
          <w:sz w:val="20"/>
        </w:rPr>
      </w:pPr>
      <w:r>
        <w:rPr>
          <w:rFonts w:ascii="Arial;sans-serif" w:hAnsi="Arial;sans-serif"/>
          <w:b/>
          <w:sz w:val="20"/>
        </w:rPr>
        <w:t>Note 6 — Shares Used In Computing Diluted Net Income (Loss) Per Share</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The weighted average number of shares used to calculate basic and diluted net loss per share attributable to Viasat, Inc. common stockholders is the same for the three months ended June 30, 2023 and 2022, as the Company incurred a net loss from continuing operations (excluding income (loss) from continuing operations attributable to the noncontrolling interest) for such periods and inclusion of potentially dilutive weighted average shares of common stock would be antidilutive.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Potentially dilutive weighted average shares excluded from the calculation for the three months ended June 30, 2023 and 2022</w:t>
      </w:r>
      <w:r>
        <w:rPr>
          <w:rFonts w:ascii="Times New Roman" w:hAnsi="Times New Roman"/>
          <w:sz w:val="20"/>
        </w:rPr>
        <w:t xml:space="preserve"> </w:t>
      </w:r>
      <w:r>
        <w:rPr>
          <w:rFonts w:ascii="Arial;sans-serif" w:hAnsi="Arial;sans-serif"/>
          <w:b w:val="false"/>
          <w:sz w:val="20"/>
        </w:rPr>
        <w:t>consisted of 209,581</w:t>
      </w:r>
      <w:r>
        <w:rPr>
          <w:rFonts w:ascii="Times New Roman" w:hAnsi="Times New Roman"/>
          <w:sz w:val="20"/>
        </w:rPr>
        <w:t xml:space="preserve"> </w:t>
      </w:r>
      <w:r>
        <w:rPr>
          <w:rFonts w:ascii="Arial;sans-serif" w:hAnsi="Arial;sans-serif"/>
          <w:b w:val="false"/>
          <w:sz w:val="20"/>
        </w:rPr>
        <w:t>shares and 606,634</w:t>
      </w:r>
      <w:r>
        <w:rPr>
          <w:rFonts w:ascii="Times New Roman" w:hAnsi="Times New Roman"/>
          <w:sz w:val="20"/>
        </w:rPr>
        <w:t xml:space="preserve"> </w:t>
      </w:r>
      <w:r>
        <w:rPr>
          <w:rFonts w:ascii="Arial;sans-serif" w:hAnsi="Arial;sans-serif"/>
          <w:b w:val="false"/>
          <w:sz w:val="20"/>
        </w:rPr>
        <w:t>shares, respectively, related to stock options (other than TSR performance stock options), 1,714,844</w:t>
      </w:r>
      <w:r>
        <w:rPr>
          <w:rFonts w:ascii="Times New Roman" w:hAnsi="Times New Roman"/>
          <w:sz w:val="20"/>
        </w:rPr>
        <w:t xml:space="preserve"> </w:t>
      </w:r>
      <w:r>
        <w:rPr>
          <w:rFonts w:ascii="Arial;sans-serif" w:hAnsi="Arial;sans-serif"/>
          <w:b w:val="false"/>
          <w:sz w:val="20"/>
        </w:rPr>
        <w:t>shares and 182,609</w:t>
      </w:r>
      <w:r>
        <w:rPr>
          <w:rFonts w:ascii="Times New Roman" w:hAnsi="Times New Roman"/>
          <w:sz w:val="20"/>
        </w:rPr>
        <w:t xml:space="preserve"> </w:t>
      </w:r>
      <w:r>
        <w:rPr>
          <w:rFonts w:ascii="Arial;sans-serif" w:hAnsi="Arial;sans-serif"/>
          <w:b w:val="false"/>
          <w:sz w:val="20"/>
        </w:rPr>
        <w:t>shares, respectively, related to TSR performance stock options, 2,056,995</w:t>
      </w:r>
      <w:r>
        <w:rPr>
          <w:rFonts w:ascii="Times New Roman" w:hAnsi="Times New Roman"/>
          <w:sz w:val="20"/>
        </w:rPr>
        <w:t xml:space="preserve"> </w:t>
      </w:r>
      <w:r>
        <w:rPr>
          <w:rFonts w:ascii="Arial;sans-serif" w:hAnsi="Arial;sans-serif"/>
          <w:b w:val="false"/>
          <w:sz w:val="20"/>
        </w:rPr>
        <w:t>shares and 2,699,956</w:t>
      </w:r>
      <w:r>
        <w:rPr>
          <w:rFonts w:ascii="Times New Roman" w:hAnsi="Times New Roman"/>
          <w:sz w:val="20"/>
        </w:rPr>
        <w:t xml:space="preserve"> </w:t>
      </w:r>
      <w:r>
        <w:rPr>
          <w:rFonts w:ascii="Arial;sans-serif" w:hAnsi="Arial;sans-serif"/>
          <w:b w:val="false"/>
          <w:sz w:val="20"/>
        </w:rPr>
        <w:t>shares, respectively, related to restricted stock units and 626,271</w:t>
      </w:r>
      <w:r>
        <w:rPr>
          <w:rFonts w:ascii="Times New Roman" w:hAnsi="Times New Roman"/>
          <w:sz w:val="20"/>
        </w:rPr>
        <w:t xml:space="preserve"> </w:t>
      </w:r>
      <w:r>
        <w:rPr>
          <w:rFonts w:ascii="Arial;sans-serif" w:hAnsi="Arial;sans-serif"/>
          <w:b w:val="false"/>
          <w:sz w:val="20"/>
        </w:rPr>
        <w:t>shares and 716,346</w:t>
      </w:r>
      <w:r>
        <w:rPr>
          <w:rFonts w:ascii="Times New Roman" w:hAnsi="Times New Roman"/>
          <w:sz w:val="20"/>
        </w:rPr>
        <w:t xml:space="preserve"> </w:t>
      </w:r>
      <w:r>
        <w:rPr>
          <w:rFonts w:ascii="Arial;sans-serif" w:hAnsi="Arial;sans-serif"/>
          <w:b w:val="false"/>
          <w:sz w:val="20"/>
        </w:rPr>
        <w:t>shares, respectively, related to certain terms of the Viasat 401(k) Profit Sharing Plan and Employee Stock Purchase Plan.</w:t>
      </w:r>
    </w:p>
    <w:p>
      <w:pPr>
        <w:pStyle w:val="TextBody"/>
        <w:bidi w:val="0"/>
        <w:spacing w:before="280" w:after="0"/>
        <w:jc w:val="left"/>
        <w:rPr>
          <w:rFonts w:ascii="Times New Roman" w:hAnsi="Times New Roman"/>
          <w:sz w:val="20"/>
        </w:rPr>
      </w:pPr>
      <w:r>
        <w:rPr>
          <w:rFonts w:ascii="Arial;sans-serif" w:hAnsi="Arial;sans-serif"/>
          <w:b/>
          <w:sz w:val="20"/>
        </w:rPr>
        <w:t>Note 7 — Goodwill and Acquired Intangible Assets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During the three months ended June 30, 2023, the increase in the Company’s goodwill primarily related to the Inmarsat Acquisition (see Note 4 — Acquisition — for more information) and foreign currency translation effect recorded within all three of the Company's segments. During the three months ended June 30, 2022, the decrease in the Company’s goodwill primarily related to a foreign currency translation effect recorded within all three of the Company's segments.</w:t>
      </w:r>
    </w:p>
    <w:p>
      <w:pPr>
        <w:pStyle w:val="TextBody"/>
        <w:bidi w:val="0"/>
        <w:spacing w:before="180" w:after="0"/>
        <w:jc w:val="left"/>
        <w:rPr>
          <w:rFonts w:ascii="Times New Roman" w:hAnsi="Times New Roman"/>
          <w:sz w:val="20"/>
        </w:rPr>
      </w:pPr>
      <w:r>
        <w:rPr>
          <w:rFonts w:ascii="Arial;sans-serif" w:hAnsi="Arial;sans-serif"/>
          <w:b w:val="false"/>
          <w:sz w:val="20"/>
        </w:rPr>
        <w:t>Other acquired intangible assets are amortized using the straight-line method over their estimated useful lives of two</w:t>
      </w:r>
      <w:r>
        <w:rPr>
          <w:rFonts w:ascii="Arial;sans-serif" w:hAnsi="Arial;sans-serif"/>
          <w:sz w:val="20"/>
        </w:rPr>
        <w:t xml:space="preserve"> </w:t>
      </w:r>
      <w:r>
        <w:rPr>
          <w:rFonts w:ascii="Arial;sans-serif" w:hAnsi="Arial;sans-serif"/>
          <w:b w:val="false"/>
          <w:sz w:val="20"/>
        </w:rPr>
        <w:t>to 20 years</w:t>
      </w:r>
      <w:r>
        <w:rPr>
          <w:rFonts w:ascii="Arial;sans-serif" w:hAnsi="Arial;sans-serif"/>
          <w:sz w:val="20"/>
        </w:rPr>
        <w:t xml:space="preserve"> </w:t>
      </w:r>
      <w:r>
        <w:rPr>
          <w:rFonts w:ascii="Arial;sans-serif" w:hAnsi="Arial;sans-serif"/>
          <w:b w:val="false"/>
          <w:sz w:val="20"/>
        </w:rPr>
        <w:t>(which approximates the economic pattern of benefit).</w:t>
      </w:r>
      <w:r>
        <w:rPr>
          <w:rFonts w:ascii="Times New Roman" w:hAnsi="Times New Roman"/>
          <w:sz w:val="20"/>
        </w:rPr>
        <w:t xml:space="preserve"> </w:t>
      </w:r>
      <w:r>
        <w:rPr>
          <w:rFonts w:ascii="Arial;sans-serif" w:hAnsi="Arial;sans-serif"/>
          <w:b w:val="false"/>
          <w:sz w:val="20"/>
        </w:rPr>
        <w:t>Amortization expense related to other acquired intangible assets was $27.8</w:t>
      </w:r>
      <w:r>
        <w:rPr>
          <w:rFonts w:ascii="Times New Roman" w:hAnsi="Times New Roman"/>
          <w:sz w:val="20"/>
        </w:rPr>
        <w:t xml:space="preserve"> </w:t>
      </w:r>
      <w:r>
        <w:rPr>
          <w:rFonts w:ascii="Arial;sans-serif" w:hAnsi="Arial;sans-serif"/>
          <w:b w:val="false"/>
          <w:sz w:val="20"/>
        </w:rPr>
        <w:t>million and $7.5</w:t>
      </w:r>
      <w:r>
        <w:rPr>
          <w:rFonts w:ascii="Times New Roman" w:hAnsi="Times New Roman"/>
          <w:sz w:val="20"/>
        </w:rPr>
        <w:t xml:space="preserve"> </w:t>
      </w:r>
      <w:r>
        <w:rPr>
          <w:rFonts w:ascii="Arial;sans-serif" w:hAnsi="Arial;sans-serif"/>
          <w:b w:val="false"/>
          <w:sz w:val="20"/>
        </w:rPr>
        <w:t>million for the three months ended June 30, 2023 and 2022, respectively.</w:t>
      </w:r>
    </w:p>
    <w:p>
      <w:pPr>
        <w:pStyle w:val="TextBody"/>
        <w:bidi w:val="0"/>
        <w:spacing w:before="180" w:after="180"/>
        <w:jc w:val="left"/>
        <w:rPr>
          <w:rFonts w:ascii="Arial;sans-serif" w:hAnsi="Arial;sans-serif"/>
          <w:b w:val="false"/>
          <w:sz w:val="20"/>
        </w:rPr>
      </w:pPr>
      <w:r>
        <w:rPr>
          <w:rFonts w:ascii="Arial;sans-serif" w:hAnsi="Arial;sans-serif"/>
          <w:b w:val="false"/>
          <w:sz w:val="20"/>
        </w:rPr>
        <w:t>The expected amortization expense of amortizable acquired intangible assets may change due to the effects of foreign currency fluctuations as a result of international businesses acquired. The current and expected amortization expense for acquired intangible assets for each of the following periods is as follows:</w:t>
      </w:r>
    </w:p>
    <w:tbl>
      <w:tblPr>
        <w:tblW w:w="5753" w:type="dxa"/>
        <w:jc w:val="left"/>
        <w:tblInd w:w="0" w:type="dxa"/>
        <w:tblLayout w:type="fixed"/>
        <w:tblCellMar>
          <w:top w:w="28" w:type="dxa"/>
          <w:left w:w="28" w:type="dxa"/>
          <w:bottom w:w="28" w:type="dxa"/>
          <w:right w:w="28" w:type="dxa"/>
        </w:tblCellMar>
      </w:tblPr>
      <w:tblGrid>
        <w:gridCol w:w="4141"/>
        <w:gridCol w:w="146"/>
        <w:gridCol w:w="229"/>
        <w:gridCol w:w="104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three months ended June 30, 2023</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27,811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the remainder of fiscal year 2024</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204,988</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2025</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271,553</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2026</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271,401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2027</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271,401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2028</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271,401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1,255,386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2,546,130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80" w:after="0"/>
        <w:jc w:val="left"/>
        <w:rPr>
          <w:rFonts w:ascii="Times New Roman" w:hAnsi="Times New Roman"/>
          <w:sz w:val="20"/>
        </w:rPr>
      </w:pPr>
      <w:r>
        <w:rPr>
          <w:rFonts w:ascii="Arial;sans-serif" w:hAnsi="Arial;sans-serif"/>
          <w:b/>
          <w:sz w:val="20"/>
        </w:rPr>
        <w:t>Note 8 — Senior Notes and Other Long-Term Debt</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Total long-term debt consisted of the following as of June 30, 2023 and March 31, 2023:</w:t>
      </w:r>
      <w:r>
        <w:rPr>
          <w:rFonts w:ascii="Times New Roman" w:hAnsi="Times New Roman"/>
          <w:sz w:val="20"/>
        </w:rPr>
        <w:t xml:space="preserve"> </w:t>
      </w:r>
    </w:p>
    <w:p>
      <w:pPr>
        <w:pStyle w:val="TextBody"/>
        <w:bidi w:val="0"/>
        <w:spacing w:before="0" w:after="0"/>
        <w:jc w:val="left"/>
        <w:rPr/>
      </w:pPr>
      <w:r>
        <w:rPr/>
        <w:t> </w:t>
      </w:r>
    </w:p>
    <w:tbl>
      <w:tblPr>
        <w:tblW w:w="7390" w:type="dxa"/>
        <w:jc w:val="left"/>
        <w:tblInd w:w="0" w:type="dxa"/>
        <w:tblLayout w:type="fixed"/>
        <w:tblCellMar>
          <w:top w:w="28" w:type="dxa"/>
          <w:left w:w="28" w:type="dxa"/>
          <w:bottom w:w="28" w:type="dxa"/>
          <w:right w:w="28" w:type="dxa"/>
        </w:tblCellMar>
      </w:tblPr>
      <w:tblGrid>
        <w:gridCol w:w="4201"/>
        <w:gridCol w:w="146"/>
        <w:gridCol w:w="218"/>
        <w:gridCol w:w="997"/>
        <w:gridCol w:w="166"/>
        <w:gridCol w:w="146"/>
        <w:gridCol w:w="235"/>
        <w:gridCol w:w="1070"/>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3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2028 Notes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 Notes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 Notes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700,000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Term Loan Facility</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694,750</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Bridge Facility</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733,400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2023 Term Loan Facility</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616,700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Viasat Revolving Credit Facility</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Ex-Im Credit Facility</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58,957</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Inmarsat 2026 Notes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Inmarsat Secured Credit Facility</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1,693,125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Finance lease obligations</w:t>
            </w:r>
            <w:r>
              <w:rPr>
                <w:rFonts w:ascii="Times New Roman" w:hAnsi="Times New Roman"/>
                <w:sz w:val="20"/>
              </w:rPr>
              <w:t> </w:t>
            </w:r>
            <w:r>
              <w:rPr>
                <w:rFonts w:ascii="Arial;sans-serif" w:hAnsi="Arial;sans-serif"/>
                <w:b w:val="false"/>
                <w:sz w:val="20"/>
              </w:rPr>
              <w:t>(see Note 1)</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33,479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36,405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debt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7,593,834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2,490,112</w:t>
            </w:r>
          </w:p>
        </w:tc>
        <w:tc>
          <w:tcPr>
            <w:tcW w:w="21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Unamortized discount and debt issuance costs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(315,783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(30,672</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current portion of long-term debt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37,939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7,218,294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2,421,501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left"/>
        <w:rPr>
          <w:rFonts w:ascii="Times New Roman" w:hAnsi="Times New Roman"/>
          <w:sz w:val="20"/>
        </w:rPr>
      </w:pPr>
      <w:r>
        <w:rPr>
          <w:rFonts w:ascii="Arial;sans-serif" w:hAnsi="Arial;sans-serif"/>
          <w:b/>
          <w:i/>
          <w:sz w:val="20"/>
        </w:rPr>
        <w:t>Term Loan Facility</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In March 2022, the Company entered into a $700.0</w:t>
      </w:r>
      <w:r>
        <w:rPr>
          <w:rFonts w:ascii="Times New Roman" w:hAnsi="Times New Roman"/>
          <w:sz w:val="20"/>
        </w:rPr>
        <w:t xml:space="preserve"> </w:t>
      </w:r>
      <w:r>
        <w:rPr>
          <w:rFonts w:ascii="Arial;sans-serif" w:hAnsi="Arial;sans-serif"/>
          <w:b w:val="false"/>
          <w:sz w:val="20"/>
        </w:rPr>
        <w:t>million Term Loan Facility, which was fully drawn at closing and matures on March 4, 2029. At June 30, 2023, the Company had $693.0</w:t>
      </w:r>
      <w:r>
        <w:rPr>
          <w:rFonts w:ascii="Times New Roman" w:hAnsi="Times New Roman"/>
          <w:sz w:val="20"/>
        </w:rPr>
        <w:t xml:space="preserve"> </w:t>
      </w:r>
      <w:r>
        <w:rPr>
          <w:rFonts w:ascii="Arial;sans-serif" w:hAnsi="Arial;sans-serif"/>
          <w:b w:val="false"/>
          <w:sz w:val="20"/>
        </w:rPr>
        <w:t>million in principal amount of outstanding borrowings under the Term Loan Facility.</w:t>
      </w:r>
    </w:p>
    <w:p>
      <w:pPr>
        <w:pStyle w:val="TextBody"/>
        <w:bidi w:val="0"/>
        <w:spacing w:before="180" w:after="0"/>
        <w:jc w:val="left"/>
        <w:rPr>
          <w:rFonts w:ascii="Times New Roman" w:hAnsi="Times New Roman"/>
          <w:sz w:val="20"/>
        </w:rPr>
      </w:pPr>
      <w:r>
        <w:rPr>
          <w:rFonts w:ascii="Arial;sans-serif" w:hAnsi="Arial;sans-serif"/>
          <w:b w:val="false"/>
          <w:sz w:val="20"/>
        </w:rPr>
        <w:t>Borrowings under the Term Loan Facility are required to be repaid in quarterly installments of $1.75</w:t>
      </w:r>
      <w:r>
        <w:rPr>
          <w:rFonts w:ascii="Times New Roman" w:hAnsi="Times New Roman"/>
          <w:sz w:val="20"/>
        </w:rPr>
        <w:t xml:space="preserve"> </w:t>
      </w:r>
      <w:r>
        <w:rPr>
          <w:rFonts w:ascii="Arial;sans-serif" w:hAnsi="Arial;sans-serif"/>
          <w:b w:val="false"/>
          <w:sz w:val="20"/>
        </w:rPr>
        <w:t>million each, which commenced on September 30, 2022, followed by a final installment of $654.5</w:t>
      </w:r>
      <w:r>
        <w:rPr>
          <w:rFonts w:ascii="Times New Roman" w:hAnsi="Times New Roman"/>
          <w:sz w:val="20"/>
        </w:rPr>
        <w:t xml:space="preserve"> </w:t>
      </w:r>
      <w:r>
        <w:rPr>
          <w:rFonts w:ascii="Arial;sans-serif" w:hAnsi="Arial;sans-serif"/>
          <w:b w:val="false"/>
          <w:sz w:val="20"/>
        </w:rPr>
        <w:t>million at maturity. Borrowings under the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June 30, 2023, the effective interest rate on the Company’s outstanding borrowings under the Term Loan Facility was 10.14%.</w:t>
      </w:r>
      <w:r>
        <w:rPr>
          <w:rFonts w:ascii="Times New Roman" w:hAnsi="Times New Roman"/>
          <w:sz w:val="20"/>
        </w:rPr>
        <w:t xml:space="preserve"> </w:t>
      </w:r>
      <w:r>
        <w:rPr>
          <w:rFonts w:ascii="Arial;sans-serif" w:hAnsi="Arial;sans-serif"/>
          <w:b w:val="false"/>
          <w:sz w:val="20"/>
        </w:rPr>
        <w:t>The Term Loan Facility is required to be guaranteed by certain significant domestic subsidiaries of the Company (as defined in the Term Loan Facility) and secured by substantially all of the Company’s and any such subsidiaries’ assets. As of June 30, 2023, none of the Company’s subsidiaries guaranteed the Term Loan Facility.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sz w:val="20"/>
        </w:rPr>
        <w:t xml:space="preserve"> </w:t>
      </w:r>
      <w:r>
        <w:rPr>
          <w:rFonts w:ascii="Arial;sans-serif" w:hAnsi="Arial;sans-serif"/>
          <w:b w:val="false"/>
          <w:sz w:val="20"/>
        </w:rPr>
        <w:t>The Company was in compliance with its financial covenants under the Term Loan Facility as of June 30, 2023.</w:t>
      </w:r>
    </w:p>
    <w:p>
      <w:pPr>
        <w:pStyle w:val="TextBody"/>
        <w:bidi w:val="0"/>
        <w:spacing w:before="180" w:after="0"/>
        <w:jc w:val="left"/>
        <w:rPr>
          <w:rFonts w:ascii="Times New Roman" w:hAnsi="Times New Roman"/>
          <w:sz w:val="20"/>
        </w:rPr>
      </w:pPr>
      <w:r>
        <w:rPr>
          <w:rFonts w:ascii="Arial;sans-serif" w:hAnsi="Arial;sans-serif"/>
          <w:b w:val="false"/>
          <w:sz w:val="20"/>
        </w:rPr>
        <w:t>Borrowings under the Term Loan Facility are recorded as current portion of long-term debt and as other long-term debt, net of unamortized discount and debt issuance costs, in the Company’s condensed consolidated financial statements. The Term Loan Facility was issued with an original issue discount of 2.00%, or $14.0</w:t>
      </w:r>
      <w:r>
        <w:rPr>
          <w:rFonts w:ascii="Times New Roman" w:hAnsi="Times New Roman"/>
          <w:sz w:val="20"/>
        </w:rPr>
        <w:t xml:space="preserve"> </w:t>
      </w:r>
      <w:r>
        <w:rPr>
          <w:rFonts w:ascii="Arial;sans-serif" w:hAnsi="Arial;sans-serif"/>
          <w:b w:val="false"/>
          <w:sz w:val="20"/>
        </w:rPr>
        <w:t>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pStyle w:val="TextBody"/>
        <w:bidi w:val="0"/>
        <w:spacing w:before="240" w:after="0"/>
        <w:jc w:val="center"/>
        <w:rPr>
          <w:rFonts w:ascii="Arial;sans-serif" w:hAnsi="Arial;sans-serif"/>
          <w:b w:val="false"/>
          <w:sz w:val="20"/>
        </w:rPr>
      </w:pPr>
      <w:r>
        <w:rPr>
          <w:rFonts w:ascii="Arial;sans-serif" w:hAnsi="Arial;sans-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Arial;sans-serif" w:hAnsi="Arial;sans-serif"/>
          <w:b/>
          <w:i/>
          <w:sz w:val="20"/>
        </w:rPr>
      </w:pPr>
      <w:r>
        <w:rPr>
          <w:rFonts w:ascii="Arial;sans-serif" w:hAnsi="Arial;sans-serif"/>
          <w:b/>
          <w:i/>
          <w:sz w:val="20"/>
        </w:rPr>
        <w:t>2023 Term Loan Facility</w:t>
      </w:r>
    </w:p>
    <w:p>
      <w:pPr>
        <w:pStyle w:val="TextBody"/>
        <w:bidi w:val="0"/>
        <w:spacing w:before="80" w:after="0"/>
        <w:jc w:val="left"/>
        <w:rPr>
          <w:rFonts w:ascii="Times New Roman" w:hAnsi="Times New Roman"/>
          <w:sz w:val="20"/>
        </w:rPr>
      </w:pPr>
      <w:r>
        <w:rPr>
          <w:rFonts w:ascii="Arial;sans-serif" w:hAnsi="Arial;sans-serif"/>
          <w:b w:val="false"/>
          <w:sz w:val="20"/>
        </w:rPr>
        <w:t>In connection with the closing of the Inmarsat Acquisition, on May 30, 2023, the Company entered into a $616.7</w:t>
      </w:r>
      <w:r>
        <w:rPr>
          <w:rFonts w:ascii="Times New Roman" w:hAnsi="Times New Roman"/>
          <w:sz w:val="20"/>
        </w:rPr>
        <w:t xml:space="preserve"> </w:t>
      </w:r>
      <w:r>
        <w:rPr>
          <w:rFonts w:ascii="Arial;sans-serif" w:hAnsi="Arial;sans-serif"/>
          <w:b w:val="false"/>
          <w:sz w:val="20"/>
        </w:rPr>
        <w:t>million 2023 Term Loan Facility, which was fully drawn at closing and matures on May 30, 2030. At June 30, 2023, the Company had $616.7</w:t>
      </w:r>
      <w:r>
        <w:rPr>
          <w:rFonts w:ascii="Times New Roman" w:hAnsi="Times New Roman"/>
          <w:sz w:val="20"/>
        </w:rPr>
        <w:t xml:space="preserve"> </w:t>
      </w:r>
      <w:r>
        <w:rPr>
          <w:rFonts w:ascii="Arial;sans-serif" w:hAnsi="Arial;sans-serif"/>
          <w:b w:val="false"/>
          <w:sz w:val="20"/>
        </w:rPr>
        <w:t>million in principal amount of outstanding borrowings under the 2023 Term Loan Facility.</w:t>
      </w:r>
    </w:p>
    <w:p>
      <w:pPr>
        <w:pStyle w:val="TextBody"/>
        <w:bidi w:val="0"/>
        <w:spacing w:before="180" w:after="0"/>
        <w:jc w:val="left"/>
        <w:rPr>
          <w:rFonts w:ascii="Times New Roman" w:hAnsi="Times New Roman"/>
          <w:sz w:val="20"/>
        </w:rPr>
      </w:pPr>
      <w:r>
        <w:rPr>
          <w:rFonts w:ascii="Arial;sans-serif" w:hAnsi="Arial;sans-serif"/>
          <w:b w:val="false"/>
          <w:sz w:val="20"/>
        </w:rPr>
        <w:t>Borrowings under the 2023 Term Loan Facility are required to be repaid in quarterly installments of $1.5</w:t>
      </w:r>
      <w:r>
        <w:rPr>
          <w:rFonts w:ascii="Arial;sans-serif" w:hAnsi="Arial;sans-serif"/>
          <w:sz w:val="20"/>
        </w:rPr>
        <w:t xml:space="preserve"> </w:t>
      </w:r>
      <w:r>
        <w:rPr>
          <w:rFonts w:ascii="Arial;sans-serif" w:hAnsi="Arial;sans-serif"/>
          <w:b w:val="false"/>
          <w:sz w:val="20"/>
        </w:rPr>
        <w:t>million each, commencing on December 31, 2023, followed by a final installment of $576.6</w:t>
      </w:r>
      <w:r>
        <w:rPr>
          <w:rFonts w:ascii="Arial;sans-serif" w:hAnsi="Arial;sans-serif"/>
          <w:sz w:val="20"/>
        </w:rPr>
        <w:t xml:space="preserve"> </w:t>
      </w:r>
      <w:r>
        <w:rPr>
          <w:rFonts w:ascii="Arial;sans-serif" w:hAnsi="Arial;sans-serif"/>
          <w:b w:val="false"/>
          <w:sz w:val="20"/>
        </w:rPr>
        <w:t>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June 30, 2023, the effective interest rate on the Company’s outstanding borrowings under the 2023 Term Loan Facility was 10.64%. The 2023 Term Loan Facility is required to be guaranteed by certain significant domestic subsidiaries of the Company (as defined in the 2023 Term Loan Facility) and secured by substantially all of the Company’s assets and any such subsidiaries' assets. As of June 30, 2023, none of the Company’s subsidiaries guaranteed the 2023 Term Loan Facility.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sz w:val="20"/>
        </w:rPr>
        <w:t xml:space="preserve"> </w:t>
      </w:r>
      <w:r>
        <w:rPr>
          <w:rFonts w:ascii="Arial;sans-serif" w:hAnsi="Arial;sans-serif"/>
          <w:b w:val="false"/>
          <w:sz w:val="20"/>
        </w:rPr>
        <w:t>The Company was in compliance with its financial covenants under the 2023 Term Loan Facility as of June 30, 2023.</w:t>
      </w:r>
    </w:p>
    <w:p>
      <w:pPr>
        <w:pStyle w:val="TextBody"/>
        <w:bidi w:val="0"/>
        <w:spacing w:before="180" w:after="0"/>
        <w:jc w:val="left"/>
        <w:rPr>
          <w:rFonts w:ascii="Times New Roman" w:hAnsi="Times New Roman"/>
          <w:sz w:val="20"/>
        </w:rPr>
      </w:pPr>
      <w:r>
        <w:rPr>
          <w:rFonts w:ascii="Arial;sans-serif" w:hAnsi="Arial;sans-serif"/>
          <w:b w:val="false"/>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sz w:val="20"/>
        </w:rPr>
        <w:t xml:space="preserve"> </w:t>
      </w:r>
      <w:r>
        <w:rPr>
          <w:rFonts w:ascii="Arial;sans-serif" w:hAnsi="Arial;sans-serif"/>
          <w:b w:val="false"/>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80" w:after="0"/>
        <w:jc w:val="left"/>
        <w:rPr>
          <w:rFonts w:ascii="Arial;sans-serif" w:hAnsi="Arial;sans-serif"/>
          <w:b/>
          <w:i/>
          <w:sz w:val="20"/>
        </w:rPr>
      </w:pPr>
      <w:r>
        <w:rPr>
          <w:rFonts w:ascii="Arial;sans-serif" w:hAnsi="Arial;sans-serif"/>
          <w:b/>
          <w:i/>
          <w:sz w:val="20"/>
        </w:rPr>
        <w:t>Bridge Facility</w:t>
      </w:r>
    </w:p>
    <w:p>
      <w:pPr>
        <w:pStyle w:val="TextBody"/>
        <w:bidi w:val="0"/>
        <w:spacing w:before="80" w:after="0"/>
        <w:jc w:val="left"/>
        <w:rPr>
          <w:rFonts w:ascii="Times New Roman" w:hAnsi="Times New Roman"/>
          <w:sz w:val="20"/>
        </w:rPr>
      </w:pPr>
      <w:r>
        <w:rPr>
          <w:rFonts w:ascii="Arial;sans-serif" w:hAnsi="Arial;sans-serif"/>
          <w:b w:val="false"/>
          <w:sz w:val="20"/>
        </w:rPr>
        <w:t>In connection with the closing of the Inmarsat Acquisition, on May 30, 2023, the Company entered into a $733.4</w:t>
      </w:r>
      <w:r>
        <w:rPr>
          <w:rFonts w:ascii="Times New Roman" w:hAnsi="Times New Roman"/>
          <w:sz w:val="20"/>
        </w:rPr>
        <w:t xml:space="preserve"> </w:t>
      </w:r>
      <w:r>
        <w:rPr>
          <w:rFonts w:ascii="Arial;sans-serif" w:hAnsi="Arial;sans-serif"/>
          <w:b w:val="false"/>
          <w:sz w:val="20"/>
        </w:rPr>
        <w:t>million unsecured Bridge Facility, which was fully drawn at closing. As of June 30, 2023, the Company had $733.4</w:t>
      </w:r>
      <w:r>
        <w:rPr>
          <w:rFonts w:ascii="Times New Roman" w:hAnsi="Times New Roman"/>
          <w:sz w:val="20"/>
        </w:rPr>
        <w:t xml:space="preserve"> </w:t>
      </w:r>
      <w:r>
        <w:rPr>
          <w:rFonts w:ascii="Arial;sans-serif" w:hAnsi="Arial;sans-serif"/>
          <w:b w:val="false"/>
          <w:sz w:val="20"/>
        </w:rPr>
        <w:t>million in principal amount of outstanding borrowings under the Bridge Facility.</w:t>
      </w:r>
    </w:p>
    <w:p>
      <w:pPr>
        <w:pStyle w:val="TextBody"/>
        <w:bidi w:val="0"/>
        <w:spacing w:before="180" w:after="0"/>
        <w:jc w:val="left"/>
        <w:rPr>
          <w:rFonts w:ascii="Times New Roman" w:hAnsi="Times New Roman"/>
          <w:sz w:val="20"/>
        </w:rPr>
      </w:pPr>
      <w:r>
        <w:rPr>
          <w:rFonts w:ascii="Arial;sans-serif" w:hAnsi="Arial;sans-serif"/>
          <w:b w:val="false"/>
          <w:sz w:val="20"/>
        </w:rPr>
        <w:t>The Bridge Facility has an initial maturity date of May 30, 2024; provided that, if any of the initial bridge loan remains outstanding as of such date, such initial bridge loan will be automatically converted into a term loan (such term loan, the Extended Term Loan) with a maturity date of May 30, 2031. The initial bridge loan bears interest at a rate equal to the forward-looking term SOFR rate administered by CME for the applicable interest period, subject to a floor of 0.50%, plus a credit spread adjustment of 0.26% plus an applicable margin equal to (i) 4.75% from May 30, 2023 to (but excluding) August 30, 2023, (ii) 5.25% from August 30, 2023 to (but excluding) November 30, 2023, (iii) 5.75% from November 30, 2023 to (but excluding) February 29, 2024 and (iv) 6.25% from February 29, 2024 to (but excluding) May 30, 2024. The interest rate for the initial bridge loan is subject to a maximum total rate of 7.50% per annum. The Extended Term Loan, if applicable, will bear interest at a rate equal to 7.50% per annum.</w:t>
      </w:r>
      <w:r>
        <w:rPr>
          <w:rFonts w:ascii="Times New Roman" w:hAnsi="Times New Roman"/>
          <w:sz w:val="20"/>
        </w:rPr>
        <w:t xml:space="preserve"> </w:t>
      </w:r>
      <w:r>
        <w:rPr>
          <w:rFonts w:ascii="Arial;sans-serif" w:hAnsi="Arial;sans-serif"/>
          <w:b w:val="false"/>
          <w:sz w:val="20"/>
        </w:rPr>
        <w:t>As of June 30, 2023, the effective interest rate on the Company’s outstanding borrowings under the Bridge Facility was 7.83%. Borrowings under the Bridge Facility are required to be guaranteed by certain significant domestic subsidiaries of Viasat (as defined in the Bridge Facility). As of June 30, 2023, none of the Company’s subsidiaries guaranteed the Bridge Facility.</w:t>
      </w:r>
    </w:p>
    <w:p>
      <w:pPr>
        <w:pStyle w:val="TextBody"/>
        <w:bidi w:val="0"/>
        <w:spacing w:before="180" w:after="0"/>
        <w:jc w:val="left"/>
        <w:rPr>
          <w:rFonts w:ascii="Arial;sans-serif" w:hAnsi="Arial;sans-serif"/>
          <w:b w:val="false"/>
          <w:sz w:val="20"/>
        </w:rPr>
      </w:pPr>
      <w:r>
        <w:rPr>
          <w:rFonts w:ascii="Arial;sans-serif" w:hAnsi="Arial;sans-serif"/>
          <w:b w:val="false"/>
          <w:sz w:val="20"/>
        </w:rPr>
        <w:t>The Bridge Facility contains covenants that restrict, among other things, the ability of the Company and its restricted subsidiaries to incur additional debt, grant liens, sell assets, make investments, pay dividends and make certain other restricted payments. The Company was in compliance with its financial covenants under the Bridge Facility as of June 30, 2023.</w:t>
      </w:r>
    </w:p>
    <w:p>
      <w:pPr>
        <w:pStyle w:val="TextBody"/>
        <w:bidi w:val="0"/>
        <w:spacing w:before="180" w:after="0"/>
        <w:jc w:val="left"/>
        <w:rPr>
          <w:rFonts w:ascii="Arial;sans-serif" w:hAnsi="Arial;sans-serif"/>
          <w:b w:val="false"/>
          <w:sz w:val="20"/>
        </w:rPr>
      </w:pPr>
      <w:r>
        <w:rPr>
          <w:rFonts w:ascii="Arial;sans-serif" w:hAnsi="Arial;sans-serif"/>
          <w:b w:val="false"/>
          <w:sz w:val="20"/>
        </w:rPr>
        <w:t>The Bridge Facility was issued at face value and is recorded as long-term debt, net of debt issuance costs, in the Company’s condensed consolidated financial statements. Debt issuance costs associated with the issuance of the Bridge Facility are amortized to interest expense on a straight-line basis over the term of the Bridge Facility, the results of which are not materially different from the effective interest rate basis.</w:t>
      </w:r>
    </w:p>
    <w:p>
      <w:pPr>
        <w:pStyle w:val="TextBody"/>
        <w:bidi w:val="0"/>
        <w:spacing w:before="240" w:after="0"/>
        <w:jc w:val="center"/>
        <w:rPr>
          <w:rFonts w:ascii="Arial;sans-serif" w:hAnsi="Arial;sans-serif"/>
          <w:b w:val="false"/>
          <w:sz w:val="20"/>
        </w:rPr>
      </w:pPr>
      <w:r>
        <w:rPr>
          <w:rFonts w:ascii="Arial;sans-serif" w:hAnsi="Arial;sans-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i/>
          <w:sz w:val="20"/>
        </w:rPr>
        <w:t>Viasat Revolving Credit Facility</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As of June 30, 2023, the Viasat Revolving Credit Facility provided a $700.0</w:t>
      </w:r>
      <w:r>
        <w:rPr>
          <w:rFonts w:ascii="Times New Roman" w:hAnsi="Times New Roman"/>
          <w:sz w:val="20"/>
        </w:rPr>
        <w:t xml:space="preserve"> </w:t>
      </w:r>
      <w:r>
        <w:rPr>
          <w:rFonts w:ascii="Arial;sans-serif" w:hAnsi="Arial;sans-serif"/>
          <w:b w:val="false"/>
          <w:sz w:val="20"/>
        </w:rPr>
        <w:t>million revolving line of credit (including up to $150.0</w:t>
      </w:r>
      <w:r>
        <w:rPr>
          <w:rFonts w:ascii="Times New Roman" w:hAnsi="Times New Roman"/>
          <w:sz w:val="20"/>
        </w:rPr>
        <w:t xml:space="preserve"> </w:t>
      </w:r>
      <w:r>
        <w:rPr>
          <w:rFonts w:ascii="Arial;sans-serif" w:hAnsi="Arial;sans-serif"/>
          <w:b w:val="false"/>
          <w:sz w:val="20"/>
        </w:rPr>
        <w:t>million of letters of credit), with a maturity date of January 18, 2024. At June 30, 2023, the Company had no</w:t>
      </w:r>
      <w:r>
        <w:rPr>
          <w:rFonts w:ascii="Times New Roman" w:hAnsi="Times New Roman"/>
          <w:sz w:val="20"/>
        </w:rPr>
        <w:t xml:space="preserve"> </w:t>
      </w:r>
      <w:r>
        <w:rPr>
          <w:rFonts w:ascii="Arial;sans-serif" w:hAnsi="Arial;sans-serif"/>
          <w:b w:val="false"/>
          <w:sz w:val="20"/>
        </w:rPr>
        <w:t>outstanding borrowings under the Viasat Revolving Credit Facility and $38.1</w:t>
      </w:r>
      <w:r>
        <w:rPr>
          <w:rFonts w:ascii="Times New Roman" w:hAnsi="Times New Roman"/>
          <w:sz w:val="20"/>
        </w:rPr>
        <w:t xml:space="preserve"> </w:t>
      </w:r>
      <w:r>
        <w:rPr>
          <w:rFonts w:ascii="Arial;sans-serif" w:hAnsi="Arial;sans-serif"/>
          <w:b w:val="false"/>
          <w:sz w:val="20"/>
        </w:rPr>
        <w:t>million outstanding under standby letters of credit, leaving borrowing availability under the Viasat Revolving Credit Facility as of June 30, 2023 of $661.9</w:t>
      </w:r>
      <w:r>
        <w:rPr>
          <w:rFonts w:ascii="Times New Roman" w:hAnsi="Times New Roman"/>
          <w:sz w:val="20"/>
        </w:rPr>
        <w:t xml:space="preserve"> </w:t>
      </w:r>
      <w:r>
        <w:rPr>
          <w:rFonts w:ascii="Arial;sans-serif" w:hAnsi="Arial;sans-serif"/>
          <w:b w:val="false"/>
          <w:sz w:val="20"/>
        </w:rPr>
        <w:t>million.</w:t>
      </w:r>
    </w:p>
    <w:p>
      <w:pPr>
        <w:pStyle w:val="TextBody"/>
        <w:bidi w:val="0"/>
        <w:spacing w:before="180" w:after="0"/>
        <w:jc w:val="left"/>
        <w:rPr>
          <w:rFonts w:ascii="Times New Roman" w:hAnsi="Times New Roman"/>
          <w:sz w:val="20"/>
        </w:rPr>
      </w:pPr>
      <w:r>
        <w:rPr>
          <w:rFonts w:ascii="Arial;sans-serif" w:hAnsi="Arial;sans-serif"/>
          <w:b w:val="false"/>
          <w:sz w:val="20"/>
        </w:rPr>
        <w:t>Borrowings under the Viasat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w:t>
      </w:r>
      <w:r>
        <w:rPr>
          <w:rFonts w:ascii="Times New Roman" w:hAnsi="Times New Roman"/>
          <w:sz w:val="20"/>
        </w:rPr>
        <w:t xml:space="preserve"> </w:t>
      </w:r>
      <w:r>
        <w:rPr>
          <w:rFonts w:ascii="Arial;sans-serif" w:hAnsi="Arial;sans-serif"/>
          <w:b w:val="false"/>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June 30, 2023, none of the Company’s subsidiaries guaranteed the Viasat Revolving Credit Facility.</w:t>
      </w:r>
    </w:p>
    <w:p>
      <w:pPr>
        <w:pStyle w:val="TextBody"/>
        <w:bidi w:val="0"/>
        <w:spacing w:before="180" w:after="0"/>
        <w:jc w:val="left"/>
        <w:rPr>
          <w:rFonts w:ascii="Arial;sans-serif" w:hAnsi="Arial;sans-serif"/>
          <w:b w:val="false"/>
          <w:sz w:val="20"/>
        </w:rPr>
      </w:pPr>
      <w:r>
        <w:rPr>
          <w:rFonts w:ascii="Arial;sans-serif" w:hAnsi="Arial;sans-serif"/>
          <w:b w:val="false"/>
          <w:sz w:val="20"/>
        </w:rPr>
        <w:t>The Viasat Revolving Credit Facility contains financial covenants regarding a maximum total leverage ratio and a minimum interest coverage ratio. In addition, the Viasat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Viasat Revolving Credit Facility as of June 30, 2023.</w:t>
      </w:r>
    </w:p>
    <w:p>
      <w:pPr>
        <w:pStyle w:val="TextBody"/>
        <w:bidi w:val="0"/>
        <w:spacing w:before="180" w:after="0"/>
        <w:jc w:val="left"/>
        <w:rPr>
          <w:rFonts w:ascii="Times New Roman" w:hAnsi="Times New Roman"/>
          <w:sz w:val="20"/>
        </w:rPr>
      </w:pPr>
      <w:r>
        <w:rPr>
          <w:rFonts w:ascii="Arial;sans-serif" w:hAnsi="Arial;sans-serif"/>
          <w:b w:val="false"/>
          <w:sz w:val="20"/>
        </w:rPr>
        <w:t>On May 30, 2023, the Company entered into a commitment letter with lenders under the Viasat Revolving Credit Facility holding revolving credit commitments totaling $512.5</w:t>
      </w:r>
      <w:r>
        <w:rPr>
          <w:rFonts w:ascii="Times New Roman" w:hAnsi="Times New Roman"/>
          <w:sz w:val="20"/>
        </w:rPr>
        <w:t xml:space="preserve"> </w:t>
      </w:r>
      <w:r>
        <w:rPr>
          <w:rFonts w:ascii="Arial;sans-serif" w:hAnsi="Arial;sans-serif"/>
          <w:b w:val="false"/>
          <w:sz w:val="20"/>
        </w:rPr>
        <w:t>million in the aggregate to extend the maturity of such revolving credit commitments to a date that is five years</w:t>
      </w:r>
      <w:r>
        <w:rPr>
          <w:rFonts w:ascii="Times New Roman" w:hAnsi="Times New Roman"/>
          <w:sz w:val="20"/>
        </w:rPr>
        <w:t xml:space="preserve"> </w:t>
      </w:r>
      <w:r>
        <w:rPr>
          <w:rFonts w:ascii="Arial;sans-serif" w:hAnsi="Arial;sans-serif"/>
          <w:b w:val="false"/>
          <w:sz w:val="20"/>
        </w:rPr>
        <w:t>from the execution of documentation formalizing the extension (the Revolving Extension Amendment). The Company expects the Revolving Extension Amendment to be consummated prior to August 28, 2023. The Revolving Extension Amendment is subject to customary conditions to closing, and there is no guarantee that the Company will obtain the Revolving Extension Amendment on the expected timeline or at all.</w:t>
      </w:r>
    </w:p>
    <w:p>
      <w:pPr>
        <w:pStyle w:val="TextBody"/>
        <w:bidi w:val="0"/>
        <w:spacing w:before="280" w:after="0"/>
        <w:jc w:val="left"/>
        <w:rPr>
          <w:rFonts w:ascii="Times New Roman" w:hAnsi="Times New Roman"/>
          <w:sz w:val="20"/>
        </w:rPr>
      </w:pPr>
      <w:r>
        <w:rPr>
          <w:rFonts w:ascii="Arial;sans-serif" w:hAnsi="Arial;sans-serif"/>
          <w:b/>
          <w:i/>
          <w:sz w:val="20"/>
        </w:rPr>
        <w:t>Ex-Im Credit Facility</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The Ex-Im Credit Facility originally provided a $362.4</w:t>
      </w:r>
      <w:r>
        <w:rPr>
          <w:rFonts w:ascii="Times New Roman" w:hAnsi="Times New Roman"/>
          <w:sz w:val="20"/>
        </w:rPr>
        <w:t xml:space="preserve"> </w:t>
      </w:r>
      <w:r>
        <w:rPr>
          <w:rFonts w:ascii="Arial;sans-serif" w:hAnsi="Arial;sans-serif"/>
          <w:b w:val="false"/>
          <w:sz w:val="20"/>
        </w:rPr>
        <w:t>million senior secured direct loan facility, which was fully drawn. Of the $362.4</w:t>
      </w:r>
      <w:r>
        <w:rPr>
          <w:rFonts w:ascii="Times New Roman" w:hAnsi="Times New Roman"/>
          <w:sz w:val="20"/>
        </w:rPr>
        <w:t xml:space="preserve"> </w:t>
      </w:r>
      <w:r>
        <w:rPr>
          <w:rFonts w:ascii="Arial;sans-serif" w:hAnsi="Arial;sans-serif"/>
          <w:b w:val="false"/>
          <w:sz w:val="20"/>
        </w:rPr>
        <w:t>million in principal amount of borrowings made under the Ex-Im Credit Facility, $321.2</w:t>
      </w:r>
      <w:r>
        <w:rPr>
          <w:rFonts w:ascii="Times New Roman" w:hAnsi="Times New Roman"/>
          <w:sz w:val="20"/>
        </w:rPr>
        <w:t xml:space="preserve"> </w:t>
      </w:r>
      <w:r>
        <w:rPr>
          <w:rFonts w:ascii="Arial;sans-serif" w:hAnsi="Arial;sans-serif"/>
          <w:b w:val="false"/>
          <w:sz w:val="20"/>
        </w:rPr>
        <w:t>million was used to finance up to 85% of the costs of construction, launch and insurance of the ViaSat-2 satellite and related goods and services (including costs incurred on or after September 18, 2012), with the remaining $41.2</w:t>
      </w:r>
      <w:r>
        <w:rPr>
          <w:rFonts w:ascii="Times New Roman" w:hAnsi="Times New Roman"/>
          <w:sz w:val="20"/>
        </w:rPr>
        <w:t xml:space="preserve"> </w:t>
      </w:r>
      <w:r>
        <w:rPr>
          <w:rFonts w:ascii="Arial;sans-serif" w:hAnsi="Arial;sans-serif"/>
          <w:b w:val="false"/>
          <w:sz w:val="20"/>
        </w:rPr>
        <w:t>million used to finance the total exposure fees incurred under the Ex-Im Credit Facility (which included all previously accrued completion exposure fees). As of June 30, 2023, the Company had $49.1</w:t>
      </w:r>
      <w:r>
        <w:rPr>
          <w:rFonts w:ascii="Times New Roman" w:hAnsi="Times New Roman"/>
          <w:sz w:val="20"/>
        </w:rPr>
        <w:t xml:space="preserve"> </w:t>
      </w:r>
      <w:r>
        <w:rPr>
          <w:rFonts w:ascii="Arial;sans-serif" w:hAnsi="Arial;sans-serif"/>
          <w:b w:val="false"/>
          <w:sz w:val="20"/>
        </w:rPr>
        <w:t>million in principal amount of outstanding borrowings under the Ex-Im Credit Facility.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w:t>
      </w:r>
      <w:r>
        <w:rPr>
          <w:rFonts w:ascii="Times New Roman" w:hAnsi="Times New Roman"/>
          <w:sz w:val="20"/>
        </w:rPr>
        <w:t xml:space="preserve"> </w:t>
      </w:r>
      <w:r>
        <w:rPr>
          <w:rFonts w:ascii="Arial;sans-serif" w:hAnsi="Arial;sans-serif"/>
          <w:b w:val="false"/>
          <w:sz w:val="20"/>
        </w:rPr>
        <w:t>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r>
        <w:rPr>
          <w:rFonts w:ascii="Times New Roman" w:hAnsi="Times New Roman"/>
          <w:sz w:val="20"/>
        </w:rPr>
        <w:t xml:space="preserve"> </w:t>
      </w:r>
      <w:r>
        <w:rPr>
          <w:rFonts w:ascii="Arial;sans-serif" w:hAnsi="Arial;sans-serif"/>
          <w:b w:val="false"/>
          <w:sz w:val="20"/>
        </w:rPr>
        <w:t>The Company was in compliance with its financial covenants under the Ex-Im Credit Facility as of June 30, 2023.</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Borrowings under the Ex-Im Credit Facility are recorded as current portion of long-term debt and as other long-term debt, net of unamortized discount and debt issuance costs, in the Company’s condensed consolidated financial statements. The discount of $42.3</w:t>
      </w:r>
      <w:r>
        <w:rPr>
          <w:rFonts w:ascii="Times New Roman" w:hAnsi="Times New Roman"/>
          <w:sz w:val="20"/>
        </w:rPr>
        <w:t xml:space="preserve"> </w:t>
      </w:r>
      <w:r>
        <w:rPr>
          <w:rFonts w:ascii="Arial;sans-serif" w:hAnsi="Arial;sans-serif"/>
          <w:b w:val="false"/>
          <w:sz w:val="20"/>
        </w:rPr>
        <w:t>million (consisting of the initial $6.0</w:t>
      </w:r>
      <w:r>
        <w:rPr>
          <w:rFonts w:ascii="Times New Roman" w:hAnsi="Times New Roman"/>
          <w:sz w:val="20"/>
        </w:rPr>
        <w:t xml:space="preserve"> </w:t>
      </w:r>
      <w:r>
        <w:rPr>
          <w:rFonts w:ascii="Arial;sans-serif" w:hAnsi="Arial;sans-serif"/>
          <w:b w:val="false"/>
          <w:sz w:val="20"/>
        </w:rPr>
        <w:t>million pre-exposure fee, $35.3</w:t>
      </w:r>
      <w:r>
        <w:rPr>
          <w:rFonts w:ascii="Times New Roman" w:hAnsi="Times New Roman"/>
          <w:sz w:val="20"/>
        </w:rPr>
        <w:t xml:space="preserve"> </w:t>
      </w:r>
      <w:r>
        <w:rPr>
          <w:rFonts w:ascii="Arial;sans-serif" w:hAnsi="Arial;sans-serif"/>
          <w:b w:val="false"/>
          <w:sz w:val="20"/>
        </w:rPr>
        <w:t>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pStyle w:val="TextBody"/>
        <w:bidi w:val="0"/>
        <w:spacing w:before="280" w:after="0"/>
        <w:jc w:val="left"/>
        <w:rPr>
          <w:rFonts w:ascii="Arial;sans-serif" w:hAnsi="Arial;sans-serif"/>
          <w:b/>
          <w:i/>
          <w:sz w:val="20"/>
        </w:rPr>
      </w:pPr>
      <w:r>
        <w:rPr>
          <w:rFonts w:ascii="Arial;sans-serif" w:hAnsi="Arial;sans-serif"/>
          <w:b/>
          <w:i/>
          <w:sz w:val="20"/>
        </w:rPr>
        <w:t>Inmarsat Secured Credit Facility</w:t>
      </w:r>
    </w:p>
    <w:p>
      <w:pPr>
        <w:pStyle w:val="TextBody"/>
        <w:bidi w:val="0"/>
        <w:spacing w:before="80" w:after="0"/>
        <w:jc w:val="left"/>
        <w:rPr>
          <w:rFonts w:ascii="Times New Roman" w:hAnsi="Times New Roman"/>
          <w:sz w:val="20"/>
        </w:rPr>
      </w:pPr>
      <w:r>
        <w:rPr>
          <w:rFonts w:ascii="Arial;sans-serif" w:hAnsi="Arial;sans-serif"/>
          <w:b w:val="false"/>
          <w:sz w:val="20"/>
        </w:rPr>
        <w:t>As of June 30, 2023, the Inmarsat Secured Credit Facility comprised the $1.75</w:t>
      </w:r>
      <w:r>
        <w:rPr>
          <w:rFonts w:ascii="Times New Roman" w:hAnsi="Times New Roman"/>
          <w:sz w:val="20"/>
        </w:rPr>
        <w:t xml:space="preserve"> </w:t>
      </w:r>
      <w:r>
        <w:rPr>
          <w:rFonts w:ascii="Arial;sans-serif" w:hAnsi="Arial;sans-serif"/>
          <w:b w:val="false"/>
          <w:sz w:val="20"/>
        </w:rPr>
        <w:t>billion Inmarsat Term Loan Facility and the $700.0</w:t>
      </w:r>
      <w:r>
        <w:rPr>
          <w:rFonts w:ascii="Times New Roman" w:hAnsi="Times New Roman"/>
          <w:sz w:val="20"/>
        </w:rPr>
        <w:t xml:space="preserve"> </w:t>
      </w:r>
      <w:r>
        <w:rPr>
          <w:rFonts w:ascii="Arial;sans-serif" w:hAnsi="Arial;sans-serif"/>
          <w:b w:val="false"/>
          <w:sz w:val="20"/>
        </w:rPr>
        <w:t>million Inmarsat Revolving Credit Facility. As of June 30, 2023, Inmarsat had $1.69</w:t>
      </w:r>
      <w:r>
        <w:rPr>
          <w:rFonts w:ascii="Times New Roman" w:hAnsi="Times New Roman"/>
          <w:sz w:val="20"/>
        </w:rPr>
        <w:t xml:space="preserve"> </w:t>
      </w:r>
      <w:r>
        <w:rPr>
          <w:rFonts w:ascii="Arial;sans-serif" w:hAnsi="Arial;sans-serif"/>
          <w:b w:val="false"/>
          <w:sz w:val="20"/>
        </w:rPr>
        <w:t>billion in principal amount of outstanding borrowings under the Inmarsat Term Loan Facility and the Inmarsat Revolving Credit Facility was undrawn. The maturity date for the Inmarsat Term Loan Facility is December 12, 2026, and the maturity date for the Inmarsat Revolving Credit Facility is December 12, 2024. The Inmarsat Term Loan Facility is repayable in quarterly installments of $4.4</w:t>
      </w:r>
      <w:r>
        <w:rPr>
          <w:rFonts w:ascii="Times New Roman" w:hAnsi="Times New Roman"/>
          <w:sz w:val="20"/>
        </w:rPr>
        <w:t xml:space="preserve"> </w:t>
      </w:r>
      <w:r>
        <w:rPr>
          <w:rFonts w:ascii="Arial;sans-serif" w:hAnsi="Arial;sans-serif"/>
          <w:b w:val="false"/>
          <w:sz w:val="20"/>
        </w:rPr>
        <w:t>million, followed by a final installment on the maturity date.</w:t>
      </w:r>
    </w:p>
    <w:p>
      <w:pPr>
        <w:pStyle w:val="TextBody"/>
        <w:bidi w:val="0"/>
        <w:spacing w:before="180" w:after="0"/>
        <w:jc w:val="left"/>
        <w:rPr>
          <w:rFonts w:ascii="Times New Roman" w:hAnsi="Times New Roman"/>
          <w:sz w:val="20"/>
        </w:rPr>
      </w:pPr>
      <w:r>
        <w:rPr>
          <w:rFonts w:ascii="Arial;sans-serif" w:hAnsi="Arial;sans-serif"/>
          <w:b w:val="false"/>
          <w:sz w:val="20"/>
        </w:rPr>
        <w:t>Prior to June 30, 2023, borrowings under the Inmarsat Secured Credit Facility bore interest, at Inmarsat’s option, at either (1) the highest of the federal funds rate plus 0.50%, adjusted LIBOR plus 1.00%, or the administrative agent’s prime rate as announced from time to time, or (2) adjusted LIBOR, subject to a floor of 1.00% per annum, plus, in each case an applicable margin. As of June 30, 2023, the weighted average effective interest rate on the Company's outstanding borrowings under the Inmarsat Term Loan Facility was approximately 7.03%.</w:t>
      </w:r>
      <w:r>
        <w:rPr>
          <w:rFonts w:ascii="Times New Roman" w:hAnsi="Times New Roman"/>
          <w:sz w:val="20"/>
        </w:rPr>
        <w:t xml:space="preserve"> </w:t>
      </w:r>
      <w:r>
        <w:rPr>
          <w:rFonts w:ascii="Arial;sans-serif" w:hAnsi="Arial;sans-serif"/>
          <w:b w:val="false"/>
          <w:sz w:val="20"/>
        </w:rPr>
        <w:t>Effective June 30, 2023, the reference rates under the Inmarsat Secured Credit Facility were transitioned from LIBOR to SOFR. Following the transition, borrowings under the Inmarsat Secured Credit Facility now bear interest, at Inmarsat's option, at either (1) the highest of (x) the greater of the federal funds rate or the overnight banking fund rate for such day plus 0.50%, (y) the forward-looking one-month term SOFR rate plus 3.50% or (z) the administrative agent's prime rate as announced from time to time, or (2) the forward-looking term SOFR rate for the applicable interest period, subject to a floor of 1.00% per annum for the Inmarsat Term Loan Facility, plus, in each case an applicable margin. The applicable margin for the term loan is 2.50% per annum for base rate loans and 3.50% per annum for SOFR loans. The applicable margin for borrowings under the Inmarsat Revolving Credit Facility is based on Inmarsat’s senior secured first lien net leverage ratio. The Inmarsat Secured Credit Facility is required to be guaranteed by certain material Inmarsat subsidiaries and secured by substantially all of the assets of the Inmarsat borrowers and subsidiary guarantors.</w:t>
      </w:r>
    </w:p>
    <w:p>
      <w:pPr>
        <w:pStyle w:val="TextBody"/>
        <w:bidi w:val="0"/>
        <w:spacing w:before="180" w:after="0"/>
        <w:jc w:val="left"/>
        <w:rPr>
          <w:rFonts w:ascii="Times New Roman" w:hAnsi="Times New Roman"/>
          <w:sz w:val="20"/>
        </w:rPr>
      </w:pPr>
      <w:r>
        <w:rPr>
          <w:rFonts w:ascii="Arial;sans-serif" w:hAnsi="Arial;sans-serif"/>
          <w:b w:val="false"/>
          <w:sz w:val="20"/>
        </w:rPr>
        <w:t>The Inmarsat Secured Credit Facility contains covenants that restrict, among other things, Inmarsat’s ability to sell assets, make investments and acquisitions, make capital expenditures, grant liens, pay dividends and make certain other restricted payments. In addition, a financial covenant regarding Inmarsat’s senior secured first lien leverage ratio applies in the event borrowings under the Inmarsat Revolving Credit Facility exceed the greater of $280.0</w:t>
      </w:r>
      <w:r>
        <w:rPr>
          <w:rFonts w:ascii="Arial;sans-serif" w:hAnsi="Arial;sans-serif"/>
          <w:sz w:val="20"/>
        </w:rPr>
        <w:t xml:space="preserve"> </w:t>
      </w:r>
      <w:r>
        <w:rPr>
          <w:rFonts w:ascii="Arial;sans-serif" w:hAnsi="Arial;sans-serif"/>
          <w:b w:val="false"/>
          <w:sz w:val="20"/>
        </w:rPr>
        <w:t>million and 40% of the revolving credit commitment thereunder. The borrowers under the Inmarsat Secured Credit Facility were in compliance with the financial covenants under the Inmarsat Secured Credit Facility as of June 30, 2023.</w:t>
      </w:r>
    </w:p>
    <w:p>
      <w:pPr>
        <w:pStyle w:val="TextBody"/>
        <w:bidi w:val="0"/>
        <w:spacing w:before="180" w:after="0"/>
        <w:jc w:val="left"/>
        <w:rPr>
          <w:rFonts w:ascii="Arial;sans-serif" w:hAnsi="Arial;sans-serif"/>
          <w:b w:val="false"/>
          <w:sz w:val="20"/>
        </w:rPr>
      </w:pPr>
      <w:r>
        <w:rPr>
          <w:rFonts w:ascii="Arial;sans-serif" w:hAnsi="Arial;sans-serif"/>
          <w:b w:val="false"/>
          <w:sz w:val="20"/>
        </w:rPr>
        <w:t>Borrowings under the Inmarsat Term Loan Facility are recorded as current portion of long-term debt and as other long-term debt, net of unamortized discount and debt issuance costs, in the Company’s condensed consolidated financial statements. The deferred financing cost associated with the incurrence of the borrowings under the Inmarsat Term Loan Facility are amortized to interest expense on a straight-line basis over the term of the facility, the results of which are not materially different from the effective interest rate basis.</w:t>
      </w:r>
    </w:p>
    <w:p>
      <w:pPr>
        <w:pStyle w:val="TextBody"/>
        <w:bidi w:val="0"/>
        <w:spacing w:before="280" w:after="0"/>
        <w:jc w:val="left"/>
        <w:rPr>
          <w:rFonts w:ascii="Times New Roman" w:hAnsi="Times New Roman"/>
          <w:sz w:val="20"/>
        </w:rPr>
      </w:pPr>
      <w:r>
        <w:rPr>
          <w:rFonts w:ascii="Arial;sans-serif" w:hAnsi="Arial;sans-serif"/>
          <w:b/>
          <w:i/>
          <w:sz w:val="20"/>
        </w:rPr>
        <w:t>Senior Notes</w:t>
      </w:r>
      <w:r>
        <w:rPr>
          <w:rFonts w:ascii="Times New Roman" w:hAnsi="Times New Roman"/>
          <w:sz w:val="20"/>
        </w:rPr>
        <w:t xml:space="preserve"> </w:t>
      </w:r>
    </w:p>
    <w:p>
      <w:pPr>
        <w:pStyle w:val="TextBody"/>
        <w:bidi w:val="0"/>
        <w:spacing w:before="80" w:after="0"/>
        <w:jc w:val="left"/>
        <w:rPr>
          <w:rFonts w:ascii="Arial;sans-serif" w:hAnsi="Arial;sans-serif"/>
          <w:b w:val="false"/>
          <w:i/>
          <w:sz w:val="20"/>
        </w:rPr>
      </w:pPr>
      <w:r>
        <w:rPr>
          <w:rFonts w:ascii="Arial;sans-serif" w:hAnsi="Arial;sans-serif"/>
          <w:b w:val="false"/>
          <w:i/>
          <w:sz w:val="20"/>
        </w:rPr>
        <w:t>Senior Notes due 2028</w:t>
      </w:r>
    </w:p>
    <w:p>
      <w:pPr>
        <w:pStyle w:val="TextBody"/>
        <w:bidi w:val="0"/>
        <w:spacing w:before="80" w:after="0"/>
        <w:jc w:val="left"/>
        <w:rPr>
          <w:rFonts w:ascii="Times New Roman" w:hAnsi="Times New Roman"/>
          <w:sz w:val="20"/>
        </w:rPr>
      </w:pPr>
      <w:r>
        <w:rPr>
          <w:rFonts w:ascii="Arial;sans-serif" w:hAnsi="Arial;sans-serif"/>
          <w:b w:val="false"/>
          <w:sz w:val="20"/>
        </w:rPr>
        <w:t>In June 2020, the Company issued $400.0</w:t>
      </w:r>
      <w:r>
        <w:rPr>
          <w:rFonts w:ascii="Times New Roman" w:hAnsi="Times New Roman"/>
          <w:sz w:val="20"/>
        </w:rPr>
        <w:t xml:space="preserve"> </w:t>
      </w:r>
      <w:r>
        <w:rPr>
          <w:rFonts w:ascii="Arial;sans-serif" w:hAnsi="Arial;sans-serif"/>
          <w:b w:val="false"/>
          <w:sz w:val="20"/>
        </w:rPr>
        <w:t>million in principal amount of 2028</w:t>
      </w:r>
      <w:r>
        <w:rPr>
          <w:rFonts w:ascii="Times New Roman" w:hAnsi="Times New Roman"/>
          <w:sz w:val="20"/>
        </w:rPr>
        <w:t xml:space="preserve"> </w:t>
      </w:r>
      <w:r>
        <w:rPr>
          <w:rFonts w:ascii="Arial;sans-serif" w:hAnsi="Arial;sans-serif"/>
          <w:b w:val="false"/>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240" w:after="0"/>
        <w:jc w:val="center"/>
        <w:rPr>
          <w:rFonts w:ascii="Arial;sans-serif" w:hAnsi="Arial;sans-serif"/>
          <w:b w:val="false"/>
          <w:sz w:val="20"/>
        </w:rPr>
      </w:pPr>
      <w:r>
        <w:rPr>
          <w:rFonts w:ascii="Arial;sans-serif" w:hAnsi="Arial;sans-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2028 Notes are required to be guaranteed on an unsecured senior basis by each of the Company’s existing and future subsidiaries that guarantees the Viasat Revolving Credit Facility. As of June 30, 2023,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0"/>
        <w:jc w:val="left"/>
        <w:rPr>
          <w:rFonts w:ascii="Arial;sans-serif" w:hAnsi="Arial;sans-serif"/>
          <w:b w:val="false"/>
          <w:sz w:val="20"/>
        </w:rPr>
      </w:pPr>
      <w:r>
        <w:rPr>
          <w:rFonts w:ascii="Arial;sans-serif" w:hAnsi="Arial;sans-serif"/>
          <w:b w:val="false"/>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0"/>
        <w:jc w:val="left"/>
        <w:rPr>
          <w:rFonts w:ascii="Arial;sans-serif" w:hAnsi="Arial;sans-serif"/>
          <w:b w:val="false"/>
          <w:sz w:val="20"/>
        </w:rPr>
      </w:pPr>
      <w:r>
        <w:rPr>
          <w:rFonts w:ascii="Arial;sans-serif" w:hAnsi="Arial;sans-serif"/>
          <w:b w:val="false"/>
          <w:sz w:val="20"/>
        </w:rPr>
        <w:t>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pStyle w:val="TextBody"/>
        <w:bidi w:val="0"/>
        <w:spacing w:before="180" w:after="0"/>
        <w:jc w:val="left"/>
        <w:rPr>
          <w:rFonts w:ascii="Arial;sans-serif" w:hAnsi="Arial;sans-serif"/>
          <w:b w:val="false"/>
          <w:sz w:val="20"/>
        </w:rPr>
      </w:pPr>
      <w:r>
        <w:rPr>
          <w:rFonts w:ascii="Arial;sans-serif" w:hAnsi="Arial;sans-serif"/>
          <w:b w:val="false"/>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0"/>
        <w:jc w:val="left"/>
        <w:rPr>
          <w:rFonts w:ascii="Arial;sans-serif" w:hAnsi="Arial;sans-serif"/>
          <w:b w:val="false"/>
          <w:i/>
          <w:sz w:val="20"/>
        </w:rPr>
      </w:pPr>
      <w:r>
        <w:rPr>
          <w:rFonts w:ascii="Arial;sans-serif" w:hAnsi="Arial;sans-serif"/>
          <w:b w:val="false"/>
          <w:i/>
          <w:sz w:val="20"/>
        </w:rPr>
        <w:t>Senior Secured Notes due 2027</w:t>
      </w:r>
    </w:p>
    <w:p>
      <w:pPr>
        <w:pStyle w:val="TextBody"/>
        <w:bidi w:val="0"/>
        <w:spacing w:before="80" w:after="0"/>
        <w:jc w:val="left"/>
        <w:rPr>
          <w:rFonts w:ascii="Times New Roman" w:hAnsi="Times New Roman"/>
          <w:sz w:val="20"/>
        </w:rPr>
      </w:pPr>
      <w:r>
        <w:rPr>
          <w:rFonts w:ascii="Arial;sans-serif" w:hAnsi="Arial;sans-serif"/>
          <w:b w:val="false"/>
          <w:sz w:val="20"/>
        </w:rPr>
        <w:t>In March 2019, the Company issued $600.0</w:t>
      </w:r>
      <w:r>
        <w:rPr>
          <w:rFonts w:ascii="Times New Roman" w:hAnsi="Times New Roman"/>
          <w:sz w:val="20"/>
        </w:rPr>
        <w:t xml:space="preserve"> </w:t>
      </w:r>
      <w:r>
        <w:rPr>
          <w:rFonts w:ascii="Arial;sans-serif" w:hAnsi="Arial;sans-serif"/>
          <w:b w:val="false"/>
          <w:sz w:val="20"/>
        </w:rPr>
        <w:t>million in principal amount of 2027</w:t>
      </w:r>
      <w:r>
        <w:rPr>
          <w:rFonts w:ascii="Times New Roman" w:hAnsi="Times New Roman"/>
          <w:sz w:val="20"/>
        </w:rPr>
        <w:t xml:space="preserve"> </w:t>
      </w:r>
      <w:r>
        <w:rPr>
          <w:rFonts w:ascii="Arial;sans-serif" w:hAnsi="Arial;sans-serif"/>
          <w:b w:val="false"/>
          <w:sz w:val="20"/>
        </w:rPr>
        <w:t>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pStyle w:val="TextBody"/>
        <w:bidi w:val="0"/>
        <w:spacing w:before="180" w:after="0"/>
        <w:jc w:val="left"/>
        <w:rPr>
          <w:rFonts w:ascii="Times New Roman" w:hAnsi="Times New Roman"/>
          <w:sz w:val="20"/>
        </w:rPr>
      </w:pPr>
      <w:r>
        <w:rPr>
          <w:rFonts w:ascii="Arial;sans-serif" w:hAnsi="Arial;sans-serif"/>
          <w:b w:val="false"/>
          <w:sz w:val="20"/>
        </w:rPr>
        <w:t>The 2027 Notes are required to be guaranteed on a senior secured basis by each of the Company’s existing and future subsidiaries that guarantees the Viasat Revolving Credit Facility. As of June 30, 2023, none of the Company’s subsidiaries guaranteed the 2027 Notes. The 2027 Notes are secured, equally and ratably with the Term Loan Facility, the 2023 Term Loan Facility, the Viasat Revolving Credit Facility and any future parity lien debt, by liens on substantially all of the Company’s and such subsidiaries' assets.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0"/>
        <w:jc w:val="left"/>
        <w:rPr>
          <w:rFonts w:ascii="Arial;sans-serif" w:hAnsi="Arial;sans-serif"/>
          <w:b w:val="false"/>
          <w:sz w:val="20"/>
        </w:rPr>
      </w:pPr>
      <w:r>
        <w:rPr>
          <w:rFonts w:ascii="Arial;sans-serif" w:hAnsi="Arial;sans-serif"/>
          <w:b w:val="false"/>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240" w:after="0"/>
        <w:jc w:val="center"/>
        <w:rPr>
          <w:rFonts w:ascii="Arial;sans-serif" w:hAnsi="Arial;sans-serif"/>
          <w:b w:val="false"/>
          <w:sz w:val="20"/>
        </w:rPr>
      </w:pPr>
      <w:r>
        <w:rPr>
          <w:rFonts w:ascii="Arial;sans-serif" w:hAnsi="Arial;sans-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The 2027 Notes may be redeemed, in whole or in part, at any time during the 12 months beginning on April 15, 2023 at a redemption price of 101.406%</w:t>
      </w:r>
      <w:r>
        <w:rPr>
          <w:rFonts w:ascii="Times New Roman" w:hAnsi="Times New Roman"/>
          <w:sz w:val="20"/>
        </w:rPr>
        <w:t xml:space="preserve"> </w:t>
      </w:r>
      <w:r>
        <w:rPr>
          <w:rFonts w:ascii="Arial;sans-serif" w:hAnsi="Arial;sans-serif"/>
          <w:b w:val="false"/>
          <w:sz w:val="20"/>
        </w:rPr>
        <w:t>and at any time on or after April 15, 2024 at a redemption price of 100%, in each case plus accrued and unpaid interest, if any, thereon to the redemption date.</w:t>
      </w:r>
    </w:p>
    <w:p>
      <w:pPr>
        <w:pStyle w:val="TextBody"/>
        <w:bidi w:val="0"/>
        <w:spacing w:before="180" w:after="0"/>
        <w:jc w:val="left"/>
        <w:rPr>
          <w:rFonts w:ascii="Arial;sans-serif" w:hAnsi="Arial;sans-serif"/>
          <w:b w:val="false"/>
          <w:sz w:val="20"/>
        </w:rPr>
      </w:pPr>
      <w:r>
        <w:rPr>
          <w:rFonts w:ascii="Arial;sans-serif" w:hAnsi="Arial;sans-serif"/>
          <w:b w:val="false"/>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0"/>
        <w:jc w:val="left"/>
        <w:rPr>
          <w:rFonts w:ascii="Arial;sans-serif" w:hAnsi="Arial;sans-serif"/>
          <w:b w:val="false"/>
          <w:i/>
          <w:sz w:val="20"/>
        </w:rPr>
      </w:pPr>
      <w:r>
        <w:rPr>
          <w:rFonts w:ascii="Arial;sans-serif" w:hAnsi="Arial;sans-serif"/>
          <w:b w:val="false"/>
          <w:i/>
          <w:sz w:val="20"/>
        </w:rPr>
        <w:t>Senior Notes due 2025</w:t>
      </w:r>
    </w:p>
    <w:p>
      <w:pPr>
        <w:pStyle w:val="TextBody"/>
        <w:bidi w:val="0"/>
        <w:spacing w:before="80" w:after="0"/>
        <w:jc w:val="left"/>
        <w:rPr>
          <w:rFonts w:ascii="Times New Roman" w:hAnsi="Times New Roman"/>
          <w:sz w:val="20"/>
        </w:rPr>
      </w:pPr>
      <w:r>
        <w:rPr>
          <w:rFonts w:ascii="Arial;sans-serif" w:hAnsi="Arial;sans-serif"/>
          <w:b w:val="false"/>
          <w:sz w:val="20"/>
        </w:rPr>
        <w:t>In September 2017, the Company issued $700.0</w:t>
      </w:r>
      <w:r>
        <w:rPr>
          <w:rFonts w:ascii="Times New Roman" w:hAnsi="Times New Roman"/>
          <w:sz w:val="20"/>
        </w:rPr>
        <w:t xml:space="preserve"> </w:t>
      </w:r>
      <w:r>
        <w:rPr>
          <w:rFonts w:ascii="Arial;sans-serif" w:hAnsi="Arial;sans-serif"/>
          <w:b w:val="false"/>
          <w:sz w:val="20"/>
        </w:rPr>
        <w:t>million in principal amount of 2025</w:t>
      </w:r>
      <w:r>
        <w:rPr>
          <w:rFonts w:ascii="Times New Roman" w:hAnsi="Times New Roman"/>
          <w:sz w:val="20"/>
        </w:rPr>
        <w:t xml:space="preserve"> </w:t>
      </w:r>
      <w:r>
        <w:rPr>
          <w:rFonts w:ascii="Arial;sans-serif" w:hAnsi="Arial;sans-serif"/>
          <w:b w:val="false"/>
          <w:sz w:val="20"/>
        </w:rPr>
        <w:t>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pStyle w:val="TextBody"/>
        <w:bidi w:val="0"/>
        <w:spacing w:before="180" w:after="0"/>
        <w:jc w:val="left"/>
        <w:rPr>
          <w:rFonts w:ascii="Arial;sans-serif" w:hAnsi="Arial;sans-serif"/>
          <w:b w:val="false"/>
          <w:sz w:val="20"/>
        </w:rPr>
      </w:pPr>
      <w:r>
        <w:rPr>
          <w:rFonts w:ascii="Arial;sans-serif" w:hAnsi="Arial;sans-serif"/>
          <w:b w:val="false"/>
          <w:sz w:val="20"/>
        </w:rPr>
        <w:t>The 2025 Notes are required to be guaranteed on an unsecured senior basis by each of the Company’s existing and future subsidiaries that guarantees the Viasat Revolving Credit Facility. As of June 30, 2023,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pStyle w:val="TextBody"/>
        <w:bidi w:val="0"/>
        <w:spacing w:before="180" w:after="0"/>
        <w:jc w:val="left"/>
        <w:rPr>
          <w:rFonts w:ascii="Arial;sans-serif" w:hAnsi="Arial;sans-serif"/>
          <w:b w:val="false"/>
          <w:sz w:val="20"/>
        </w:rPr>
      </w:pPr>
      <w:r>
        <w:rPr>
          <w:rFonts w:ascii="Arial;sans-serif" w:hAnsi="Arial;sans-serif"/>
          <w:b w:val="false"/>
          <w:sz w:val="20"/>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0"/>
        <w:jc w:val="left"/>
        <w:rPr>
          <w:rFonts w:ascii="Arial;sans-serif" w:hAnsi="Arial;sans-serif"/>
          <w:b w:val="false"/>
          <w:sz w:val="20"/>
        </w:rPr>
      </w:pPr>
      <w:r>
        <w:rPr>
          <w:rFonts w:ascii="Arial;sans-serif" w:hAnsi="Arial;sans-serif"/>
          <w:b w:val="false"/>
          <w:sz w:val="20"/>
        </w:rPr>
        <w:t>The 2025 Notes may be redeemed, in whole or in part, at any time at a redemption price of 100%, plus accrued and unpaid interest, if any, thereon to the redemption date.</w:t>
      </w:r>
    </w:p>
    <w:p>
      <w:pPr>
        <w:pStyle w:val="TextBody"/>
        <w:bidi w:val="0"/>
        <w:spacing w:before="180" w:after="0"/>
        <w:jc w:val="left"/>
        <w:rPr>
          <w:rFonts w:ascii="Arial;sans-serif" w:hAnsi="Arial;sans-serif"/>
          <w:b w:val="false"/>
          <w:sz w:val="20"/>
        </w:rPr>
      </w:pPr>
      <w:r>
        <w:rPr>
          <w:rFonts w:ascii="Arial;sans-serif" w:hAnsi="Arial;sans-serif"/>
          <w:b w:val="false"/>
          <w:sz w:val="20"/>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0"/>
        <w:jc w:val="left"/>
        <w:rPr>
          <w:rFonts w:ascii="Arial;sans-serif" w:hAnsi="Arial;sans-serif"/>
          <w:b w:val="false"/>
          <w:i/>
          <w:sz w:val="20"/>
        </w:rPr>
      </w:pPr>
      <w:r>
        <w:rPr>
          <w:rFonts w:ascii="Arial;sans-serif" w:hAnsi="Arial;sans-serif"/>
          <w:b w:val="false"/>
          <w:i/>
          <w:sz w:val="20"/>
        </w:rPr>
        <w:t>Inmarsat Senior Secured Notes due 2026</w:t>
      </w:r>
    </w:p>
    <w:p>
      <w:pPr>
        <w:pStyle w:val="TextBody"/>
        <w:bidi w:val="0"/>
        <w:spacing w:before="80" w:after="0"/>
        <w:jc w:val="left"/>
        <w:rPr>
          <w:rFonts w:ascii="Times New Roman" w:hAnsi="Times New Roman"/>
          <w:sz w:val="20"/>
        </w:rPr>
      </w:pPr>
      <w:r>
        <w:rPr>
          <w:rFonts w:ascii="Arial;sans-serif" w:hAnsi="Arial;sans-serif"/>
          <w:b w:val="false"/>
          <w:sz w:val="20"/>
        </w:rPr>
        <w:t>In October 2019, certain subsidiaries of Inmarsat Holdings issued $2.08</w:t>
      </w:r>
      <w:r>
        <w:rPr>
          <w:rFonts w:ascii="Times New Roman" w:hAnsi="Times New Roman"/>
          <w:sz w:val="20"/>
        </w:rPr>
        <w:t xml:space="preserve"> </w:t>
      </w:r>
      <w:r>
        <w:rPr>
          <w:rFonts w:ascii="Arial;sans-serif" w:hAnsi="Arial;sans-serif"/>
          <w:b w:val="false"/>
          <w:sz w:val="20"/>
        </w:rPr>
        <w:t>billion in principal amount of Inmarsat 2026</w:t>
      </w:r>
      <w:r>
        <w:rPr>
          <w:rFonts w:ascii="Times New Roman" w:hAnsi="Times New Roman"/>
          <w:sz w:val="20"/>
        </w:rPr>
        <w:t xml:space="preserve"> </w:t>
      </w:r>
      <w:r>
        <w:rPr>
          <w:rFonts w:ascii="Arial;sans-serif" w:hAnsi="Arial;sans-serif"/>
          <w:b w:val="false"/>
          <w:sz w:val="20"/>
        </w:rPr>
        <w:t>Notes in a private placement to institutional buyers. The Inmarsat 2026 Notes bear interest at the rate of 6.750% per year, payable semi-annually in cash in arrears. Debt issuance costs associated with the issuance of the Inmarsat 2026 Notes are amortized to interest expense on a straight-line basis over the term of the Inmarsat 2026 Notes, the results of which are not materially different from the effective interest rate basis.</w:t>
      </w:r>
    </w:p>
    <w:p>
      <w:pPr>
        <w:pStyle w:val="TextBody"/>
        <w:bidi w:val="0"/>
        <w:spacing w:before="180" w:after="0"/>
        <w:jc w:val="left"/>
        <w:rPr>
          <w:rFonts w:ascii="Times New Roman" w:hAnsi="Times New Roman"/>
          <w:sz w:val="20"/>
        </w:rPr>
      </w:pPr>
      <w:r>
        <w:rPr>
          <w:rFonts w:ascii="Arial;sans-serif" w:hAnsi="Arial;sans-serif"/>
          <w:b w:val="false"/>
          <w:sz w:val="20"/>
        </w:rPr>
        <w:t>The Inmarsat 2026 Notes are secured by pari passu first priority liens on the collateral securing the Inmarsat Secured Credit Facility, and are required to be guaranteed on a senior secured basis by restricted subsidiaries of Inmarsat Holdings that guarantee or are borrowers under Inmarsat’s senior secured indebtedness, subject to exceptions. As of June 30, 2023, all of the subsidiaries of Inmarsat Holdings that were then guarantors or borrowers under the Inmarsat Secured Credit Facility guaranteed the Inmarsat 2026 Notes.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indenture governing the Inmarsat 2026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180" w:after="0"/>
        <w:jc w:val="left"/>
        <w:rPr>
          <w:rFonts w:ascii="Times New Roman" w:hAnsi="Times New Roman"/>
          <w:sz w:val="20"/>
        </w:rPr>
      </w:pPr>
      <w:r>
        <w:rPr>
          <w:rFonts w:ascii="Arial;sans-serif" w:hAnsi="Arial;sans-serif"/>
          <w:b w:val="false"/>
          <w:sz w:val="20"/>
        </w:rPr>
        <w:t>The Inmarsat 2026 Notes may be redeemed, in whole or in part, at any time during the 12 months beginning on October 1, 2022 at a redemption price of 103.375%, during the 12 months beginning on October 1, 2023 at a redemption price of 101.688%, and at any time on or after October 1, 2024 at a redemption price of 100%, in each case, plus accrued and unpaid interest, if any, thereon to the redemption date.</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In the event a change of control occurs (as defined in the indenture governing the Inmarsat 2026 Notes), each holder will have the right to require Inmarsat to repurchase all or any part of such holder’s Inmarsat 2026 Notes at a purchase price in cash equal to 101% of the aggregate principal amount of the Inmarsat 2026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sz w:val="20"/>
        </w:rPr>
        <w:t xml:space="preserve"> </w:t>
      </w:r>
      <w:r>
        <w:rPr>
          <w:rFonts w:ascii="Arial;sans-serif" w:hAnsi="Arial;sans-serif"/>
          <w:b w:val="false"/>
          <w:sz w:val="20"/>
        </w:rPr>
        <w:t>The consummation of the Inmarsat Acquisition did not give rise to a “change of control” under the indenture governing the Inmarsat 2026 Notes.</w:t>
      </w:r>
    </w:p>
    <w:p>
      <w:pPr>
        <w:pStyle w:val="TextBody"/>
        <w:bidi w:val="0"/>
        <w:spacing w:before="280" w:after="0"/>
        <w:jc w:val="left"/>
        <w:rPr>
          <w:rFonts w:ascii="Arial;sans-serif" w:hAnsi="Arial;sans-serif"/>
          <w:b/>
          <w:sz w:val="20"/>
        </w:rPr>
      </w:pPr>
      <w:r>
        <w:rPr>
          <w:rFonts w:ascii="Arial;sans-serif" w:hAnsi="Arial;sans-serif"/>
          <w:b/>
          <w:sz w:val="20"/>
        </w:rPr>
        <w:t>Note 9 — Related-Party Transactions</w:t>
      </w:r>
    </w:p>
    <w:p>
      <w:pPr>
        <w:pStyle w:val="TextBody"/>
        <w:bidi w:val="0"/>
        <w:spacing w:before="80" w:after="0"/>
        <w:jc w:val="left"/>
        <w:rPr>
          <w:rFonts w:ascii="Times New Roman" w:hAnsi="Times New Roman"/>
          <w:sz w:val="20"/>
        </w:rPr>
      </w:pPr>
      <w:r>
        <w:rPr>
          <w:rFonts w:ascii="Arial;sans-serif" w:hAnsi="Arial;sans-serif"/>
          <w:b w:val="false"/>
          <w:sz w:val="20"/>
        </w:rPr>
        <w:t>In the normal course of business, the Company engages in transactions with its equity method investments (Navarino UK and JSAT Mobile), which are considered related-party transactions. The Company recognized revenue and received cash from Navarino UK and JSAT Mobile for the three months ended June 30, 2023</w:t>
      </w:r>
      <w:r>
        <w:rPr>
          <w:rFonts w:ascii="Times New Roman" w:hAnsi="Times New Roman"/>
          <w:sz w:val="20"/>
        </w:rPr>
        <w:t xml:space="preserve"> </w:t>
      </w:r>
      <w:r>
        <w:rPr>
          <w:rFonts w:ascii="Arial;sans-serif" w:hAnsi="Arial;sans-serif"/>
          <w:b w:val="false"/>
          <w:sz w:val="20"/>
        </w:rPr>
        <w:t>of $6.1</w:t>
      </w:r>
      <w:r>
        <w:rPr>
          <w:rFonts w:ascii="Times New Roman" w:hAnsi="Times New Roman"/>
          <w:sz w:val="20"/>
        </w:rPr>
        <w:t xml:space="preserve"> </w:t>
      </w:r>
      <w:r>
        <w:rPr>
          <w:rFonts w:ascii="Arial;sans-serif" w:hAnsi="Arial;sans-serif"/>
          <w:b w:val="false"/>
          <w:sz w:val="20"/>
        </w:rPr>
        <w:t>million and $5.9</w:t>
      </w:r>
      <w:r>
        <w:rPr>
          <w:rFonts w:ascii="Times New Roman" w:hAnsi="Times New Roman"/>
          <w:sz w:val="20"/>
        </w:rPr>
        <w:t xml:space="preserve"> </w:t>
      </w:r>
      <w:r>
        <w:rPr>
          <w:rFonts w:ascii="Arial;sans-serif" w:hAnsi="Arial;sans-serif"/>
          <w:b w:val="false"/>
          <w:sz w:val="20"/>
        </w:rPr>
        <w:t>million, respectively. Accounts receivable from Navarino UK and JSAT Mobile as of June 30, 2023</w:t>
      </w:r>
      <w:r>
        <w:rPr>
          <w:rFonts w:ascii="Times New Roman" w:hAnsi="Times New Roman"/>
          <w:sz w:val="20"/>
        </w:rPr>
        <w:t xml:space="preserve"> </w:t>
      </w:r>
      <w:r>
        <w:rPr>
          <w:rFonts w:ascii="Arial;sans-serif" w:hAnsi="Arial;sans-serif"/>
          <w:b w:val="false"/>
          <w:sz w:val="20"/>
        </w:rPr>
        <w:t>was $12.4</w:t>
      </w:r>
      <w:r>
        <w:rPr>
          <w:rFonts w:ascii="Times New Roman" w:hAnsi="Times New Roman"/>
          <w:sz w:val="20"/>
        </w:rPr>
        <w:t xml:space="preserve"> </w:t>
      </w:r>
      <w:r>
        <w:rPr>
          <w:rFonts w:ascii="Arial;sans-serif" w:hAnsi="Arial;sans-serif"/>
          <w:b w:val="false"/>
          <w:sz w:val="20"/>
        </w:rPr>
        <w:t>million.</w:t>
      </w:r>
    </w:p>
    <w:p>
      <w:pPr>
        <w:pStyle w:val="TextBody"/>
        <w:bidi w:val="0"/>
        <w:spacing w:before="280" w:after="0"/>
        <w:jc w:val="left"/>
        <w:rPr>
          <w:rFonts w:ascii="Times New Roman" w:hAnsi="Times New Roman"/>
          <w:sz w:val="20"/>
        </w:rPr>
      </w:pPr>
      <w:r>
        <w:rPr>
          <w:rFonts w:ascii="Arial;sans-serif" w:hAnsi="Arial;sans-serif"/>
          <w:b/>
          <w:sz w:val="20"/>
        </w:rPr>
        <w:t>Note 10 — Commitments and Contingencies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From time to time, the Company enters into satellite construction agreements as well as various other satellite-related purchase commitments, including with respect to the provision of launch services, operation of its satellites and satellite insurance. See Note 13 – Commitments to the consolidated financial statements included in the Company’s Annual Report on Form 10-K for the year ended March 31, 2023 for information regarding the Company’s future minimum payments under its satellite construction contracts and other satellite-related purchase commitments.</w:t>
      </w:r>
    </w:p>
    <w:p>
      <w:pPr>
        <w:pStyle w:val="TextBody"/>
        <w:bidi w:val="0"/>
        <w:spacing w:before="180" w:after="0"/>
        <w:jc w:val="left"/>
        <w:rPr>
          <w:rFonts w:ascii="Arial;sans-serif" w:hAnsi="Arial;sans-serif"/>
          <w:b w:val="false"/>
          <w:sz w:val="20"/>
        </w:rPr>
      </w:pPr>
      <w:r>
        <w:rPr>
          <w:rFonts w:ascii="Arial;sans-serif" w:hAnsi="Arial;sans-serif"/>
          <w:b w:val="false"/>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240" w:after="0"/>
        <w:jc w:val="center"/>
        <w:rPr>
          <w:rFonts w:ascii="Arial;sans-serif" w:hAnsi="Arial;sans-serif"/>
          <w:b w:val="false"/>
          <w:sz w:val="20"/>
        </w:rPr>
      </w:pPr>
      <w:r>
        <w:rPr>
          <w:rFonts w:ascii="Arial;sans-serif" w:hAnsi="Arial;sans-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June 30,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$13.6</w:t>
      </w:r>
      <w:r>
        <w:rPr>
          <w:rFonts w:ascii="Times New Roman" w:hAnsi="Times New Roman"/>
          <w:sz w:val="20"/>
        </w:rPr>
        <w:t xml:space="preserve"> </w:t>
      </w:r>
      <w:r>
        <w:rPr>
          <w:rFonts w:ascii="Arial;sans-serif" w:hAnsi="Arial;sans-serif"/>
          <w:b w:val="false"/>
          <w:sz w:val="20"/>
        </w:rPr>
        <w:t>million and $12.9</w:t>
      </w:r>
      <w:r>
        <w:rPr>
          <w:rFonts w:ascii="Times New Roman" w:hAnsi="Times New Roman"/>
          <w:sz w:val="20"/>
        </w:rPr>
        <w:t xml:space="preserve"> </w:t>
      </w:r>
      <w:r>
        <w:rPr>
          <w:rFonts w:ascii="Arial;sans-serif" w:hAnsi="Arial;sans-serif"/>
          <w:b w:val="false"/>
          <w:sz w:val="20"/>
        </w:rPr>
        <w:t>million as of June 30, 2023 and March 31, 2023,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180" w:after="0"/>
        <w:jc w:val="left"/>
        <w:rPr>
          <w:rFonts w:ascii="Times New Roman" w:hAnsi="Times New Roman"/>
          <w:sz w:val="20"/>
        </w:rPr>
      </w:pPr>
      <w:r>
        <w:rPr>
          <w:rFonts w:ascii="Arial;sans-serif" w:hAnsi="Arial;sans-serif"/>
          <w:b w:val="false"/>
          <w:sz w:val="20"/>
        </w:rPr>
        <w:t>On July 8, 2022, Cisco Systems, Inc. (Cisco), which previously acquired Acacia Communications, Inc. (Acacia), paid the Company approximately $62.2</w:t>
      </w:r>
      <w:r>
        <w:rPr>
          <w:rFonts w:ascii="Times New Roman" w:hAnsi="Times New Roman"/>
          <w:sz w:val="20"/>
        </w:rPr>
        <w:t xml:space="preserve"> </w:t>
      </w:r>
      <w:r>
        <w:rPr>
          <w:rFonts w:ascii="Arial;sans-serif" w:hAnsi="Arial;sans-serif"/>
          <w:b w:val="false"/>
          <w:sz w:val="20"/>
        </w:rPr>
        <w:t>million. The payment fully satisfied the July 2019 judgment previously entered against Acacia related to Acacia's breach of contract and misuse of the Company's soft decision forward error correction technology. On May 8, 2023, Cisco paid the Company an additional approximately $97.5</w:t>
      </w:r>
      <w:r>
        <w:rPr>
          <w:rFonts w:ascii="Times New Roman" w:hAnsi="Times New Roman"/>
          <w:sz w:val="20"/>
        </w:rPr>
        <w:t xml:space="preserve"> </w:t>
      </w:r>
      <w:r>
        <w:rPr>
          <w:rFonts w:ascii="Arial;sans-serif" w:hAnsi="Arial;sans-serif"/>
          <w:b w:val="false"/>
          <w:sz w:val="20"/>
        </w:rPr>
        <w:t>million pursuant to a judgment entered against Acacia on May 4, 2023. The 2023 judgment obligates Acacia to make contractual royalty payments to the Company based on the quarterly sales of certain of its products. Like the prior July 2019 judgment, the May 2023 judgment was entered against Acacia due to its breach of contract and continued use of the Company’s soft decision forward error correction technology. Acacia appealed the May 2023 judgment, and the ultimate resolution of the matter is currently unknown. Therefore, the Company recorded the $97.5</w:t>
      </w:r>
      <w:r>
        <w:rPr>
          <w:rFonts w:ascii="Times New Roman" w:hAnsi="Times New Roman"/>
          <w:sz w:val="20"/>
        </w:rPr>
        <w:t xml:space="preserve"> </w:t>
      </w:r>
      <w:r>
        <w:rPr>
          <w:rFonts w:ascii="Arial;sans-serif" w:hAnsi="Arial;sans-serif"/>
          <w:b w:val="false"/>
          <w:sz w:val="20"/>
        </w:rPr>
        <w:t>million of cash receipt in other liabilities, long-term as of June 30, 2023.</w:t>
      </w:r>
    </w:p>
    <w:p>
      <w:pPr>
        <w:pStyle w:val="TextBody"/>
        <w:bidi w:val="0"/>
        <w:spacing w:before="280" w:after="0"/>
        <w:jc w:val="left"/>
        <w:rPr>
          <w:rFonts w:ascii="Times New Roman" w:hAnsi="Times New Roman"/>
          <w:sz w:val="20"/>
        </w:rPr>
      </w:pPr>
      <w:r>
        <w:rPr>
          <w:rFonts w:ascii="Arial;sans-serif" w:hAnsi="Arial;sans-serif"/>
          <w:b/>
          <w:sz w:val="20"/>
        </w:rPr>
        <w:t>Note 11 — Income Taxes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For the three months ended June 30, 2023, the Company recorded an income tax benefit of an insignificant amount, resulting in an effective tax rate of 1%. The effective tax rate for the period differed from the U.S. statutory rate primarily due to the benefit of federal R&amp;D tax credits offset by expense for non-deductible transaction costs related to the Inmarsat Acquisition.</w:t>
      </w:r>
    </w:p>
    <w:p>
      <w:pPr>
        <w:pStyle w:val="TextBody"/>
        <w:bidi w:val="0"/>
        <w:spacing w:before="180" w:after="0"/>
        <w:jc w:val="left"/>
        <w:rPr>
          <w:rFonts w:ascii="Times New Roman" w:hAnsi="Times New Roman"/>
          <w:sz w:val="20"/>
        </w:rPr>
      </w:pPr>
      <w:r>
        <w:rPr>
          <w:rFonts w:ascii="Arial;sans-serif" w:hAnsi="Arial;sans-serif"/>
          <w:b w:val="false"/>
          <w:sz w:val="20"/>
        </w:rPr>
        <w:t>For the three months ended June 30, 2022, the Company recorded an income tax benefit of $22.8</w:t>
      </w:r>
      <w:r>
        <w:rPr>
          <w:rFonts w:ascii="Times New Roman" w:hAnsi="Times New Roman"/>
          <w:sz w:val="20"/>
        </w:rPr>
        <w:t xml:space="preserve"> </w:t>
      </w:r>
      <w:r>
        <w:rPr>
          <w:rFonts w:ascii="Arial;sans-serif" w:hAnsi="Arial;sans-serif"/>
          <w:b w:val="false"/>
          <w:sz w:val="20"/>
        </w:rPr>
        <w:t>million, resulting in an effective tax rate of 37%. The effective tax rate for the period differed from the U.S. statutory rate primarily due to the benefit of federal R&amp;D tax credits.</w:t>
      </w:r>
    </w:p>
    <w:p>
      <w:pPr>
        <w:pStyle w:val="TextBody"/>
        <w:bidi w:val="0"/>
        <w:spacing w:before="180" w:after="0"/>
        <w:jc w:val="left"/>
        <w:rPr>
          <w:rFonts w:ascii="Arial;sans-serif" w:hAnsi="Arial;sans-serif"/>
          <w:b w:val="false"/>
          <w:sz w:val="20"/>
        </w:rPr>
      </w:pPr>
      <w:r>
        <w:rPr>
          <w:rFonts w:ascii="Arial;sans-serif" w:hAnsi="Arial;sans-serif"/>
          <w:b w:val="false"/>
          <w:sz w:val="20"/>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240" w:after="0"/>
        <w:jc w:val="center"/>
        <w:rPr>
          <w:rFonts w:ascii="Arial;sans-serif" w:hAnsi="Arial;sans-serif"/>
          <w:b w:val="false"/>
          <w:sz w:val="20"/>
        </w:rPr>
      </w:pPr>
      <w:r>
        <w:rPr>
          <w:rFonts w:ascii="Arial;sans-serif" w:hAnsi="Arial;sans-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For the three months ended June 30, 2023, the Company’s gross unrecognized tax benefits increased by $73.3</w:t>
      </w:r>
      <w:r>
        <w:rPr>
          <w:rFonts w:ascii="Times New Roman" w:hAnsi="Times New Roman"/>
          <w:sz w:val="20"/>
        </w:rPr>
        <w:t xml:space="preserve"> </w:t>
      </w:r>
      <w:r>
        <w:rPr>
          <w:rFonts w:ascii="Arial;sans-serif" w:hAnsi="Arial;sans-serif"/>
          <w:b w:val="false"/>
          <w:sz w:val="20"/>
        </w:rPr>
        <w:t>million and interest and penalties increased by $21.1</w:t>
      </w:r>
      <w:r>
        <w:rPr>
          <w:rFonts w:ascii="Times New Roman" w:hAnsi="Times New Roman"/>
          <w:sz w:val="20"/>
        </w:rPr>
        <w:t xml:space="preserve"> </w:t>
      </w:r>
      <w:r>
        <w:rPr>
          <w:rFonts w:ascii="Arial;sans-serif" w:hAnsi="Arial;sans-serif"/>
          <w:b w:val="false"/>
          <w:sz w:val="20"/>
        </w:rPr>
        <w:t>million. Of the total increases, the gross unrecognized tax benefits of $65.0</w:t>
      </w:r>
      <w:r>
        <w:rPr>
          <w:rFonts w:ascii="Times New Roman" w:hAnsi="Times New Roman"/>
          <w:sz w:val="20"/>
        </w:rPr>
        <w:t xml:space="preserve"> </w:t>
      </w:r>
      <w:r>
        <w:rPr>
          <w:rFonts w:ascii="Arial;sans-serif" w:hAnsi="Arial;sans-serif"/>
          <w:b w:val="false"/>
          <w:sz w:val="20"/>
        </w:rPr>
        <w:t>million and interest and penalties of $21.5</w:t>
      </w:r>
      <w:r>
        <w:rPr>
          <w:rFonts w:ascii="Times New Roman" w:hAnsi="Times New Roman"/>
          <w:sz w:val="20"/>
        </w:rPr>
        <w:t xml:space="preserve"> </w:t>
      </w:r>
      <w:r>
        <w:rPr>
          <w:rFonts w:ascii="Arial;sans-serif" w:hAnsi="Arial;sans-serif"/>
          <w:b w:val="false"/>
          <w:sz w:val="20"/>
        </w:rPr>
        <w:t>million were recorded through goodwill as part of the purchase accounting for the Inmarsat Acquisition. Of the total $73.3</w:t>
      </w:r>
      <w:r>
        <w:rPr>
          <w:rFonts w:ascii="Times New Roman" w:hAnsi="Times New Roman"/>
          <w:sz w:val="20"/>
        </w:rPr>
        <w:t xml:space="preserve"> </w:t>
      </w:r>
      <w:r>
        <w:rPr>
          <w:rFonts w:ascii="Arial;sans-serif" w:hAnsi="Arial;sans-serif"/>
          <w:b w:val="false"/>
          <w:sz w:val="20"/>
        </w:rPr>
        <w:t>million gross unrecognized tax benefits increase for the quarter, $16.3</w:t>
      </w:r>
      <w:r>
        <w:rPr>
          <w:rFonts w:ascii="Times New Roman" w:hAnsi="Times New Roman"/>
          <w:sz w:val="20"/>
        </w:rPr>
        <w:t xml:space="preserve"> </w:t>
      </w:r>
      <w:r>
        <w:rPr>
          <w:rFonts w:ascii="Arial;sans-serif" w:hAnsi="Arial;sans-serif"/>
          <w:b w:val="false"/>
          <w:sz w:val="20"/>
        </w:rPr>
        <w:t>million would reduce the Company's annual effective tax rate if recognized. Along with the other acquired tax attributes and positions, the unrecognized tax benefits are subject to adjustments during the measurement period, which may be up to one year from the acquisition date. Any material adjustments based upon new information identified during the measurement period will be recorded as adjustments to goodwill.</w:t>
      </w:r>
    </w:p>
    <w:p>
      <w:pPr>
        <w:pStyle w:val="TextBody"/>
        <w:bidi w:val="0"/>
        <w:spacing w:before="280" w:after="0"/>
        <w:jc w:val="left"/>
        <w:rPr>
          <w:rFonts w:ascii="Times New Roman" w:hAnsi="Times New Roman"/>
          <w:sz w:val="20"/>
        </w:rPr>
      </w:pPr>
      <w:r>
        <w:rPr>
          <w:rFonts w:ascii="Arial;sans-serif" w:hAnsi="Arial;sans-serif"/>
          <w:b/>
          <w:sz w:val="20"/>
        </w:rPr>
        <w:t>Note 12 — Segment Information</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The Company’s reportable segments (satellite services, commercial networks and government systems) are primarily distinguished by the type of customer and the related contractual requirements. The Company’s satellite services segment provides satellite-based broadband and related services to residential customers, Prepaid Internet users, enterprises, commercial airlines and other aircraft, maritime vessels (acquired through the Inmarsat Acquisition) and other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provides global mobile broadband services and narrowband products and services (acquired through the Inmarsat Acquisition)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pStyle w:val="TextBody"/>
        <w:bidi w:val="0"/>
        <w:spacing w:before="180" w:after="0"/>
        <w:jc w:val="left"/>
        <w:rPr>
          <w:rFonts w:ascii="Arial;sans-serif" w:hAnsi="Arial;sans-serif"/>
          <w:b w:val="false"/>
          <w:sz w:val="20"/>
        </w:rPr>
      </w:pPr>
      <w:r>
        <w:rPr>
          <w:rFonts w:ascii="Arial;sans-serif" w:hAnsi="Arial;sans-serif"/>
          <w:b w:val="false"/>
          <w:sz w:val="20"/>
        </w:rPr>
        <w:t>As described in Note 1 — Basis of Presentation and Note 5 — Discontinued Operations, on October 1, 2022, the Company entered into an Asset Purchase Agreement to sell certain assets and assign certain liabilities comprising the Link-16 TDL Business to L3Harris.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However, the discontinued operations have been excluded from segment results for all periods presented. Further, as the discontinued operation is part of a reportable segment but not the entire reportable segment, the costs previously allocated to a discontinued operation have been reasonably reallocated to the remaining operating segments. Therefore, certain corporate and other indirect costs previously allocated to the Link-16 TDL Business have been allocated across all three segments for the periods presented. On January 3, 2023, the Company completed the Link-16 TDL Sale. See Note 5 — Discontinued Operations for additional information.</w:t>
      </w:r>
    </w:p>
    <w:p>
      <w:pPr>
        <w:pStyle w:val="TextBody"/>
        <w:bidi w:val="0"/>
        <w:spacing w:before="240" w:after="0"/>
        <w:jc w:val="center"/>
        <w:rPr>
          <w:rFonts w:ascii="Arial;sans-serif" w:hAnsi="Arial;sans-serif"/>
          <w:b w:val="false"/>
          <w:sz w:val="20"/>
        </w:rPr>
      </w:pPr>
      <w:r>
        <w:rPr>
          <w:rFonts w:ascii="Arial;sans-serif" w:hAnsi="Arial;sans-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Segment revenues and operating profits (losses) for the three months ended June 30, 2023 and 2022 were as follows:</w:t>
      </w:r>
    </w:p>
    <w:tbl>
      <w:tblPr>
        <w:tblW w:w="8090" w:type="dxa"/>
        <w:jc w:val="left"/>
        <w:tblInd w:w="0" w:type="dxa"/>
        <w:tblLayout w:type="fixed"/>
        <w:tblCellMar>
          <w:top w:w="28" w:type="dxa"/>
          <w:left w:w="28" w:type="dxa"/>
          <w:bottom w:w="28" w:type="dxa"/>
          <w:right w:w="28" w:type="dxa"/>
        </w:tblCellMar>
      </w:tblPr>
      <w:tblGrid>
        <w:gridCol w:w="4261"/>
        <w:gridCol w:w="146"/>
        <w:gridCol w:w="245"/>
        <w:gridCol w:w="925"/>
        <w:gridCol w:w="166"/>
        <w:gridCol w:w="146"/>
        <w:gridCol w:w="245"/>
        <w:gridCol w:w="925"/>
        <w:gridCol w:w="103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03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031" w:type="dxa"/>
            <w:tcBorders/>
            <w:vAlign w:val="center"/>
          </w:tcPr>
          <w:p>
            <w:pPr>
              <w:pStyle w:val="TableContents"/>
              <w:bidi w:val="0"/>
              <w:spacing w:before="0" w:after="0"/>
              <w:ind w:left="0" w:right="0" w:firstLine="280"/>
              <w:jc w:val="righ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031" w:type="dxa"/>
            <w:tcBorders/>
            <w:vAlign w:val="center"/>
          </w:tcPr>
          <w:p>
            <w:pPr>
              <w:pStyle w:val="TableContents"/>
              <w:bidi w:val="0"/>
              <w:spacing w:before="0" w:after="0"/>
              <w:ind w:left="0" w:right="0" w:firstLine="560"/>
              <w:jc w:val="right"/>
              <w:rPr/>
            </w:pPr>
            <w:r>
              <w:rPr/>
              <w:t> </w:t>
            </w:r>
          </w:p>
        </w:tc>
      </w:tr>
      <w:tr>
        <w:trPr/>
        <w:tc>
          <w:tcPr>
            <w:tcW w:w="426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pPr>
            <w:r>
              <w:rPr/>
              <w:t>—</w:t>
            </w:r>
          </w:p>
        </w:tc>
        <w:tc>
          <w:tcPr>
            <w:tcW w:w="1031" w:type="dxa"/>
            <w:tcBorders/>
            <w:vAlign w:val="center"/>
          </w:tcPr>
          <w:p>
            <w:pPr>
              <w:pStyle w:val="TableContents"/>
              <w:bidi w:val="0"/>
              <w:spacing w:before="0" w:after="0"/>
              <w:ind w:left="0" w:right="0" w:firstLine="560"/>
              <w:jc w:val="left"/>
              <w:rPr/>
            </w:pPr>
            <w:r>
              <w:rPr/>
              <w:t> </w:t>
            </w:r>
          </w:p>
        </w:tc>
      </w:tr>
      <w:tr>
        <w:trPr/>
        <w:tc>
          <w:tcPr>
            <w:tcW w:w="426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398,484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312,100</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pPr>
            <w:r>
              <w:rPr/>
              <w:t> </w:t>
            </w:r>
          </w:p>
        </w:tc>
      </w:tr>
      <w:tr>
        <w:trPr/>
        <w:tc>
          <w:tcPr>
            <w:tcW w:w="4261"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312,100</w:t>
            </w:r>
          </w:p>
        </w:tc>
        <w:tc>
          <w:tcPr>
            <w:tcW w:w="1031" w:type="dxa"/>
            <w:tcBorders/>
            <w:vAlign w:val="center"/>
          </w:tcPr>
          <w:p>
            <w:pPr>
              <w:pStyle w:val="TableContents"/>
              <w:bidi w:val="0"/>
              <w:spacing w:before="0" w:after="0"/>
              <w:ind w:left="0" w:right="0" w:firstLine="280"/>
              <w:jc w:val="lef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031" w:type="dxa"/>
            <w:tcBorders/>
            <w:vAlign w:val="center"/>
          </w:tcPr>
          <w:p>
            <w:pPr>
              <w:pStyle w:val="TableContents"/>
              <w:bidi w:val="0"/>
              <w:spacing w:before="0" w:after="0"/>
              <w:ind w:left="0" w:right="0" w:firstLine="560"/>
              <w:jc w:val="right"/>
              <w:rPr/>
            </w:pPr>
            <w:r>
              <w:rPr/>
              <w:t> </w:t>
            </w:r>
          </w:p>
        </w:tc>
      </w:tr>
      <w:tr>
        <w:trPr/>
        <w:tc>
          <w:tcPr>
            <w:tcW w:w="426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127,881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93,575</w:t>
            </w:r>
          </w:p>
        </w:tc>
        <w:tc>
          <w:tcPr>
            <w:tcW w:w="1031" w:type="dxa"/>
            <w:tcBorders/>
            <w:vAlign w:val="center"/>
          </w:tcPr>
          <w:p>
            <w:pPr>
              <w:pStyle w:val="TableContents"/>
              <w:bidi w:val="0"/>
              <w:spacing w:before="0" w:after="0"/>
              <w:ind w:left="0" w:right="0" w:firstLine="560"/>
              <w:jc w:val="left"/>
              <w:rPr/>
            </w:pPr>
            <w:r>
              <w:rPr/>
              <w:t> </w:t>
            </w:r>
          </w:p>
        </w:tc>
      </w:tr>
      <w:tr>
        <w:trPr/>
        <w:tc>
          <w:tcPr>
            <w:tcW w:w="426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19,209</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pPr>
            <w:r>
              <w:rPr/>
              <w:t> </w:t>
            </w:r>
          </w:p>
        </w:tc>
      </w:tr>
      <w:tr>
        <w:trPr/>
        <w:tc>
          <w:tcPr>
            <w:tcW w:w="4261"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112,784</w:t>
            </w:r>
          </w:p>
        </w:tc>
        <w:tc>
          <w:tcPr>
            <w:tcW w:w="1031" w:type="dxa"/>
            <w:tcBorders/>
            <w:vAlign w:val="center"/>
          </w:tcPr>
          <w:p>
            <w:pPr>
              <w:pStyle w:val="TableContents"/>
              <w:bidi w:val="0"/>
              <w:spacing w:before="0" w:after="0"/>
              <w:ind w:left="0" w:right="0" w:firstLine="280"/>
              <w:jc w:val="lef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031" w:type="dxa"/>
            <w:tcBorders/>
            <w:vAlign w:val="center"/>
          </w:tcPr>
          <w:p>
            <w:pPr>
              <w:pStyle w:val="TableContents"/>
              <w:bidi w:val="0"/>
              <w:spacing w:before="0" w:after="0"/>
              <w:ind w:left="0" w:right="0" w:firstLine="560"/>
              <w:jc w:val="right"/>
              <w:rPr/>
            </w:pPr>
            <w:r>
              <w:rPr/>
              <w:t> </w:t>
            </w:r>
          </w:p>
        </w:tc>
      </w:tr>
      <w:tr>
        <w:trPr/>
        <w:tc>
          <w:tcPr>
            <w:tcW w:w="426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108,491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78,920</w:t>
            </w:r>
          </w:p>
        </w:tc>
        <w:tc>
          <w:tcPr>
            <w:tcW w:w="1031" w:type="dxa"/>
            <w:tcBorders/>
            <w:vAlign w:val="center"/>
          </w:tcPr>
          <w:p>
            <w:pPr>
              <w:pStyle w:val="TableContents"/>
              <w:bidi w:val="0"/>
              <w:spacing w:before="0" w:after="0"/>
              <w:ind w:left="0" w:right="0" w:firstLine="560"/>
              <w:jc w:val="left"/>
              <w:rPr/>
            </w:pPr>
            <w:r>
              <w:rPr/>
              <w:t> </w:t>
            </w:r>
          </w:p>
        </w:tc>
      </w:tr>
      <w:tr>
        <w:trPr/>
        <w:tc>
          <w:tcPr>
            <w:tcW w:w="426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124,221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71,252</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firstLine="840"/>
              <w:jc w:val="left"/>
              <w:rPr/>
            </w:pPr>
            <w:r>
              <w:rPr/>
              <w:t> </w:t>
            </w:r>
          </w:p>
        </w:tc>
      </w:tr>
      <w:tr>
        <w:trPr/>
        <w:tc>
          <w:tcPr>
            <w:tcW w:w="4261"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150,172</w:t>
            </w:r>
          </w:p>
        </w:tc>
        <w:tc>
          <w:tcPr>
            <w:tcW w:w="1031" w:type="dxa"/>
            <w:tcBorders/>
            <w:vAlign w:val="center"/>
          </w:tcPr>
          <w:p>
            <w:pPr>
              <w:pStyle w:val="TableContents"/>
              <w:bidi w:val="0"/>
              <w:spacing w:before="0" w:after="0"/>
              <w:ind w:left="0" w:right="0" w:firstLine="280"/>
              <w:jc w:val="lef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Elimination of intersegment revenues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779,791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575,056</w:t>
            </w:r>
          </w:p>
        </w:tc>
        <w:tc>
          <w:tcPr>
            <w:tcW w:w="10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profits (losses):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031" w:type="dxa"/>
            <w:tcBorders/>
            <w:vAlign w:val="center"/>
          </w:tcPr>
          <w:p>
            <w:pPr>
              <w:pStyle w:val="TableContents"/>
              <w:bidi w:val="0"/>
              <w:spacing w:before="0" w:after="0"/>
              <w:ind w:left="0" w:right="0" w:firstLine="280"/>
              <w:jc w:val="righ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1,345</w:t>
            </w:r>
          </w:p>
        </w:tc>
        <w:tc>
          <w:tcPr>
            <w:tcW w:w="1031" w:type="dxa"/>
            <w:tcBorders/>
            <w:vAlign w:val="center"/>
          </w:tcPr>
          <w:p>
            <w:pPr>
              <w:pStyle w:val="TableContents"/>
              <w:bidi w:val="0"/>
              <w:spacing w:before="0" w:after="0"/>
              <w:ind w:left="0" w:right="0" w:firstLine="280"/>
              <w:jc w:val="lef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(46,712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(49,380</w:t>
            </w:r>
          </w:p>
        </w:tc>
        <w:tc>
          <w:tcPr>
            <w:tcW w:w="103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(1,080</w:t>
            </w:r>
          </w:p>
        </w:tc>
        <w:tc>
          <w:tcPr>
            <w:tcW w:w="103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Elimination of intersegment operating</w:t>
              <w:br/>
              <w:t>   profits (losses)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 before corporate</w:t>
              <w:br/>
              <w:t>   and amortization of acquired intangible</w:t>
              <w:br/>
              <w:t>   assets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(13,705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(49,115</w:t>
            </w:r>
          </w:p>
        </w:tc>
        <w:tc>
          <w:tcPr>
            <w:tcW w:w="103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Corporate</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031" w:type="dxa"/>
            <w:tcBorders/>
            <w:vAlign w:val="center"/>
          </w:tcPr>
          <w:p>
            <w:pPr>
              <w:pStyle w:val="TableContents"/>
              <w:bidi w:val="0"/>
              <w:spacing w:before="0" w:after="0"/>
              <w:ind w:left="0" w:right="0" w:firstLine="280"/>
              <w:jc w:val="left"/>
              <w:rPr/>
            </w:pPr>
            <w:r>
              <w:rPr/>
              <w:t> </w:t>
            </w:r>
          </w:p>
        </w:tc>
      </w:tr>
      <w:tr>
        <w:trPr/>
        <w:tc>
          <w:tcPr>
            <w:tcW w:w="42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Amortization of acquired intangible</w:t>
              <w:br/>
              <w:t>   assets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(7,523</w:t>
            </w:r>
          </w:p>
        </w:tc>
        <w:tc>
          <w:tcPr>
            <w:tcW w:w="10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operations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(41,516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(56,638</w:t>
            </w:r>
          </w:p>
        </w:tc>
        <w:tc>
          <w:tcPr>
            <w:tcW w:w="10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 xml:space="preserve">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2023 and March 31, 2023 were as follows: </w:t>
      </w:r>
    </w:p>
    <w:p>
      <w:pPr>
        <w:pStyle w:val="TextBody"/>
        <w:bidi w:val="0"/>
        <w:spacing w:before="0" w:after="0"/>
        <w:jc w:val="left"/>
        <w:rPr/>
      </w:pPr>
      <w:r>
        <w:rPr/>
        <w:t> </w:t>
      </w:r>
    </w:p>
    <w:tbl>
      <w:tblPr>
        <w:tblW w:w="5502" w:type="dxa"/>
        <w:jc w:val="left"/>
        <w:tblInd w:w="0" w:type="dxa"/>
        <w:tblLayout w:type="fixed"/>
        <w:tblCellMar>
          <w:top w:w="28" w:type="dxa"/>
          <w:left w:w="28" w:type="dxa"/>
          <w:bottom w:w="28" w:type="dxa"/>
          <w:right w:w="28" w:type="dxa"/>
        </w:tblCellMar>
      </w:tblPr>
      <w:tblGrid>
        <w:gridCol w:w="2011"/>
        <w:gridCol w:w="146"/>
        <w:gridCol w:w="211"/>
        <w:gridCol w:w="1066"/>
        <w:gridCol w:w="146"/>
        <w:gridCol w:w="146"/>
        <w:gridCol w:w="235"/>
        <w:gridCol w:w="1070"/>
        <w:gridCol w:w="47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74"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71" w:type="dxa"/>
            <w:tcBorders/>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assets:</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0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3,629,690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424,881</w:t>
            </w:r>
          </w:p>
        </w:tc>
        <w:tc>
          <w:tcPr>
            <w:tcW w:w="471" w:type="dxa"/>
            <w:tcBorders/>
            <w:vAlign w:val="center"/>
          </w:tcPr>
          <w:p>
            <w:pPr>
              <w:pStyle w:val="TableContents"/>
              <w:bidi w:val="0"/>
              <w:spacing w:before="0" w:after="0"/>
              <w:ind w:left="0" w:right="0" w:firstLine="280"/>
              <w:jc w:val="left"/>
              <w:rPr/>
            </w:pPr>
            <w:r>
              <w:rPr/>
              <w:t> </w:t>
            </w:r>
          </w:p>
        </w:tc>
      </w:tr>
      <w:tr>
        <w:trPr/>
        <w:tc>
          <w:tcPr>
            <w:tcW w:w="20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360,191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328,828</w:t>
            </w:r>
          </w:p>
        </w:tc>
        <w:tc>
          <w:tcPr>
            <w:tcW w:w="471" w:type="dxa"/>
            <w:tcBorders/>
            <w:vAlign w:val="center"/>
          </w:tcPr>
          <w:p>
            <w:pPr>
              <w:pStyle w:val="TableContents"/>
              <w:bidi w:val="0"/>
              <w:spacing w:before="0" w:after="0"/>
              <w:ind w:left="0" w:right="0" w:firstLine="280"/>
              <w:jc w:val="left"/>
              <w:rPr/>
            </w:pPr>
            <w:r>
              <w:rPr/>
              <w:t> </w:t>
            </w:r>
          </w:p>
        </w:tc>
      </w:tr>
      <w:tr>
        <w:trPr/>
        <w:tc>
          <w:tcPr>
            <w:tcW w:w="20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1,115,744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293,780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0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segment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5,105,625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1,047,489</w:t>
            </w:r>
          </w:p>
        </w:tc>
        <w:tc>
          <w:tcPr>
            <w:tcW w:w="471" w:type="dxa"/>
            <w:tcBorders/>
            <w:vAlign w:val="center"/>
          </w:tcPr>
          <w:p>
            <w:pPr>
              <w:pStyle w:val="TableContents"/>
              <w:bidi w:val="0"/>
              <w:spacing w:before="0" w:after="0"/>
              <w:ind w:left="0" w:right="0" w:firstLine="280"/>
              <w:jc w:val="left"/>
              <w:rPr/>
            </w:pPr>
            <w:r>
              <w:rPr/>
              <w:t> </w:t>
            </w:r>
          </w:p>
        </w:tc>
      </w:tr>
      <w:tr>
        <w:trPr/>
        <w:tc>
          <w:tcPr>
            <w:tcW w:w="20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Corporate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12,791,981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6,682,848</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17,897,606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7,730,337</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VIASAT, INC.</w:t>
      </w:r>
    </w:p>
    <w:p>
      <w:pPr>
        <w:pStyle w:val="TextBody"/>
        <w:bidi w:val="0"/>
        <w:spacing w:before="0" w:after="0"/>
        <w:jc w:val="center"/>
        <w:rPr>
          <w:rFonts w:ascii="Arial;sans-serif" w:hAnsi="Arial;sans-serif"/>
          <w:b/>
          <w:sz w:val="20"/>
        </w:rPr>
      </w:pPr>
      <w:r>
        <w:rPr>
          <w:rFonts w:ascii="Arial;sans-serif" w:hAnsi="Arial;sans-serif"/>
          <w:b/>
          <w:sz w:val="20"/>
        </w:rPr>
        <w:t>NOTES TO THE CONDENSED CONSOLIDATED FINANCIAL STATEMENTS (Continued)</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Other acquired intangible assets, net and goodwill included in segment assets as of June 30, 2023 and March 31, 2023 were as follows:</w:t>
      </w:r>
      <w:r>
        <w:rPr>
          <w:rFonts w:ascii="Times New Roman" w:hAnsi="Times New Roman"/>
          <w:sz w:val="20"/>
        </w:rPr>
        <w:t xml:space="preserve"> </w:t>
      </w:r>
    </w:p>
    <w:tbl>
      <w:tblPr>
        <w:tblW w:w="8249" w:type="dxa"/>
        <w:jc w:val="left"/>
        <w:tblInd w:w="0" w:type="dxa"/>
        <w:tblLayout w:type="fixed"/>
        <w:tblCellMar>
          <w:top w:w="28" w:type="dxa"/>
          <w:left w:w="28" w:type="dxa"/>
          <w:bottom w:w="28" w:type="dxa"/>
          <w:right w:w="28" w:type="dxa"/>
        </w:tblCellMar>
      </w:tblPr>
      <w:tblGrid>
        <w:gridCol w:w="1996"/>
        <w:gridCol w:w="146"/>
        <w:gridCol w:w="218"/>
        <w:gridCol w:w="997"/>
        <w:gridCol w:w="146"/>
        <w:gridCol w:w="146"/>
        <w:gridCol w:w="273"/>
        <w:gridCol w:w="1032"/>
        <w:gridCol w:w="146"/>
        <w:gridCol w:w="146"/>
        <w:gridCol w:w="218"/>
        <w:gridCol w:w="997"/>
        <w:gridCol w:w="146"/>
        <w:gridCol w:w="146"/>
        <w:gridCol w:w="273"/>
        <w:gridCol w:w="103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 Acquired Intangible</w:t>
              <w:br/>
              <w:t>Assets, Net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Goodwill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916" w:type="dxa"/>
            <w:gridSpan w:val="14"/>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2,298,775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1,035,692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80,589</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41,014</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247,355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515,304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36,939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2,546,130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1,592,057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Amortization of acquired intangible assets by segment for the three months ended June 30, 2023 and 2022 was as follows:</w:t>
      </w:r>
      <w:r>
        <w:rPr>
          <w:rFonts w:ascii="Times New Roman" w:hAnsi="Times New Roman"/>
          <w:sz w:val="20"/>
        </w:rPr>
        <w:t xml:space="preserve"> </w:t>
      </w:r>
    </w:p>
    <w:tbl>
      <w:tblPr>
        <w:tblW w:w="5670" w:type="dxa"/>
        <w:jc w:val="left"/>
        <w:tblInd w:w="0" w:type="dxa"/>
        <w:tblLayout w:type="fixed"/>
        <w:tblCellMar>
          <w:top w:w="28" w:type="dxa"/>
          <w:left w:w="28" w:type="dxa"/>
          <w:bottom w:w="28" w:type="dxa"/>
          <w:right w:w="28" w:type="dxa"/>
        </w:tblCellMar>
      </w:tblPr>
      <w:tblGrid>
        <w:gridCol w:w="2701"/>
        <w:gridCol w:w="146"/>
        <w:gridCol w:w="273"/>
        <w:gridCol w:w="897"/>
        <w:gridCol w:w="146"/>
        <w:gridCol w:w="146"/>
        <w:gridCol w:w="310"/>
        <w:gridCol w:w="860"/>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7,228</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amortization of acquired</w:t>
              <w:br/>
              <w:t>   intangible assets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7,523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Revenues by geographic area for the three months ended June 30, 2023 and 2022 were as follows:</w:t>
      </w:r>
    </w:p>
    <w:p>
      <w:pPr>
        <w:pStyle w:val="TextBody"/>
        <w:bidi w:val="0"/>
        <w:spacing w:before="0" w:after="0"/>
        <w:jc w:val="left"/>
        <w:rPr/>
      </w:pPr>
      <w:r>
        <w:rPr/>
        <w:t> </w:t>
      </w:r>
    </w:p>
    <w:tbl>
      <w:tblPr>
        <w:tblW w:w="8280" w:type="dxa"/>
        <w:jc w:val="left"/>
        <w:tblInd w:w="0" w:type="dxa"/>
        <w:tblLayout w:type="fixed"/>
        <w:tblCellMar>
          <w:top w:w="28" w:type="dxa"/>
          <w:left w:w="28" w:type="dxa"/>
          <w:bottom w:w="28" w:type="dxa"/>
          <w:right w:w="28" w:type="dxa"/>
        </w:tblCellMar>
      </w:tblPr>
      <w:tblGrid>
        <w:gridCol w:w="5311"/>
        <w:gridCol w:w="146"/>
        <w:gridCol w:w="245"/>
        <w:gridCol w:w="925"/>
        <w:gridCol w:w="146"/>
        <w:gridCol w:w="146"/>
        <w:gridCol w:w="245"/>
        <w:gridCol w:w="925"/>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U.S. customers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593,162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483,546</w:t>
            </w:r>
          </w:p>
        </w:tc>
        <w:tc>
          <w:tcPr>
            <w:tcW w:w="191" w:type="dxa"/>
            <w:tcBorders/>
            <w:vAlign w:val="center"/>
          </w:tcPr>
          <w:p>
            <w:pPr>
              <w:pStyle w:val="TableContents"/>
              <w:bidi w:val="0"/>
              <w:spacing w:before="0" w:after="0"/>
              <w:ind w:left="0" w:right="0" w:hanging="0"/>
              <w:jc w:val="left"/>
              <w:rPr/>
            </w:pPr>
            <w:r>
              <w:rPr/>
              <w:t> </w:t>
            </w:r>
          </w:p>
        </w:tc>
      </w:tr>
      <w:tr>
        <w:trPr/>
        <w:tc>
          <w:tcPr>
            <w:tcW w:w="5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Non-U.S. customers (each country individually insignificant)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186,629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91,510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779,791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575,056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left"/>
        <w:rPr>
          <w:rFonts w:ascii="Arial;sans-serif" w:hAnsi="Arial;sans-serif"/>
          <w:b w:val="false"/>
          <w:sz w:val="20"/>
        </w:rPr>
      </w:pPr>
      <w:r>
        <w:rPr>
          <w:rFonts w:ascii="Arial;sans-serif" w:hAnsi="Arial;sans-serif"/>
          <w:b w:val="false"/>
          <w:sz w:val="20"/>
        </w:rPr>
        <w:t>The Company distinguishes revenues from external customers by geographic area based on customer location.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80" w:after="0"/>
        <w:jc w:val="left"/>
        <w:rPr>
          <w:rFonts w:ascii="Arial;sans-serif" w:hAnsi="Arial;sans-serif"/>
          <w:b/>
          <w:sz w:val="20"/>
        </w:rPr>
      </w:pPr>
      <w:r>
        <w:rPr>
          <w:rFonts w:ascii="Arial;sans-serif" w:hAnsi="Arial;sans-serif"/>
          <w:b/>
          <w:sz w:val="20"/>
        </w:rPr>
        <w:t>Note 13 — Subsequent Event</w:t>
      </w:r>
    </w:p>
    <w:p>
      <w:pPr>
        <w:pStyle w:val="TextBody"/>
        <w:bidi w:val="0"/>
        <w:spacing w:before="80" w:after="0"/>
        <w:jc w:val="left"/>
        <w:rPr>
          <w:rFonts w:ascii="Times New Roman" w:hAnsi="Times New Roman"/>
          <w:sz w:val="20"/>
        </w:rPr>
      </w:pPr>
      <w:r>
        <w:rPr>
          <w:rFonts w:ascii="Arial;sans-serif" w:hAnsi="Arial;sans-serif"/>
          <w:b w:val="false"/>
          <w:sz w:val="20"/>
        </w:rPr>
        <w:t>The Company launched the first of its third-generation ViaSat-3 class satellites, ViaSat-3 Americas, into orbit on April 30, 2023. On July 12, 2023, the Company reported a reflector deployment issue that may materially impact the performance of the ViaSat-3 Americas satellite. The Company and the reflector provider are conducting a rigorous review of the development and deployment of the affected reflector to determine its impact and potential remedial measures. As the review by the Company and the reflector provider of the development and deployment of the affected reflector is ongoing as of the date hereof, the Company is not able to assess the impairment value for the ViaSat-3 Americas satellite. The ViaSat-3 Americas satellite is insured for approximately $420</w:t>
      </w:r>
      <w:r>
        <w:rPr>
          <w:rFonts w:ascii="Times New Roman" w:hAnsi="Times New Roman"/>
          <w:sz w:val="20"/>
        </w:rPr>
        <w:t xml:space="preserve"> </w:t>
      </w:r>
      <w:r>
        <w:rPr>
          <w:rFonts w:ascii="Arial;sans-serif" w:hAnsi="Arial;sans-serif"/>
          <w:b w:val="false"/>
          <w:sz w:val="20"/>
        </w:rPr>
        <w:t>million, which is nearly half</w:t>
      </w:r>
      <w:r>
        <w:rPr>
          <w:rFonts w:ascii="Times New Roman" w:hAnsi="Times New Roman"/>
          <w:sz w:val="20"/>
        </w:rPr>
        <w:t xml:space="preserve"> </w:t>
      </w:r>
      <w:r>
        <w:rPr>
          <w:rFonts w:ascii="Arial;sans-serif" w:hAnsi="Arial;sans-serif"/>
          <w:b w:val="false"/>
          <w:sz w:val="20"/>
        </w:rPr>
        <w:t>of the net book value of the ViaSat-3 Americas satellite, including capitalized interest.</w:t>
      </w:r>
    </w:p>
    <w:p>
      <w:pPr>
        <w:pStyle w:val="TextBody"/>
        <w:bidi w:val="0"/>
        <w:spacing w:before="240" w:after="0"/>
        <w:jc w:val="center"/>
        <w:rPr>
          <w:rFonts w:ascii="Arial;sans-serif" w:hAnsi="Arial;sans-serif"/>
          <w:b w:val="false"/>
          <w:sz w:val="20"/>
        </w:rPr>
      </w:pPr>
      <w:r>
        <w:rPr>
          <w:rFonts w:ascii="Arial;sans-serif" w:hAnsi="Arial;sans-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anagements_discussion_analysis_f"/>
      <w:bookmarkEnd w:id="9"/>
      <w:r>
        <w:rPr>
          <w:rFonts w:ascii="Arial;sans-serif" w:hAnsi="Arial;sans-serif"/>
          <w:b/>
          <w:sz w:val="20"/>
        </w:rPr>
        <w:t>Item 2. Management’s Discussion and Analysis of</w:t>
      </w:r>
      <w:r>
        <w:rPr>
          <w:rFonts w:ascii="Times New Roman" w:hAnsi="Times New Roman"/>
          <w:sz w:val="20"/>
        </w:rPr>
        <w:t xml:space="preserve"> </w:t>
      </w:r>
      <w:r>
        <w:rPr>
          <w:rFonts w:ascii="Arial;sans-serif" w:hAnsi="Arial;sans-serif"/>
          <w:b/>
          <w:sz w:val="20"/>
        </w:rPr>
        <w:t>Financial Condition and Results of Operations</w:t>
      </w:r>
      <w:r>
        <w:rPr>
          <w:rFonts w:ascii="Times New Roman" w:hAnsi="Times New Roman"/>
          <w:sz w:val="20"/>
        </w:rPr>
        <w:t xml:space="preserve"> </w:t>
      </w:r>
    </w:p>
    <w:p>
      <w:pPr>
        <w:pStyle w:val="TextBody"/>
        <w:bidi w:val="0"/>
        <w:spacing w:before="90" w:after="0"/>
        <w:jc w:val="left"/>
        <w:rPr>
          <w:rFonts w:ascii="Times New Roman" w:hAnsi="Times New Roman"/>
          <w:sz w:val="20"/>
        </w:rPr>
      </w:pPr>
      <w:r>
        <w:rPr>
          <w:rFonts w:ascii="Arial;sans-serif" w:hAnsi="Arial;sans-serif"/>
          <w:b/>
          <w:sz w:val="20"/>
        </w:rPr>
        <w:t>Forward-Looking Statements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the expected benefits, synergies, growth opportunities and other financial and operating benefits of the Inmarsat Acquisition (as defined below); our anticipated operations, financial position, liquidity, performance, prospects or growth and scale opportunities following the closing of the Inmarsat Acquisition and the Link-16 TDL Sale (as defined below);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extent and impact of the reflector deployment issue on the ViaSat-3 Americas satellite and any potential remedial or mitigating measures that may be undertaken or insurance proceeds that may be recoverable in connection therewith; completion of in-orbit placement and in-orbit testing and commencement of commercial service of our satellites (including our ViaSat-3 constellation and the Inmarsat hybrid (L- and Ka-band) satellites); the performance and anticipated benefits of our ViaSat-3 and ViaSat-4 class satellites, our I-6 Flight 1 and I-6 Flight 2 satellites, and any future satellite we may construct or acquire; the expected completion, capacity,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that the Inmarsat Acquisition disrupts current plans and operations or diverts management's attention from our business; the effect of the Inmarsat Acquisition on our ability to retain and hire key personnel and maintain relationships with our customers, suppliers and others with whom we do business; our ability to successfully integrate the operations, technologies and employees of Inmarsat (as defined herein); the ability to realize anticipated benefits and synergies of the Inmarsat Acquisition and our other acquisitions, including the expectation of enhancements to our products and services, greater revenue or growth opportunities, operating efficiencies and cost savings; the ability to ensure continued performance and market growth of our business following the closing of the Inmarsat Acquisition; our ability to realize the anticipated benefits of our ViaSat-3, ViaSat-4 and I-6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2023,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0"/>
        <w:jc w:val="center"/>
        <w:rPr>
          <w:rFonts w:ascii="Arial;sans-serif" w:hAnsi="Arial;sans-serif"/>
          <w:b w:val="false"/>
          <w:sz w:val="20"/>
        </w:rPr>
      </w:pPr>
      <w:r>
        <w:rPr>
          <w:rFonts w:ascii="Arial;sans-serif" w:hAnsi="Arial;sans-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sz w:val="20"/>
        </w:rPr>
        <w:t>Company Overview</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We are an innovative, global provider of communications technologies and services, focused on making connectivity accessible, available and secure for all. Our end-to-end platform of satellites, ground infrastructure and user terminals enables us to provide cost-effective, high-speed, high-quality broadband and other connectivity solutions to enterprises, consumers, military and government users around the globe, whether on the ground, in the air or at sea. In addition, our government business includes a portfolio of communications gateways; situational awareness products and services; satellite communication products and services across using various frequency bands; cybersecurity and information assurance products and services; and tactical data link solutions. We believe that our diversification strategy— 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pStyle w:val="TextBody"/>
        <w:bidi w:val="0"/>
        <w:spacing w:before="180" w:after="0"/>
        <w:jc w:val="left"/>
        <w:rPr>
          <w:rFonts w:ascii="Arial;sans-serif" w:hAnsi="Arial;sans-serif"/>
          <w:b w:val="false"/>
          <w:sz w:val="20"/>
        </w:rPr>
      </w:pPr>
      <w:r>
        <w:rPr>
          <w:rFonts w:ascii="Arial;sans-serif" w:hAnsi="Arial;sans-serif"/>
          <w:b w:val="false"/>
          <w:sz w:val="20"/>
        </w:rPr>
        <w:t>We conduct our business through three segments: satellite services, commercial networks and government systems.</w:t>
      </w:r>
    </w:p>
    <w:p>
      <w:pPr>
        <w:pStyle w:val="TextBody"/>
        <w:bidi w:val="0"/>
        <w:spacing w:before="280" w:after="0"/>
        <w:jc w:val="left"/>
        <w:rPr>
          <w:rFonts w:ascii="Arial;sans-serif" w:hAnsi="Arial;sans-serif"/>
          <w:b/>
          <w:sz w:val="20"/>
        </w:rPr>
      </w:pPr>
      <w:r>
        <w:rPr>
          <w:rFonts w:ascii="Arial;sans-serif" w:hAnsi="Arial;sans-serif"/>
          <w:b/>
          <w:sz w:val="20"/>
        </w:rPr>
        <w:t>Inmarsat Acquisition</w:t>
      </w:r>
    </w:p>
    <w:p>
      <w:pPr>
        <w:pStyle w:val="TextBody"/>
        <w:bidi w:val="0"/>
        <w:spacing w:before="80" w:after="0"/>
        <w:jc w:val="left"/>
        <w:rPr>
          <w:rFonts w:ascii="Arial;sans-serif" w:hAnsi="Arial;sans-serif"/>
          <w:b w:val="false"/>
          <w:sz w:val="20"/>
        </w:rPr>
      </w:pPr>
      <w:r>
        <w:rPr>
          <w:rFonts w:ascii="Arial;sans-serif" w:hAnsi="Arial;sans-serif"/>
          <w:b w:val="false"/>
          <w:sz w:val="20"/>
        </w:rPr>
        <w:t>On May 30, 2023, we purchased all of the issued and outstanding shares of Connect Topco Limited, a private company limited by shares and incorporated in Guernsey (Inmarsat Holdings and, together with its subsidiaries, Inmarsat), in exchange for approximately $550.7 million in cash and 46.36 million unregistered shares of our common stock (the Inmarsat Acquisition). In connection with the closing of the Inmarsat Acquisition, we entered into a $616.7 million senior secured term loan facility (the 2023 Term Loan Facility) and a $733.4 million unsecured bridge loan facility (the Bridge Facility), which were fully drawn at closing.</w:t>
      </w:r>
    </w:p>
    <w:p>
      <w:pPr>
        <w:pStyle w:val="TextBody"/>
        <w:bidi w:val="0"/>
        <w:spacing w:before="280" w:after="0"/>
        <w:jc w:val="left"/>
        <w:rPr>
          <w:rFonts w:ascii="Arial;sans-serif" w:hAnsi="Arial;sans-serif"/>
          <w:b/>
          <w:sz w:val="20"/>
        </w:rPr>
      </w:pPr>
      <w:r>
        <w:rPr>
          <w:rFonts w:ascii="Arial;sans-serif" w:hAnsi="Arial;sans-serif"/>
          <w:b/>
          <w:sz w:val="20"/>
        </w:rPr>
        <w:t>Sale of Link-16 TDL Business</w:t>
      </w:r>
    </w:p>
    <w:p>
      <w:pPr>
        <w:pStyle w:val="TextBody"/>
        <w:bidi w:val="0"/>
        <w:spacing w:before="80" w:after="0"/>
        <w:jc w:val="left"/>
        <w:rPr>
          <w:rFonts w:ascii="Arial;sans-serif" w:hAnsi="Arial;sans-serif"/>
          <w:b w:val="false"/>
          <w:sz w:val="20"/>
        </w:rPr>
      </w:pPr>
      <w:r>
        <w:rPr>
          <w:rFonts w:ascii="Arial;sans-serif" w:hAnsi="Arial;sans-serif"/>
          <w:b w:val="false"/>
          <w:sz w:val="20"/>
        </w:rPr>
        <w:t>On January 3, 2023, we completed the sale of certain assets and liabilities comprising our Link-16 Tactical Data Links business (the Link-16 TDL Business) to L3Harris Technologies, Inc. (L3Harris) in exchange for approximately $1.96 billion in cash, subject to certain adjustments (the Link-16 TDL Sale). Unless otherwise noted, discussion throughout this Quarterly Report on Form 10-Q relates to our continuing operations only and excludes the Link-16 TDL Business. See Note 5 — Discontinued Operations to our condensed consolidated financial statements for additional information.</w:t>
      </w:r>
    </w:p>
    <w:p>
      <w:pPr>
        <w:pStyle w:val="TextBody"/>
        <w:bidi w:val="0"/>
        <w:spacing w:before="280" w:after="0"/>
        <w:jc w:val="left"/>
        <w:rPr>
          <w:rFonts w:ascii="Times New Roman" w:hAnsi="Times New Roman"/>
          <w:sz w:val="20"/>
        </w:rPr>
      </w:pPr>
      <w:r>
        <w:rPr>
          <w:rFonts w:ascii="Arial;sans-serif" w:hAnsi="Arial;sans-serif"/>
          <w:b/>
          <w:sz w:val="20"/>
        </w:rPr>
        <w:t>Satellite Services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Our satellite services segment uses our proprietary technology platform to provide both high-speed broadband and narrowband services via satellite around the globe for use in commercial applications.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Our complementary fleet of 22 satellites in space spans the Ka-, L- and S- bands. In addition to Viasat’s legacy satellite fleet, the closing of the Inmarsat Acquisition added: five additional high-bandwidth Ka-band satellites, eight high-availability L-band satellites (three of which are contingency satellites in orbit but not currently in service), an S-band satellite that supports the European Aviation Network (EAN) to provide IFC services to commercial airlines in Europe, and two I-6 class hybrid Ka-/L-band satellites (the I-6 F1 and I-6 F2 satellites), with additional satellites under development. Our expanded satellite fleet enables us to provide near global coverage (including strong oceanic coverage and polar reach) with greater redundancy and resiliency. We launched the first of our third-generation ViaSat-3 class satellites, ViaSat-3 Americas, into orbit on April 30, 2023. On July 12, 2023, we reported a reflector deployment issue that may materially impact the performance of the ViaSat-3 Americas satellite (see Note 13 — Subsequent Event for more information).</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The primary services offered by our satellite services segment are comprised of:</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Fixed broadband services, which provide consumers and businesses with high-speed, high-quality broadband internet access and Voice over Internet Protocol services, primarily in the United States as well as in various countries in Europe and Latin America. </w:t>
      </w:r>
    </w:p>
    <w:p>
      <w:pPr>
        <w:pStyle w:val="TextBody"/>
        <w:bidi w:val="0"/>
        <w:spacing w:before="240" w:after="0"/>
        <w:jc w:val="center"/>
        <w:rPr>
          <w:rFonts w:ascii="Arial;sans-serif" w:hAnsi="Arial;sans-serif"/>
          <w:b w:val="false"/>
          <w:sz w:val="20"/>
        </w:rPr>
      </w:pPr>
      <w:r>
        <w:rPr>
          <w:rFonts w:ascii="Arial;sans-serif" w:hAnsi="Arial;sans-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In-flight services, which provide industry-leading IFC services and wireless in-flight entertainment services, as well as cockpit, data safety, surveillance, electronic flightbag and other aviation software services. As of June 30, 2023, we had our IFC systems installed and in service on approximately 3,270 commercial aircraft of which approximately 40 were inactive at quarter end (mostly due to standard aircraft maintenance). We anticipate that approximately 1,600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lingering impacts of the COVID-19 pandemic on the global airline industry. Additionally, due to the nature of commercial airline contracts, there can be no assurance that anticipated IFC services will be activated on all such additional commercial aircraft.</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Maritime services (acquired through the Inmarsat Acquisition), which offer satellite-based Ka-band high-speed broadband and L-band narrowband communications services, including safety services, to seagoing vessels (such as commercial shipping vessels, energy offshore vessels, cruise ships, consumer ferries and yachts).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Prepaid Internet services, which offer innovative, affordable, satellite-based connectivity in communities that have little or no access to the internet. These services help foster digital inclusion by enabling millions of people to connect to affordable, high-quality internet services via a centralized terminal connected to the internet via satellite, that is then used to provide community hotspots, home broadband and mobile broadband. We provide Prepaid Internet services in multiple regions in Mexico and Brazil.</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Other broadband and narrowband services, which include high-speed, satellite-based internet, Internet-of-Things (IoT), telemetry, push-to-talk communications and L-band satellite phone services, as well as L-band managed services that enable real-time machine-to-machine (M2M) position tracking, management of remote assets and operations, and visibility into critical areas of the supply chain. </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Energy services, which include ultra-secure solutions spanning global IP connectivity, bandwidth-optimized over-the-top applications, industrial IoT, big data enablement and industry-leading machine learning analytics.</w:t>
      </w:r>
    </w:p>
    <w:p>
      <w:pPr>
        <w:pStyle w:val="TextBody"/>
        <w:bidi w:val="0"/>
        <w:spacing w:before="180" w:after="0"/>
        <w:jc w:val="left"/>
        <w:rPr>
          <w:rFonts w:ascii="Arial;sans-serif" w:hAnsi="Arial;sans-serif"/>
          <w:b w:val="false"/>
          <w:sz w:val="20"/>
        </w:rPr>
      </w:pPr>
      <w:r>
        <w:rPr>
          <w:rFonts w:ascii="Arial;sans-serif" w:hAnsi="Arial;sans-serif"/>
          <w:b w:val="false"/>
          <w:sz w:val="20"/>
        </w:rPr>
        <w:t>The assets and results of operations of Inmarsat's commercial business are primarily included in our satellite services segment (with an insignificant amount included in our commercial networks segment and Inmarsat's government business included in our government systems segment) for the period following the closing of the Inmarsat Acquisition on May 30, 2023.</w:t>
      </w:r>
    </w:p>
    <w:p>
      <w:pPr>
        <w:pStyle w:val="TextBody"/>
        <w:bidi w:val="0"/>
        <w:spacing w:before="280" w:after="0"/>
        <w:jc w:val="left"/>
        <w:rPr>
          <w:rFonts w:ascii="Times New Roman" w:hAnsi="Times New Roman"/>
          <w:sz w:val="20"/>
        </w:rPr>
      </w:pPr>
      <w:r>
        <w:rPr>
          <w:rFonts w:ascii="Arial;sans-serif" w:hAnsi="Arial;sans-serif"/>
          <w:b/>
          <w:sz w:val="20"/>
        </w:rPr>
        <w:t>Commercial Networks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Our commercial networks segment develops and sells a wide array of advanced satellite and wireless products, antenna systems and network and terminal solutions that support or enable the provision of high-speed fixed and mobile broadband services. We design, develop and produce space system solutions for multiple orbital regimes, including geostationary (GEO), medium earth orbit (MEO) and low earth orbit (LEO). The primary products, systems, solutions and services offered by our commercial networks segment are comprised of: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Mobile broadband satellite communication systems, designed for use in aircraft, land-mobile and seagoing vessels.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Fixed broadband satellite communication systems, including next-generation satellite network infrastructure, ground terminals and design and implementation for customer communication systems. </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Antenna systems, including state-of-the-art ground and airborne terminals, antennas and gateways for terrestrial and satellite customer applications, mobile satellite communication, Ka-band earth stations and other multi-band/multi-function antennas. </w:t>
      </w:r>
    </w:p>
    <w:p>
      <w:pPr>
        <w:pStyle w:val="TextBody"/>
        <w:bidi w:val="0"/>
        <w:spacing w:before="240" w:after="0"/>
        <w:jc w:val="center"/>
        <w:rPr>
          <w:rFonts w:ascii="Arial;sans-serif" w:hAnsi="Arial;sans-serif"/>
          <w:b w:val="false"/>
          <w:sz w:val="20"/>
        </w:rPr>
      </w:pPr>
      <w:r>
        <w:rPr>
          <w:rFonts w:ascii="Arial;sans-serif" w:hAnsi="Arial;sans-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Space systems design and satellite networking development, including the design and development of the architecture of high-capacity Ka-band geosynchronous satellites and associated payload technologies (both for our own satellite fleet as well as for third parties) and special purpose LEO and MEO satellites and other small satellite platforms, as well as semiconductor design for application-specific integrated circuit and monolithic microwave integrated circuit chips. Satellite networking development includes specialized design and technology services covering all aspects of satellite communication system architecture, networks and technology.</w:t>
      </w:r>
    </w:p>
    <w:p>
      <w:pPr>
        <w:pStyle w:val="TextBody"/>
        <w:bidi w:val="0"/>
        <w:spacing w:before="280" w:after="0"/>
        <w:jc w:val="left"/>
        <w:rPr>
          <w:rFonts w:ascii="Times New Roman" w:hAnsi="Times New Roman"/>
          <w:sz w:val="20"/>
        </w:rPr>
      </w:pPr>
      <w:r>
        <w:rPr>
          <w:rFonts w:ascii="Arial;sans-serif" w:hAnsi="Arial;sans-serif"/>
          <w:b/>
          <w:sz w:val="20"/>
        </w:rPr>
        <w:t>Government Systems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Our government systems segment offers a broad array of products and services,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Government narrowband products and services (primarily provided by Inmarsat prior to the Inmarsat Acquisition), which provide military and government users with L-band narrowband products and services such as Tactical Beyond Line of Sight (L-TAC) communications, L-band airborne ISR services and L-band Advanced Communications Element (LACE) terminals.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space-based systems and fixed applications. </w:t>
      </w:r>
    </w:p>
    <w:p>
      <w:pPr>
        <w:pStyle w:val="TextBody"/>
        <w:bidi w:val="0"/>
        <w:spacing w:before="120" w:after="0"/>
        <w:jc w:val="left"/>
        <w:rPr/>
      </w:pPr>
      <w:r>
        <w:rPr/>
        <w:t>•</w:t>
      </w:r>
    </w:p>
    <w:p>
      <w:pPr>
        <w:pStyle w:val="TextBody"/>
        <w:bidi w:val="0"/>
        <w:spacing w:before="120" w:after="0"/>
        <w:jc w:val="left"/>
        <w:rPr/>
      </w:pPr>
      <w:r>
        <w:rPr>
          <w:rFonts w:ascii="Arial;sans-serif" w:hAnsi="Arial;sans-serif"/>
          <w:b w:val="false"/>
          <w:sz w:val="20"/>
        </w:rPr>
        <w:t>Secure networking, cybersecurity and information assurance products and services, which provide advanced, high-speed IP-based “Type 1” and High Assurance Internet Protocol Encryption (HAIPE</w:t>
      </w:r>
      <w:r>
        <w:rPr>
          <w:rFonts w:ascii="Arial;sans-serif" w:hAnsi="Arial;sans-serif"/>
          <w:b w:val="false"/>
          <w:sz w:val="13"/>
        </w:rPr>
        <w:t>®</w:t>
      </w:r>
      <w:r>
        <w:rPr>
          <w:rFonts w:ascii="Arial;sans-serif" w:hAnsi="Arial;sans-serif"/>
          <w:b w:val="false"/>
          <w:sz w:val="20"/>
        </w:rPr>
        <w:t>)-compliant encryption solutions that enable military and government users to communicate information securely, and that protect the integrity of data stored on computers and storage devices.</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Tactical data link solutions, which continue to provide certain solutions in the tactical data link space, including our Move Out/Jump Off tactical gateway family of products and simulation environments via our radio frequency generators which test our customers' tactical data links. On January 3, 2023 we sold the remainder of our Link-16 TDL Business to L3Harris. See Note 5 — Discontinued Operations to our condensed consolidated financial statements for additional information.</w:t>
      </w:r>
    </w:p>
    <w:p>
      <w:pPr>
        <w:pStyle w:val="TextBody"/>
        <w:bidi w:val="0"/>
        <w:spacing w:before="280" w:after="0"/>
        <w:jc w:val="left"/>
        <w:rPr>
          <w:rFonts w:ascii="Times New Roman" w:hAnsi="Times New Roman"/>
          <w:sz w:val="20"/>
        </w:rPr>
      </w:pPr>
      <w:r>
        <w:rPr>
          <w:rFonts w:ascii="Arial;sans-serif" w:hAnsi="Arial;sans-serif"/>
          <w:b/>
          <w:sz w:val="20"/>
        </w:rPr>
        <w:t>Factors and Trends Affecting our Results of Operations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For a summary of factors and trends affecting our results of operations, see Part II, Item 7, "Factors and Trends Affecting our Results of Operations" in our Annual Report on Form 10-K for the year ended March 31, 2023.</w:t>
      </w:r>
    </w:p>
    <w:p>
      <w:pPr>
        <w:pStyle w:val="TextBody"/>
        <w:bidi w:val="0"/>
        <w:spacing w:before="280" w:after="0"/>
        <w:jc w:val="left"/>
        <w:rPr>
          <w:rFonts w:ascii="Times New Roman" w:hAnsi="Times New Roman"/>
          <w:sz w:val="20"/>
        </w:rPr>
      </w:pPr>
      <w:r>
        <w:rPr>
          <w:rFonts w:ascii="Arial;sans-serif" w:hAnsi="Arial;sans-serif"/>
          <w:b/>
          <w:sz w:val="20"/>
        </w:rPr>
        <w:t>Sources of Revenues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Our satellite services segment revenues are primarily derived from our fixed broadband services, in-flight services, maritime and narrowband services (primarily acquired through the Inmarsat Acquisition), and energy services.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240" w:after="0"/>
        <w:jc w:val="center"/>
        <w:rPr>
          <w:rFonts w:ascii="Arial;sans-serif" w:hAnsi="Arial;sans-serif"/>
          <w:b w:val="false"/>
          <w:sz w:val="20"/>
        </w:rPr>
      </w:pPr>
      <w:r>
        <w:rPr>
          <w:rFonts w:ascii="Arial;sans-serif" w:hAnsi="Arial;sans-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Times New Roman" w:hAnsi="Times New Roman"/>
          <w:sz w:val="20"/>
        </w:rPr>
      </w:pPr>
      <w:r>
        <w:rPr>
          <w:rFonts w:ascii="Arial;sans-serif" w:hAnsi="Arial;sans-serif"/>
          <w:b w:val="false"/>
          <w:sz w:val="20"/>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sz w:val="20"/>
        </w:rPr>
        <w:t>Critical Accounting Policies and Estimates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Revenue recognition</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spacing w:before="180" w:after="0"/>
        <w:jc w:val="left"/>
        <w:rPr>
          <w:rFonts w:ascii="Times New Roman" w:hAnsi="Times New Roman"/>
          <w:sz w:val="20"/>
        </w:rPr>
      </w:pPr>
      <w:r>
        <w:rPr>
          <w:rFonts w:ascii="Arial;sans-serif" w:hAnsi="Arial;sans-serif"/>
          <w:b w:val="false"/>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the authoritative guidance for leases (ASC 842). As discussed in Note 1 – Basis of Presentation –</w:t>
      </w:r>
      <w:r>
        <w:rPr>
          <w:rFonts w:ascii="Times New Roman" w:hAnsi="Times New Roman"/>
          <w:sz w:val="20"/>
        </w:rPr>
        <w:t xml:space="preserve"> </w:t>
      </w:r>
      <w:r>
        <w:rPr>
          <w:rFonts w:ascii="Arial;sans-serif" w:hAnsi="Arial;sans-serif"/>
          <w:b w:val="false"/>
          <w:sz w:val="20"/>
        </w:rPr>
        <w:t>Leases</w:t>
      </w:r>
      <w:r>
        <w:rPr>
          <w:rFonts w:ascii="Times New Roman" w:hAnsi="Times New Roman"/>
          <w:sz w:val="20"/>
        </w:rPr>
        <w:t xml:space="preserve"> </w:t>
      </w:r>
      <w:r>
        <w:rPr>
          <w:rFonts w:ascii="Arial;sans-serif" w:hAnsi="Arial;sans-serif"/>
          <w:b w:val="false"/>
          <w:sz w:val="20"/>
        </w:rPr>
        <w:t>to our condensed consolidated financial statements, for broadband equipment leased to customers in conjunction with the delivery of connectivity services, we account for the lease and non-lease components of connectivity services arrangement as a single performance obligation as the connectivity services represent the predominant component.</w:t>
      </w:r>
    </w:p>
    <w:p>
      <w:pPr>
        <w:pStyle w:val="TextBody"/>
        <w:bidi w:val="0"/>
        <w:spacing w:before="180" w:after="0"/>
        <w:jc w:val="left"/>
        <w:rPr>
          <w:rFonts w:ascii="Arial;sans-serif" w:hAnsi="Arial;sans-serif"/>
          <w:b w:val="false"/>
          <w:sz w:val="20"/>
        </w:rPr>
      </w:pPr>
      <w:r>
        <w:rPr>
          <w:rFonts w:ascii="Arial;sans-serif" w:hAnsi="Arial;sans-serif"/>
          <w:b w:val="false"/>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0"/>
        <w:jc w:val="center"/>
        <w:rPr>
          <w:rFonts w:ascii="Arial;sans-serif" w:hAnsi="Arial;sans-serif"/>
          <w:b w:val="false"/>
          <w:sz w:val="20"/>
        </w:rPr>
      </w:pPr>
      <w:r>
        <w:rPr>
          <w:rFonts w:ascii="Arial;sans-serif" w:hAnsi="Arial;sans-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0"/>
        <w:jc w:val="left"/>
        <w:rPr>
          <w:rFonts w:ascii="Arial;sans-serif" w:hAnsi="Arial;sans-serif"/>
          <w:b w:val="false"/>
          <w:sz w:val="20"/>
        </w:rPr>
      </w:pPr>
      <w:r>
        <w:rPr>
          <w:rFonts w:ascii="Arial;sans-serif" w:hAnsi="Arial;sans-serif"/>
          <w:b w:val="false"/>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2023 would change our income (loss) before income taxes by an insignificant amount.</w:t>
      </w:r>
    </w:p>
    <w:p>
      <w:pPr>
        <w:pStyle w:val="TextBody"/>
        <w:bidi w:val="0"/>
        <w:spacing w:before="180" w:after="0"/>
        <w:jc w:val="left"/>
        <w:rPr>
          <w:rFonts w:ascii="Arial;sans-serif" w:hAnsi="Arial;sans-serif"/>
          <w:b w:val="false"/>
          <w:sz w:val="20"/>
        </w:rPr>
      </w:pPr>
      <w:r>
        <w:rPr>
          <w:rFonts w:ascii="Arial;sans-serif" w:hAnsi="Arial;sans-serif"/>
          <w:b w:val="false"/>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0"/>
        <w:jc w:val="center"/>
        <w:rPr>
          <w:rFonts w:ascii="Arial;sans-serif" w:hAnsi="Arial;sans-serif"/>
          <w:b w:val="false"/>
          <w:sz w:val="20"/>
        </w:rPr>
      </w:pPr>
      <w:r>
        <w:rPr>
          <w:rFonts w:ascii="Arial;sans-serif" w:hAnsi="Arial;sans-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0"/>
        <w:jc w:val="left"/>
        <w:rPr>
          <w:rFonts w:ascii="Times New Roman" w:hAnsi="Times New Roman"/>
          <w:sz w:val="20"/>
        </w:rPr>
      </w:pPr>
      <w:r>
        <w:rPr>
          <w:rFonts w:ascii="Arial;sans-serif" w:hAnsi="Arial;sans-serif"/>
          <w:b/>
          <w:i/>
          <w:sz w:val="20"/>
        </w:rPr>
        <w:t>Property, equipment and satellites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Property, equipment and satellites, net includes our owned and leased satellites and the associated earth stations and networking equipment, as well as the customer premise equipment units which are leased to customers as part of our satellite services segment.</w:t>
      </w:r>
    </w:p>
    <w:p>
      <w:pPr>
        <w:pStyle w:val="TextBody"/>
        <w:bidi w:val="0"/>
        <w:spacing w:before="180" w:after="0"/>
        <w:jc w:val="left"/>
        <w:rPr>
          <w:rFonts w:ascii="Arial;sans-serif" w:hAnsi="Arial;sans-serif"/>
          <w:b w:val="false"/>
          <w:sz w:val="20"/>
        </w:rPr>
      </w:pPr>
      <w:r>
        <w:rPr>
          <w:rFonts w:ascii="Arial;sans-serif" w:hAnsi="Arial;sans-serif"/>
          <w:b w:val="false"/>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80" w:after="0"/>
        <w:jc w:val="left"/>
        <w:rPr>
          <w:rFonts w:ascii="Arial;sans-serif" w:hAnsi="Arial;sans-serif"/>
          <w:b/>
          <w:i/>
          <w:sz w:val="20"/>
        </w:rPr>
      </w:pPr>
      <w:r>
        <w:rPr>
          <w:rFonts w:ascii="Arial;sans-serif" w:hAnsi="Arial;sans-serif"/>
          <w:b/>
          <w:i/>
          <w:sz w:val="20"/>
        </w:rPr>
        <w:t>Leases</w:t>
      </w:r>
    </w:p>
    <w:p>
      <w:pPr>
        <w:pStyle w:val="TextBody"/>
        <w:bidi w:val="0"/>
        <w:spacing w:before="80" w:after="0"/>
        <w:jc w:val="left"/>
        <w:rPr>
          <w:rFonts w:ascii="Times New Roman" w:hAnsi="Times New Roman"/>
          <w:sz w:val="20"/>
        </w:rPr>
      </w:pPr>
      <w:r>
        <w:rPr>
          <w:rFonts w:ascii="Arial;sans-serif" w:hAnsi="Arial;sans-serif"/>
          <w:b w:val="false"/>
          <w:sz w:val="20"/>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Arial;sans-serif" w:hAnsi="Arial;sans-serif"/>
          <w:b w:val="false"/>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0"/>
        <w:jc w:val="left"/>
        <w:rPr>
          <w:rFonts w:ascii="Arial;sans-serif" w:hAnsi="Arial;sans-serif"/>
          <w:b w:val="false"/>
          <w:sz w:val="20"/>
        </w:rPr>
      </w:pPr>
      <w:r>
        <w:rPr>
          <w:rFonts w:ascii="Arial;sans-serif" w:hAnsi="Arial;sans-serif"/>
          <w:b w:val="false"/>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0"/>
        <w:jc w:val="left"/>
        <w:rPr>
          <w:rFonts w:ascii="Arial;sans-serif" w:hAnsi="Arial;sans-serif"/>
          <w:b/>
          <w:i/>
          <w:sz w:val="20"/>
        </w:rPr>
      </w:pPr>
      <w:r>
        <w:rPr>
          <w:rFonts w:ascii="Arial;sans-serif" w:hAnsi="Arial;sans-serif"/>
          <w:b/>
          <w:i/>
          <w:sz w:val="20"/>
        </w:rPr>
        <w:t>Business combinations</w:t>
      </w:r>
    </w:p>
    <w:p>
      <w:pPr>
        <w:pStyle w:val="TextBody"/>
        <w:bidi w:val="0"/>
        <w:spacing w:before="80" w:after="0"/>
        <w:jc w:val="left"/>
        <w:rPr>
          <w:rFonts w:ascii="Times New Roman" w:hAnsi="Times New Roman"/>
          <w:sz w:val="20"/>
        </w:rPr>
      </w:pPr>
      <w:r>
        <w:rPr>
          <w:rFonts w:ascii="Arial;sans-serif" w:hAnsi="Arial;sans-serif"/>
          <w:b w:val="false"/>
          <w:sz w:val="20"/>
        </w:rPr>
        <w:t>The purchase price for business combinations is allocated to the estimated fair values of acquired tangible and intangible assets, and assumed liabilities, where applicable. Additionally, we recognize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Impairment of long-lived and other long-term assets (property, equipment and satellites, and other assets, including goodwill)</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2023 and 2022.</w:t>
      </w:r>
    </w:p>
    <w:p>
      <w:pPr>
        <w:pStyle w:val="TextBody"/>
        <w:bidi w:val="0"/>
        <w:spacing w:before="180" w:after="0"/>
        <w:jc w:val="left"/>
        <w:rPr>
          <w:rFonts w:ascii="Arial;sans-serif" w:hAnsi="Arial;sans-serif"/>
          <w:b w:val="false"/>
          <w:sz w:val="20"/>
        </w:rPr>
      </w:pPr>
      <w:r>
        <w:rPr>
          <w:rFonts w:ascii="Arial;sans-serif" w:hAnsi="Arial;sans-serif"/>
          <w:b w:val="false"/>
          <w:sz w:val="20"/>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0"/>
        <w:jc w:val="left"/>
        <w:rPr>
          <w:rFonts w:ascii="Arial;sans-serif" w:hAnsi="Arial;sans-serif"/>
          <w:b w:val="false"/>
          <w:sz w:val="20"/>
        </w:rPr>
      </w:pPr>
      <w:r>
        <w:rPr>
          <w:rFonts w:ascii="Arial;sans-serif" w:hAnsi="Arial;sans-serif"/>
          <w:b w:val="false"/>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0"/>
        <w:jc w:val="left"/>
        <w:rPr>
          <w:rFonts w:ascii="Times New Roman" w:hAnsi="Times New Roman"/>
          <w:sz w:val="20"/>
        </w:rPr>
      </w:pPr>
      <w:r>
        <w:rPr>
          <w:rFonts w:ascii="Arial;sans-serif" w:hAnsi="Arial;sans-serif"/>
          <w:b w:val="false"/>
          <w:sz w:val="20"/>
        </w:rPr>
        <w:t>Based on our qualitative and quantitative assessments performed during the fourth quarter of fiscal year 2023, we concluded that it was more likely than not that the estimated fair value of our reporting units exceeded their carrying value as of March 31, 2023.</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i/>
          <w:sz w:val="20"/>
        </w:rPr>
        <w:t>Income taxes and valuation allowance on deferred tax assets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180" w:after="0"/>
        <w:jc w:val="left"/>
        <w:rPr>
          <w:rFonts w:ascii="Arial;sans-serif" w:hAnsi="Arial;sans-serif"/>
          <w:b w:val="false"/>
          <w:sz w:val="20"/>
        </w:rPr>
      </w:pPr>
      <w:r>
        <w:rPr>
          <w:rFonts w:ascii="Arial;sans-serif" w:hAnsi="Arial;sans-serif"/>
          <w:b w:val="false"/>
          <w:sz w:val="20"/>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pStyle w:val="TextBody"/>
        <w:bidi w:val="0"/>
        <w:spacing w:before="180" w:after="0"/>
        <w:jc w:val="left"/>
        <w:rPr>
          <w:rFonts w:ascii="Arial;sans-serif" w:hAnsi="Arial;sans-serif"/>
          <w:b w:val="false"/>
          <w:sz w:val="20"/>
        </w:rPr>
      </w:pPr>
      <w:r>
        <w:rPr>
          <w:rFonts w:ascii="Arial;sans-serif" w:hAnsi="Arial;sans-serif"/>
          <w:b w:val="false"/>
          <w:sz w:val="20"/>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180" w:after="0"/>
        <w:jc w:val="left"/>
        <w:rPr>
          <w:rFonts w:ascii="Times New Roman" w:hAnsi="Times New Roman"/>
          <w:sz w:val="20"/>
        </w:rPr>
      </w:pPr>
      <w:r>
        <w:rPr>
          <w:rFonts w:ascii="Arial;sans-serif" w:hAnsi="Arial;sans-serif"/>
          <w:b w:val="false"/>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sz w:val="20"/>
        </w:rPr>
        <w:t>Results of Operations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The following table presents, as a percentage of total revenues, income statement data of our continuing operations for the periods indicated:</w:t>
      </w:r>
      <w:r>
        <w:rPr>
          <w:rFonts w:ascii="Times New Roman" w:hAnsi="Times New Roman"/>
          <w:sz w:val="20"/>
        </w:rPr>
        <w:t xml:space="preserve"> </w:t>
      </w:r>
    </w:p>
    <w:p>
      <w:pPr>
        <w:pStyle w:val="TextBody"/>
        <w:bidi w:val="0"/>
        <w:spacing w:before="0" w:after="0"/>
        <w:jc w:val="left"/>
        <w:rPr/>
      </w:pPr>
      <w:r>
        <w:rPr/>
        <w:t> </w:t>
      </w:r>
    </w:p>
    <w:tbl>
      <w:tblPr>
        <w:tblW w:w="8786" w:type="dxa"/>
        <w:jc w:val="left"/>
        <w:tblInd w:w="0" w:type="dxa"/>
        <w:tblLayout w:type="fixed"/>
        <w:tblCellMar>
          <w:top w:w="28" w:type="dxa"/>
          <w:left w:w="28" w:type="dxa"/>
          <w:bottom w:w="28" w:type="dxa"/>
          <w:right w:w="28" w:type="dxa"/>
        </w:tblCellMar>
      </w:tblPr>
      <w:tblGrid>
        <w:gridCol w:w="6016"/>
        <w:gridCol w:w="146"/>
        <w:gridCol w:w="196"/>
        <w:gridCol w:w="569"/>
        <w:gridCol w:w="320"/>
        <w:gridCol w:w="163"/>
        <w:gridCol w:w="196"/>
        <w:gridCol w:w="569"/>
        <w:gridCol w:w="61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1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3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61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765" w:type="dxa"/>
            <w:gridSpan w:val="2"/>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6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Cost of product revenues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Cost of service revenues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Independent research and development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611" w:type="dxa"/>
            <w:tcBorders/>
            <w:vAlign w:val="center"/>
          </w:tcPr>
          <w:p>
            <w:pPr>
              <w:pStyle w:val="TableContents"/>
              <w:bidi w:val="0"/>
              <w:spacing w:before="0" w:after="0"/>
              <w:ind w:left="0" w:right="0" w:firstLine="280"/>
              <w:jc w:val="left"/>
              <w:rPr/>
            </w:pPr>
            <w:r>
              <w:rPr/>
              <w:t> </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Amortization of acquired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continuing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3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(expense) income,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(loss) from continuing operations before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3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(Provision for) benefit from income taxes from continuing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61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continuing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3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from discontinued operations, net of tax</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611" w:type="dxa"/>
            <w:tcBorders/>
            <w:vAlign w:val="center"/>
          </w:tcPr>
          <w:p>
            <w:pPr>
              <w:pStyle w:val="TableContents"/>
              <w:bidi w:val="0"/>
              <w:spacing w:before="0" w:after="0"/>
              <w:ind w:left="0" w:right="0" w:hanging="0"/>
              <w:jc w:val="left"/>
              <w:rPr/>
            </w:pPr>
            <w:r>
              <w:rPr/>
              <w:t> </w:t>
            </w:r>
          </w:p>
        </w:tc>
      </w:tr>
      <w:tr>
        <w:trPr/>
        <w:tc>
          <w:tcPr>
            <w:tcW w:w="60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(loss) attributable to Viasat, Inc.</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3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90" w:after="0"/>
        <w:jc w:val="left"/>
        <w:rPr>
          <w:rFonts w:ascii="Arial;sans-serif" w:hAnsi="Arial;sans-serif"/>
          <w:b/>
          <w:sz w:val="20"/>
        </w:rPr>
      </w:pPr>
      <w:r>
        <w:rPr>
          <w:rFonts w:ascii="Arial;sans-serif" w:hAnsi="Arial;sans-serif"/>
          <w:b/>
          <w:sz w:val="20"/>
        </w:rPr>
        <w:t>Three Months Ended June 30, 2023 vs. Three Months Ended June 30, 2022</w:t>
      </w:r>
    </w:p>
    <w:p>
      <w:pPr>
        <w:pStyle w:val="TextBody"/>
        <w:bidi w:val="0"/>
        <w:spacing w:before="9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p>
      <w:pPr>
        <w:pStyle w:val="TextBody"/>
        <w:bidi w:val="0"/>
        <w:spacing w:before="0" w:after="0"/>
        <w:jc w:val="left"/>
        <w:rPr/>
      </w:pPr>
      <w:r>
        <w:rPr/>
        <w:t> </w:t>
      </w:r>
    </w:p>
    <w:tbl>
      <w:tblPr>
        <w:tblW w:w="758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total revenues increased by $204.7 million as a result of a $140.9 million increase in service revenues and a $63.9 million increase in product revenues. The service revenue increase was primarily due to increases of $86.4 million in our satellite services segment and $53.0 million in our government systems segment. The product revenue increase was driven by increases of $34.3 million in our commercial networks segment and $29.6 million in our government systems segment.</w:t>
      </w:r>
    </w:p>
    <w:p>
      <w:pPr>
        <w:pStyle w:val="TextBody"/>
        <w:bidi w:val="0"/>
        <w:spacing w:before="280" w:after="0"/>
        <w:jc w:val="left"/>
        <w:rPr>
          <w:rFonts w:ascii="Times New Roman" w:hAnsi="Times New Roman"/>
          <w:sz w:val="20"/>
        </w:rPr>
      </w:pPr>
      <w:r>
        <w:rPr>
          <w:rFonts w:ascii="Arial;sans-serif" w:hAnsi="Arial;sans-serif"/>
          <w:b w:val="false"/>
          <w:i/>
          <w:sz w:val="20"/>
        </w:rPr>
        <w:t>Cost of revenues</w:t>
      </w:r>
      <w:r>
        <w:rPr>
          <w:rFonts w:ascii="Times New Roman" w:hAnsi="Times New Roman"/>
          <w:sz w:val="20"/>
        </w:rPr>
        <w:t xml:space="preserve"> </w:t>
      </w:r>
    </w:p>
    <w:p>
      <w:pPr>
        <w:pStyle w:val="TextBody"/>
        <w:bidi w:val="0"/>
        <w:spacing w:before="0" w:after="0"/>
        <w:jc w:val="left"/>
        <w:rPr/>
      </w:pPr>
      <w:r>
        <w:rPr/>
        <w:t> </w:t>
      </w:r>
    </w:p>
    <w:tbl>
      <w:tblPr>
        <w:tblW w:w="758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 of product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 of service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cost of revenues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Cost of revenues increased $127.1 million due to increases of $79.2 million in cost of service revenues and a $48.0 million in cost of product revenues. The cost of service revenues increase was primarily due to increased service revenues, mainly from our satellite services and government systems segments, causing a $94.0 million increase in cost of service revenues on a constant margin basis. The increase in cost of service revenues was partially offset by higher margins, primarily driven by our satellite services and government systems segments. The cost of product revenues increase was primarily due to increased product revenues, mainly from our commercial networks and government systems segments, causing a $55.2 million increase in cost of product revenues on a constant margin basis. The increase in cost of product revenues was partially offset by higher margins, primarily driven by our government systems segment.</w:t>
      </w:r>
    </w:p>
    <w:p>
      <w:pPr>
        <w:pStyle w:val="TextBody"/>
        <w:bidi w:val="0"/>
        <w:spacing w:before="280" w:after="0"/>
        <w:jc w:val="left"/>
        <w:rPr>
          <w:rFonts w:ascii="Times New Roman" w:hAnsi="Times New Roman"/>
          <w:sz w:val="20"/>
        </w:rPr>
      </w:pPr>
      <w:r>
        <w:rPr>
          <w:rFonts w:ascii="Arial;sans-serif" w:hAnsi="Arial;sans-serif"/>
          <w:b w:val="false"/>
          <w:i/>
          <w:sz w:val="20"/>
        </w:rPr>
        <w:t>Selling, general and administrative expenses</w:t>
      </w:r>
      <w:r>
        <w:rPr>
          <w:rFonts w:ascii="Times New Roman" w:hAnsi="Times New Roman"/>
          <w:sz w:val="20"/>
        </w:rPr>
        <w:t xml:space="preserve"> </w:t>
      </w:r>
    </w:p>
    <w:p>
      <w:pPr>
        <w:pStyle w:val="TextBody"/>
        <w:bidi w:val="0"/>
        <w:spacing w:before="0" w:after="0"/>
        <w:jc w:val="left"/>
        <w:rPr/>
      </w:pPr>
      <w:r>
        <w:rPr/>
        <w:t> </w:t>
      </w:r>
    </w:p>
    <w:tbl>
      <w:tblPr>
        <w:tblW w:w="7989" w:type="dxa"/>
        <w:jc w:val="left"/>
        <w:tblInd w:w="0" w:type="dxa"/>
        <w:tblLayout w:type="fixed"/>
        <w:tblCellMar>
          <w:top w:w="28" w:type="dxa"/>
          <w:left w:w="28" w:type="dxa"/>
          <w:bottom w:w="28" w:type="dxa"/>
          <w:right w:w="28" w:type="dxa"/>
        </w:tblCellMar>
      </w:tblPr>
      <w:tblGrid>
        <w:gridCol w:w="3106"/>
        <w:gridCol w:w="146"/>
        <w:gridCol w:w="211"/>
        <w:gridCol w:w="586"/>
        <w:gridCol w:w="146"/>
        <w:gridCol w:w="146"/>
        <w:gridCol w:w="211"/>
        <w:gridCol w:w="586"/>
        <w:gridCol w:w="146"/>
        <w:gridCol w:w="146"/>
        <w:gridCol w:w="288"/>
        <w:gridCol w:w="657"/>
        <w:gridCol w:w="146"/>
        <w:gridCol w:w="146"/>
        <w:gridCol w:w="313"/>
        <w:gridCol w:w="678"/>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$48.0 million increase in selling, general and administrative (SG&amp;A) expenses reflected an increase in support costs of $44.3 million, reflected across all three of our segments. The increase in SG&amp;A expenses was also driven by $4.9 million in higher selling costs, reflected primarily in our government systems segment.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0"/>
        <w:jc w:val="left"/>
        <w:rPr>
          <w:rFonts w:ascii="Times New Roman" w:hAnsi="Times New Roman"/>
          <w:sz w:val="20"/>
        </w:rPr>
      </w:pPr>
      <w:r>
        <w:rPr>
          <w:rFonts w:ascii="Arial;sans-serif" w:hAnsi="Arial;sans-serif"/>
          <w:b w:val="false"/>
          <w:i/>
          <w:sz w:val="20"/>
        </w:rPr>
        <w:t>Independent research and development</w:t>
      </w:r>
      <w:r>
        <w:rPr>
          <w:rFonts w:ascii="Times New Roman" w:hAnsi="Times New Roman"/>
          <w:sz w:val="20"/>
        </w:rPr>
        <w:t xml:space="preserve"> </w:t>
      </w:r>
    </w:p>
    <w:p>
      <w:pPr>
        <w:pStyle w:val="TextBody"/>
        <w:bidi w:val="0"/>
        <w:spacing w:before="0" w:after="0"/>
        <w:jc w:val="left"/>
        <w:rPr/>
      </w:pPr>
      <w:r>
        <w:rPr/>
        <w:t> </w:t>
      </w:r>
    </w:p>
    <w:tbl>
      <w:tblPr>
        <w:tblW w:w="8452" w:type="dxa"/>
        <w:jc w:val="left"/>
        <w:tblInd w:w="0" w:type="dxa"/>
        <w:tblLayout w:type="fixed"/>
        <w:tblCellMar>
          <w:top w:w="28" w:type="dxa"/>
          <w:left w:w="28" w:type="dxa"/>
          <w:bottom w:w="28" w:type="dxa"/>
          <w:right w:w="28" w:type="dxa"/>
        </w:tblCellMar>
      </w:tblPr>
      <w:tblGrid>
        <w:gridCol w:w="3541"/>
        <w:gridCol w:w="146"/>
        <w:gridCol w:w="233"/>
        <w:gridCol w:w="532"/>
        <w:gridCol w:w="152"/>
        <w:gridCol w:w="152"/>
        <w:gridCol w:w="233"/>
        <w:gridCol w:w="532"/>
        <w:gridCol w:w="146"/>
        <w:gridCol w:w="146"/>
        <w:gridCol w:w="307"/>
        <w:gridCol w:w="638"/>
        <w:gridCol w:w="166"/>
        <w:gridCol w:w="146"/>
        <w:gridCol w:w="277"/>
        <w:gridCol w:w="714"/>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Independent research and development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29.0</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$5.8 million decrease in independent research and development (IR&amp;D) expenses was mainly the result of an $7.5 million decrease in IR&amp;D efforts in our commercial networks segment (primarily related to decreased IR&amp;D expenses for next-generation consumer broadband integrated networking technologies and next-generation satellite payload technologies). This overall decrease was slightly offset by an insignificant increase in our government systems segment.</w:t>
      </w:r>
    </w:p>
    <w:p>
      <w:pPr>
        <w:pStyle w:val="TextBody"/>
        <w:bidi w:val="0"/>
        <w:spacing w:before="240" w:after="0"/>
        <w:jc w:val="center"/>
        <w:rPr>
          <w:rFonts w:ascii="Arial;sans-serif" w:hAnsi="Arial;sans-serif"/>
          <w:b w:val="false"/>
          <w:sz w:val="20"/>
        </w:rPr>
      </w:pPr>
      <w:r>
        <w:rPr>
          <w:rFonts w:ascii="Arial;sans-serif" w:hAnsi="Arial;sans-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val="false"/>
          <w:i/>
          <w:sz w:val="20"/>
        </w:rPr>
        <w:t>Amortization of acquired intangible assets</w:t>
      </w:r>
      <w:r>
        <w:rPr>
          <w:rFonts w:ascii="Times New Roman" w:hAnsi="Times New Roman"/>
          <w:sz w:val="20"/>
        </w:rPr>
        <w:t xml:space="preserve"> </w:t>
      </w:r>
    </w:p>
    <w:p>
      <w:pPr>
        <w:pStyle w:val="TextBody"/>
        <w:bidi w:val="0"/>
        <w:spacing w:before="80" w:after="180"/>
        <w:jc w:val="left"/>
        <w:rPr>
          <w:rFonts w:ascii="Arial;sans-serif" w:hAnsi="Arial;sans-serif"/>
          <w:b w:val="false"/>
          <w:sz w:val="20"/>
        </w:rPr>
      </w:pPr>
      <w:r>
        <w:rPr>
          <w:rFonts w:ascii="Arial;sans-serif" w:hAnsi="Arial;sans-serif"/>
          <w:b w:val="false"/>
          <w:sz w:val="20"/>
        </w:rPr>
        <w:t>We amortize our acquired intangible assets from prior acquisitions over their estimated useful lives, which range from two to 20 years. The $20.3 million increase in amortization of acquired intangible assets in the first quarter of fiscal year 2024 compared to the prior year period was primarily related to the amortization of new intangibles acquired as a result of the Inmarsat Acquisition in May 2023. The current and expected amortization for acquired intangible assets for each of the following periods is as follows:</w:t>
      </w:r>
    </w:p>
    <w:tbl>
      <w:tblPr>
        <w:tblW w:w="5753" w:type="dxa"/>
        <w:jc w:val="left"/>
        <w:tblInd w:w="0" w:type="dxa"/>
        <w:tblLayout w:type="fixed"/>
        <w:tblCellMar>
          <w:top w:w="28" w:type="dxa"/>
          <w:left w:w="28" w:type="dxa"/>
          <w:bottom w:w="28" w:type="dxa"/>
          <w:right w:w="28" w:type="dxa"/>
        </w:tblCellMar>
      </w:tblPr>
      <w:tblGrid>
        <w:gridCol w:w="4141"/>
        <w:gridCol w:w="146"/>
        <w:gridCol w:w="229"/>
        <w:gridCol w:w="104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 the three months ended June 30, 2023</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27,811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the remainder of fiscal year 2024</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204,988</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2025</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271,553</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2026</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271,401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2027</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271,401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for fiscal year 2028</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271,401</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1,255,386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2,546,130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left"/>
        <w:rPr>
          <w:rFonts w:ascii="Times New Roman" w:hAnsi="Times New Roman"/>
          <w:sz w:val="20"/>
        </w:rPr>
      </w:pPr>
      <w:r>
        <w:rPr>
          <w:rFonts w:ascii="Arial;sans-serif" w:hAnsi="Arial;sans-serif"/>
          <w:b w:val="false"/>
          <w:i/>
          <w:sz w:val="20"/>
        </w:rPr>
        <w:t>Interest income</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The $19.1 million increase in interest income for the three months ended June 30, 2023 compared to the prior year period was primarily due to the interest earned on the invested portion of the cash related to proceeds of approximately $1.9 billion received from L3Harris in the Link-16 TDL Sale.</w:t>
      </w:r>
    </w:p>
    <w:p>
      <w:pPr>
        <w:pStyle w:val="TextBody"/>
        <w:bidi w:val="0"/>
        <w:spacing w:before="280" w:after="0"/>
        <w:jc w:val="left"/>
        <w:rPr>
          <w:rFonts w:ascii="Times New Roman" w:hAnsi="Times New Roman"/>
          <w:sz w:val="20"/>
        </w:rPr>
      </w:pPr>
      <w:r>
        <w:rPr>
          <w:rFonts w:ascii="Arial;sans-serif" w:hAnsi="Arial;sans-serif"/>
          <w:b w:val="false"/>
          <w:i/>
          <w:sz w:val="20"/>
        </w:rPr>
        <w:t>Interest expense</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The $50.1 million increase in interest expense for the three months ended June 30, 2023 compared to the prior year period was primarily the result of an increase in interest expense related to the 2023 Term Loan Facility and Bridge Facility entered into at the closing of the Inmarsat Acquisition on May 30, 2023, as well as the effects of interest expense in respect of the indebtedness of Inmarsat for the one-month period following the Inmarsat Acquisition. The increase in interest expense was partially offset by an increase in the amount of interest capitalized during the first quarter of fiscal year 2024 compared to the prior year period.</w:t>
      </w:r>
    </w:p>
    <w:p>
      <w:pPr>
        <w:pStyle w:val="TextBody"/>
        <w:bidi w:val="0"/>
        <w:spacing w:before="280" w:after="0"/>
        <w:jc w:val="left"/>
        <w:rPr>
          <w:rFonts w:ascii="Times New Roman" w:hAnsi="Times New Roman"/>
          <w:sz w:val="20"/>
        </w:rPr>
      </w:pPr>
      <w:r>
        <w:rPr>
          <w:rFonts w:ascii="Arial;sans-serif" w:hAnsi="Arial;sans-serif"/>
          <w:b w:val="false"/>
          <w:i/>
          <w:sz w:val="20"/>
        </w:rPr>
        <w:t>Income taxes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For the three months ended June 30, 2023, we recorded an income tax benefit of an insignificant amount resulting in an effective tax rate of 1%. The effective tax rate for the period differed from the U.S statutory rate due primarily due to the benefit of federal R&amp;D tax credits offset by expense for non-deductible transaction costs related to the Inmarsat Acquisition. For the three months ended June 30, 2022, we recorded an income tax benefit of $22.8 million, resulting in an effective tax rate of 37%. The effective tax rate for the period differed from the U.S. statutory rate primarily due to the benefit of federal R&amp;D tax credits.</w:t>
      </w:r>
    </w:p>
    <w:p>
      <w:pPr>
        <w:pStyle w:val="TextBody"/>
        <w:bidi w:val="0"/>
        <w:spacing w:before="280" w:after="0"/>
        <w:jc w:val="left"/>
        <w:rPr>
          <w:rFonts w:ascii="Arial;sans-serif" w:hAnsi="Arial;sans-serif"/>
          <w:b/>
          <w:sz w:val="20"/>
        </w:rPr>
      </w:pPr>
      <w:r>
        <w:rPr>
          <w:rFonts w:ascii="Arial;sans-serif" w:hAnsi="Arial;sans-serif"/>
          <w:b/>
          <w:sz w:val="20"/>
        </w:rPr>
        <w:t>Segment Results for the Three Months Ended June 30, 2023 vs. Three Months Ended June 30, 2022</w:t>
      </w:r>
    </w:p>
    <w:p>
      <w:pPr>
        <w:pStyle w:val="TextBody"/>
        <w:bidi w:val="0"/>
        <w:spacing w:before="80" w:after="0"/>
        <w:jc w:val="left"/>
        <w:rPr>
          <w:rFonts w:ascii="Times New Roman" w:hAnsi="Times New Roman"/>
          <w:sz w:val="20"/>
        </w:rPr>
      </w:pPr>
      <w:r>
        <w:rPr>
          <w:rFonts w:ascii="Arial;sans-serif" w:hAnsi="Arial;sans-serif"/>
          <w:b/>
          <w:i/>
          <w:sz w:val="20"/>
        </w:rPr>
        <w:t>Satellite services segment</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p>
      <w:pPr>
        <w:pStyle w:val="TextBody"/>
        <w:bidi w:val="0"/>
        <w:spacing w:before="0" w:after="0"/>
        <w:jc w:val="left"/>
        <w:rPr/>
      </w:pPr>
      <w:r>
        <w:rPr/>
        <w:t> </w:t>
      </w:r>
    </w:p>
    <w:tbl>
      <w:tblPr>
        <w:tblW w:w="758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88"/>
        <w:gridCol w:w="657"/>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increase of $86.4 million in our satellite services segment revenues for the three months ended June 30, 2023 compared to the prior year period was primarily due to the Inmarsat Acquisition in May 2023 and an increase in our in-flight services business. The Inmarsat Acquisition contributed approximately $85.7 million of service revenues (approximately half from maritime services) in our satellite services segment in the first quarter of fiscal year 2024 for the one-month period following the closing of the acquisition. Our in-flight services business service revenue increased $49.3 million as the number of commercial aircraft receiving our in-flight services through IFC systems and passenger air traffic both continued to increase. The increase in our satellite services segment revenues was partially offset by lower fixed broadband revenues in the United States as we allocated a greater proportion of our bandwidth to our IFC business due to bandwidth constraints.</w:t>
      </w:r>
    </w:p>
    <w:p>
      <w:pPr>
        <w:pStyle w:val="TextBody"/>
        <w:bidi w:val="0"/>
        <w:spacing w:before="280" w:after="0"/>
        <w:jc w:val="left"/>
        <w:rPr>
          <w:rFonts w:ascii="Arial;sans-serif" w:hAnsi="Arial;sans-serif"/>
          <w:b w:val="false"/>
          <w:i/>
          <w:sz w:val="20"/>
        </w:rPr>
      </w:pPr>
      <w:r>
        <w:rPr>
          <w:rFonts w:ascii="Arial;sans-serif" w:hAnsi="Arial;sans-serif"/>
          <w:b w:val="false"/>
          <w:i/>
          <w:sz w:val="20"/>
        </w:rPr>
        <w:t>Segment operating profit (loss)</w:t>
      </w:r>
    </w:p>
    <w:p>
      <w:pPr>
        <w:pStyle w:val="TextBody"/>
        <w:bidi w:val="0"/>
        <w:spacing w:before="0" w:after="0"/>
        <w:jc w:val="left"/>
        <w:rPr/>
      </w:pPr>
      <w:r>
        <w:rPr/>
        <w:t> </w:t>
      </w:r>
    </w:p>
    <w:tbl>
      <w:tblPr>
        <w:tblW w:w="8110" w:type="dxa"/>
        <w:jc w:val="left"/>
        <w:tblInd w:w="0" w:type="dxa"/>
        <w:tblLayout w:type="fixed"/>
        <w:tblCellMar>
          <w:top w:w="28" w:type="dxa"/>
          <w:left w:w="28" w:type="dxa"/>
          <w:bottom w:w="28" w:type="dxa"/>
          <w:right w:w="28" w:type="dxa"/>
        </w:tblCellMar>
      </w:tblPr>
      <w:tblGrid>
        <w:gridCol w:w="3001"/>
        <w:gridCol w:w="146"/>
        <w:gridCol w:w="233"/>
        <w:gridCol w:w="532"/>
        <w:gridCol w:w="293"/>
        <w:gridCol w:w="149"/>
        <w:gridCol w:w="275"/>
        <w:gridCol w:w="490"/>
        <w:gridCol w:w="286"/>
        <w:gridCol w:w="146"/>
        <w:gridCol w:w="288"/>
        <w:gridCol w:w="657"/>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w:t>
            </w:r>
          </w:p>
        </w:tc>
        <w:tc>
          <w:tcPr>
            <w:tcW w:w="293"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increase in our satellite services segment operating profit was driven primarily by higher earnings contributions of $29.2 million, mainly due to an increase in revenues and improved margins from the Inmarsat Acquisition in May 2023 and our in-flight services business as it continues to scale. The increase in operating profit was partially offset by higher SG&amp;A costs of $19.1 million, of which $16.5 million related to the Inmarsat Acquisition in the first quarter of fiscal year 2024 for the one-month period following the closing of the acquisition.</w:t>
      </w:r>
    </w:p>
    <w:p>
      <w:pPr>
        <w:pStyle w:val="TextBody"/>
        <w:bidi w:val="0"/>
        <w:spacing w:before="280" w:after="0"/>
        <w:jc w:val="left"/>
        <w:rPr>
          <w:rFonts w:ascii="Times New Roman" w:hAnsi="Times New Roman"/>
          <w:sz w:val="20"/>
        </w:rPr>
      </w:pPr>
      <w:r>
        <w:rPr>
          <w:rFonts w:ascii="Arial;sans-serif" w:hAnsi="Arial;sans-serif"/>
          <w:b/>
          <w:i/>
          <w:sz w:val="20"/>
        </w:rPr>
        <w:t>Commercial networks segment</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p>
      <w:pPr>
        <w:pStyle w:val="TextBody"/>
        <w:bidi w:val="0"/>
        <w:spacing w:before="0" w:after="0"/>
        <w:jc w:val="left"/>
        <w:rPr/>
      </w:pPr>
      <w:r>
        <w:rPr/>
        <w:t> </w:t>
      </w:r>
    </w:p>
    <w:tbl>
      <w:tblPr>
        <w:tblW w:w="758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commercial networks segment revenues increased by $35.8 million, due to a $34.3 million increase in product revenues and a $1.5 million increase in service revenues. The increase in product revenues was primarily due to an increase of $24.8 million in mobile broadband satellite communication systems products, related to higher IFC terminal shipments. The increase in service revenues was primarily driven by an increase in mobile broadband satellite communication systems services.</w:t>
      </w:r>
    </w:p>
    <w:p>
      <w:pPr>
        <w:pStyle w:val="TextBody"/>
        <w:bidi w:val="0"/>
        <w:spacing w:before="280" w:after="0"/>
        <w:jc w:val="left"/>
        <w:rPr>
          <w:rFonts w:ascii="Times New Roman" w:hAnsi="Times New Roman"/>
          <w:sz w:val="20"/>
        </w:rPr>
      </w:pPr>
      <w:r>
        <w:rPr>
          <w:rFonts w:ascii="Arial;sans-serif" w:hAnsi="Arial;sans-serif"/>
          <w:b w:val="false"/>
          <w:i/>
          <w:sz w:val="20"/>
        </w:rPr>
        <w:t>Segment operating profit (loss)</w:t>
      </w:r>
      <w:r>
        <w:rPr>
          <w:rFonts w:ascii="Times New Roman" w:hAnsi="Times New Roman"/>
          <w:sz w:val="20"/>
        </w:rPr>
        <w:t xml:space="preserve"> </w:t>
      </w:r>
    </w:p>
    <w:p>
      <w:pPr>
        <w:pStyle w:val="TextBody"/>
        <w:bidi w:val="0"/>
        <w:spacing w:before="0" w:after="0"/>
        <w:jc w:val="left"/>
        <w:rPr/>
      </w:pPr>
      <w:r>
        <w:rPr/>
        <w:t> </w:t>
      </w:r>
    </w:p>
    <w:tbl>
      <w:tblPr>
        <w:tblW w:w="8161" w:type="dxa"/>
        <w:jc w:val="left"/>
        <w:tblInd w:w="0" w:type="dxa"/>
        <w:tblLayout w:type="fixed"/>
        <w:tblCellMar>
          <w:top w:w="28" w:type="dxa"/>
          <w:left w:w="28" w:type="dxa"/>
          <w:bottom w:w="28" w:type="dxa"/>
          <w:right w:w="28" w:type="dxa"/>
        </w:tblCellMar>
      </w:tblPr>
      <w:tblGrid>
        <w:gridCol w:w="3001"/>
        <w:gridCol w:w="146"/>
        <w:gridCol w:w="214"/>
        <w:gridCol w:w="551"/>
        <w:gridCol w:w="346"/>
        <w:gridCol w:w="146"/>
        <w:gridCol w:w="214"/>
        <w:gridCol w:w="551"/>
        <w:gridCol w:w="346"/>
        <w:gridCol w:w="146"/>
        <w:gridCol w:w="318"/>
        <w:gridCol w:w="568"/>
        <w:gridCol w:w="146"/>
        <w:gridCol w:w="146"/>
        <w:gridCol w:w="405"/>
        <w:gridCol w:w="58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(46.7</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(49.4</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6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decrease in our commercial networks segment operating loss was primarily due to a decrease in IR&amp;D expenses of $7.5 million (primarily related to next-generation consumer broadband integrated networking technologies and next-generation satellite payload technologies) and higher earnings contributions of $1.6 million. The decrease in commercial networks segment operating loss was partially offset by higher SG&amp;A costs of $6.4 million.</w:t>
      </w:r>
    </w:p>
    <w:p>
      <w:pPr>
        <w:pStyle w:val="TextBody"/>
        <w:bidi w:val="0"/>
        <w:spacing w:before="280" w:after="0"/>
        <w:jc w:val="left"/>
        <w:rPr>
          <w:rFonts w:ascii="Times New Roman" w:hAnsi="Times New Roman"/>
          <w:sz w:val="20"/>
        </w:rPr>
      </w:pPr>
      <w:r>
        <w:rPr>
          <w:rFonts w:ascii="Arial;sans-serif" w:hAnsi="Arial;sans-serif"/>
          <w:b/>
          <w:i/>
          <w:sz w:val="20"/>
        </w:rPr>
        <w:t>Government systems segment</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i/>
          <w:sz w:val="20"/>
        </w:rPr>
        <w:t>Revenues</w:t>
      </w:r>
      <w:r>
        <w:rPr>
          <w:rFonts w:ascii="Times New Roman" w:hAnsi="Times New Roman"/>
          <w:sz w:val="20"/>
        </w:rPr>
        <w:t xml:space="preserve"> </w:t>
      </w:r>
    </w:p>
    <w:p>
      <w:pPr>
        <w:pStyle w:val="TextBody"/>
        <w:bidi w:val="0"/>
        <w:spacing w:before="0" w:after="0"/>
        <w:jc w:val="left"/>
        <w:rPr/>
      </w:pPr>
      <w:r>
        <w:rPr/>
        <w:t> </w:t>
      </w:r>
    </w:p>
    <w:tbl>
      <w:tblPr>
        <w:tblW w:w="7584" w:type="dxa"/>
        <w:jc w:val="left"/>
        <w:tblInd w:w="0" w:type="dxa"/>
        <w:tblLayout w:type="fixed"/>
        <w:tblCellMar>
          <w:top w:w="28" w:type="dxa"/>
          <w:left w:w="28" w:type="dxa"/>
          <w:bottom w:w="28" w:type="dxa"/>
          <w:right w:w="28" w:type="dxa"/>
        </w:tblCellMar>
      </w:tblPr>
      <w:tblGrid>
        <w:gridCol w:w="2701"/>
        <w:gridCol w:w="146"/>
        <w:gridCol w:w="211"/>
        <w:gridCol w:w="586"/>
        <w:gridCol w:w="146"/>
        <w:gridCol w:w="146"/>
        <w:gridCol w:w="211"/>
        <w:gridCol w:w="586"/>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product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service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segment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Our government systems segment revenues increased by $82.5 million due to an increase of $53.0 million in service revenues, and a $29.6 million increase in product revenues. The service revenue increase was primarily due to the Inmarsat Acquisition in May 2023 and a $6.8 million increase in government mobile broadband services. The Inmarsat Acquisition contributed approximately $40.2 million of service revenues in our government systems segment in the first quarter of fiscal year 2024 for the one-month period following the closing of the acquisition. The product revenue increase was primarily driven by a $25.3 million increase in cybersecurity and information assurance products and $5.1 million in government satellite communication systems.</w:t>
      </w:r>
    </w:p>
    <w:p>
      <w:pPr>
        <w:pStyle w:val="TextBody"/>
        <w:bidi w:val="0"/>
        <w:spacing w:before="280" w:after="0"/>
        <w:jc w:val="left"/>
        <w:rPr>
          <w:rFonts w:ascii="Arial;sans-serif" w:hAnsi="Arial;sans-serif"/>
          <w:b w:val="false"/>
          <w:i/>
          <w:sz w:val="20"/>
        </w:rPr>
      </w:pPr>
      <w:r>
        <w:rPr>
          <w:rFonts w:ascii="Arial;sans-serif" w:hAnsi="Arial;sans-serif"/>
          <w:b w:val="false"/>
          <w:i/>
          <w:sz w:val="20"/>
        </w:rPr>
        <w:t>Segment operating profit (loss)</w:t>
      </w:r>
    </w:p>
    <w:p>
      <w:pPr>
        <w:pStyle w:val="TextBody"/>
        <w:bidi w:val="0"/>
        <w:spacing w:before="0" w:after="0"/>
        <w:jc w:val="left"/>
        <w:rPr/>
      </w:pPr>
      <w:r>
        <w:rPr/>
        <w:t> </w:t>
      </w:r>
    </w:p>
    <w:tbl>
      <w:tblPr>
        <w:tblW w:w="8220" w:type="dxa"/>
        <w:jc w:val="left"/>
        <w:tblInd w:w="0" w:type="dxa"/>
        <w:tblLayout w:type="fixed"/>
        <w:tblCellMar>
          <w:top w:w="28" w:type="dxa"/>
          <w:left w:w="28" w:type="dxa"/>
          <w:bottom w:w="28" w:type="dxa"/>
          <w:right w:w="28" w:type="dxa"/>
        </w:tblCellMar>
      </w:tblPr>
      <w:tblGrid>
        <w:gridCol w:w="3001"/>
        <w:gridCol w:w="146"/>
        <w:gridCol w:w="233"/>
        <w:gridCol w:w="532"/>
        <w:gridCol w:w="286"/>
        <w:gridCol w:w="146"/>
        <w:gridCol w:w="249"/>
        <w:gridCol w:w="516"/>
        <w:gridCol w:w="346"/>
        <w:gridCol w:w="146"/>
        <w:gridCol w:w="288"/>
        <w:gridCol w:w="657"/>
        <w:gridCol w:w="146"/>
        <w:gridCol w:w="146"/>
        <w:gridCol w:w="197"/>
        <w:gridCol w:w="794"/>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Percentage</w:t>
            </w:r>
          </w:p>
        </w:tc>
        <w:tc>
          <w:tcPr>
            <w:tcW w:w="391" w:type="dxa"/>
            <w:tcBorders/>
            <w:vAlign w:val="center"/>
          </w:tcPr>
          <w:p>
            <w:pPr>
              <w:pStyle w:val="TableContents"/>
              <w:bidi w:val="0"/>
              <w:spacing w:before="0" w:after="0"/>
              <w:ind w:left="0" w:right="0" w:hanging="0"/>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millions, except percentages)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Increase</w:t>
              <w:br/>
              <w:t>(Decrease)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Segment operating profit (loss)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(2097</w:t>
            </w:r>
          </w:p>
        </w:tc>
        <w:tc>
          <w:tcPr>
            <w:tcW w:w="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Percentage of segment revenues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$22.6 million increase in our government systems segment operating profit was primarily driven by higher earnings contributions of $46.8 million, primarily due to increased revenues from the Inmarsat Acquisition in May 2023. The increase in operating profit was partially offset by a $22.4 million increase in SG&amp;A costs, of which $9.9 million related to the Inmarsat Acquisition in the first quarter of fiscal year 2024 for the one-month period following the closing of the acquisition.</w:t>
      </w:r>
    </w:p>
    <w:p>
      <w:pPr>
        <w:pStyle w:val="TextBody"/>
        <w:bidi w:val="0"/>
        <w:spacing w:before="280" w:after="0"/>
        <w:jc w:val="left"/>
        <w:rPr>
          <w:rFonts w:ascii="Arial;sans-serif" w:hAnsi="Arial;sans-serif"/>
          <w:b/>
          <w:sz w:val="20"/>
        </w:rPr>
      </w:pPr>
      <w:r>
        <w:rPr>
          <w:rFonts w:ascii="Arial;sans-serif" w:hAnsi="Arial;sans-serif"/>
          <w:b/>
          <w:sz w:val="20"/>
        </w:rPr>
        <w:t>Backlog</w:t>
      </w:r>
    </w:p>
    <w:p>
      <w:pPr>
        <w:pStyle w:val="TextBody"/>
        <w:bidi w:val="0"/>
        <w:spacing w:before="80" w:after="0"/>
        <w:jc w:val="left"/>
        <w:rPr>
          <w:rFonts w:ascii="Arial;sans-serif" w:hAnsi="Arial;sans-serif"/>
          <w:b w:val="false"/>
          <w:sz w:val="20"/>
        </w:rPr>
      </w:pPr>
      <w:r>
        <w:rPr>
          <w:rFonts w:ascii="Arial;sans-serif" w:hAnsi="Arial;sans-serif"/>
          <w:b w:val="false"/>
          <w:sz w:val="20"/>
        </w:rPr>
        <w:t>Our firm and funded backlog as of June 30, 2023 is reflected in the table below.</w:t>
      </w:r>
    </w:p>
    <w:p>
      <w:pPr>
        <w:pStyle w:val="TextBody"/>
        <w:bidi w:val="0"/>
        <w:spacing w:before="0" w:after="0"/>
        <w:jc w:val="left"/>
        <w:rPr/>
      </w:pPr>
      <w:r>
        <w:rPr/>
        <w:t> </w:t>
      </w:r>
    </w:p>
    <w:tbl>
      <w:tblPr>
        <w:tblW w:w="4358" w:type="dxa"/>
        <w:jc w:val="left"/>
        <w:tblInd w:w="0" w:type="dxa"/>
        <w:tblLayout w:type="fixed"/>
        <w:tblCellMar>
          <w:top w:w="28" w:type="dxa"/>
          <w:left w:w="28" w:type="dxa"/>
          <w:bottom w:w="28" w:type="dxa"/>
          <w:right w:w="28" w:type="dxa"/>
        </w:tblCellMar>
      </w:tblPr>
      <w:tblGrid>
        <w:gridCol w:w="2806"/>
        <w:gridCol w:w="146"/>
        <w:gridCol w:w="266"/>
        <w:gridCol w:w="949"/>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As of</w:t>
              <w:br/>
              <w:t>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Firm backlog</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 segment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4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1,984.4</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 segment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849.9</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 segment</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1,014.8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3,849.1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Funded backlog</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Satellite services segment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4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1,984.4</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networks segment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811.9</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Government systems segment</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950.9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3,747.2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The firm backlog does not include contract options. As of June 30, 2023, almost half of the firm backlog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June 30, 2023, our IFC systems were installed and in service on approximately 3,270 commercial aircraft of which approximately 40 were inactive at quarter end (mostly due to standard aircraft maintenance). We anticipate that approximately 1,600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lingering impacts of the COVID-19 pandemic on the global airline industry. Accordingly, there can be no assurance that all anticipated purchase orders and requests will be placed or that anticipated IFC services will be activated.</w:t>
      </w:r>
    </w:p>
    <w:p>
      <w:pPr>
        <w:pStyle w:val="TextBody"/>
        <w:bidi w:val="0"/>
        <w:spacing w:before="180" w:after="0"/>
        <w:jc w:val="left"/>
        <w:rPr>
          <w:rFonts w:ascii="Arial;sans-serif" w:hAnsi="Arial;sans-serif"/>
          <w:b w:val="false"/>
          <w:sz w:val="20"/>
        </w:rPr>
      </w:pPr>
      <w:r>
        <w:rPr>
          <w:rFonts w:ascii="Arial;sans-serif" w:hAnsi="Arial;sans-serif"/>
          <w:b w:val="false"/>
          <w:sz w:val="20"/>
        </w:rPr>
        <w:t>Our total new awards which exclude future revenue under recurring consumer commitment arrangements were approximately $803.0 million compared to approximately $782.6 million (of which $118.0 million was attributable to discontinued operations) for the three months ended June 30, 2023 and 2022, respectively.</w:t>
      </w:r>
    </w:p>
    <w:p>
      <w:pPr>
        <w:pStyle w:val="TextBody"/>
        <w:bidi w:val="0"/>
        <w:spacing w:before="180" w:after="0"/>
        <w:jc w:val="left"/>
        <w:rPr>
          <w:rFonts w:ascii="Arial;sans-serif" w:hAnsi="Arial;sans-serif"/>
          <w:b w:val="false"/>
          <w:sz w:val="20"/>
        </w:rPr>
      </w:pPr>
      <w:r>
        <w:rPr>
          <w:rFonts w:ascii="Arial;sans-serif" w:hAnsi="Arial;sans-serif"/>
          <w:b w:val="false"/>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pStyle w:val="TextBody"/>
        <w:bidi w:val="0"/>
        <w:spacing w:before="180" w:after="0"/>
        <w:jc w:val="left"/>
        <w:rPr>
          <w:rFonts w:ascii="Times New Roman" w:hAnsi="Times New Roman"/>
          <w:sz w:val="20"/>
        </w:rPr>
      </w:pPr>
      <w:r>
        <w:rPr>
          <w:rFonts w:ascii="Arial;sans-serif" w:hAnsi="Arial;sans-serif"/>
          <w:b w:val="false"/>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sz w:val="20"/>
        </w:rPr>
        <w:t>Liquidity and Capital Resources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i/>
          <w:sz w:val="20"/>
        </w:rPr>
        <w:t>Overview</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We have financed our operations to date primarily with cash flows from operations, bank line of credit financing, debt financing, export credit agency financing and equity financing. At June 30, 2023, we had $2.0 billion in cash and cash equivalents and restricted cash, $134.3 million in short-term investments, $2.0 billion in working capital, no outstanding borrowings and borrowing availability of $661.9 million under Viasat's $700.0 million revolving credit facility (the Viasat Revolving Credit Facility), and no outstanding borrowings and borrowing availability of $700.0 million under Inmarsat's $700.0 million revolving line of credit (the Inmarsat Revolving Credit Facility and, together with the Viasat Revolving Credit Facility, the Revolving Credit Facilities). At March 31, 2023, we had $1.4 billion in cash and cash equivalents and restricted cash, $1.3 billion in working capital, and no outstanding borrowings and borrowing availability of $657.4 million under the Viasat Revolving Credit Facility. We invest our cash in excess of current operating requirements in short-term, highly liquid bank money market funds primarily investing in U.S. government-backed securities and treasuries.</w:t>
      </w:r>
    </w:p>
    <w:p>
      <w:pPr>
        <w:pStyle w:val="TextBody"/>
        <w:bidi w:val="0"/>
        <w:spacing w:before="180" w:after="0"/>
        <w:jc w:val="left"/>
        <w:rPr>
          <w:rFonts w:ascii="Arial;sans-serif" w:hAnsi="Arial;sans-serif"/>
          <w:b w:val="false"/>
          <w:sz w:val="20"/>
        </w:rPr>
      </w:pPr>
      <w:r>
        <w:rPr>
          <w:rFonts w:ascii="Arial;sans-serif" w:hAnsi="Arial;sans-serif"/>
          <w:b w:val="false"/>
          <w:sz w:val="20"/>
        </w:rPr>
        <w:t>The general cash needs of our satellite services, commercial networks and government systems segments can vary significantly and our future capital requirements will depend upon many factors, including cash required for our satellite projects and any future broadband satellite projects we may engage in, expansion of our IR&amp;D and marketing efforts, the nature and timing of orders and integration-related costs related to the Inmarsat Acquisition. In particular:</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pStyle w:val="TextBody"/>
        <w:bidi w:val="0"/>
        <w:spacing w:before="240" w:after="0"/>
        <w:jc w:val="center"/>
        <w:rPr>
          <w:rFonts w:ascii="Arial;sans-serif" w:hAnsi="Arial;sans-serif"/>
          <w:b w:val="false"/>
          <w:sz w:val="20"/>
        </w:rPr>
      </w:pPr>
      <w:r>
        <w:rPr>
          <w:rFonts w:ascii="Arial;sans-serif" w:hAnsi="Arial;sans-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pStyle w:val="TextBody"/>
        <w:bidi w:val="0"/>
        <w:spacing w:before="180" w:after="0"/>
        <w:jc w:val="left"/>
        <w:rPr>
          <w:rFonts w:ascii="Arial;sans-serif" w:hAnsi="Arial;sans-serif"/>
          <w:b w:val="false"/>
          <w:sz w:val="20"/>
        </w:rPr>
      </w:pPr>
      <w:r>
        <w:rPr>
          <w:rFonts w:ascii="Arial;sans-serif" w:hAnsi="Arial;sans-serif"/>
          <w:b w:val="false"/>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0"/>
        <w:jc w:val="left"/>
        <w:rPr>
          <w:rFonts w:ascii="Arial;sans-serif" w:hAnsi="Arial;sans-serif"/>
          <w:b w:val="false"/>
          <w:sz w:val="20"/>
        </w:rPr>
      </w:pPr>
      <w:r>
        <w:rPr>
          <w:rFonts w:ascii="Arial;sans-serif" w:hAnsi="Arial;sans-serif"/>
          <w:b w:val="false"/>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approximately $1.96 billion in cash, subject to adjustments.</w:t>
      </w:r>
    </w:p>
    <w:p>
      <w:pPr>
        <w:pStyle w:val="TextBody"/>
        <w:bidi w:val="0"/>
        <w:spacing w:before="180" w:after="0"/>
        <w:jc w:val="left"/>
        <w:rPr>
          <w:rFonts w:ascii="Arial;sans-serif" w:hAnsi="Arial;sans-serif"/>
          <w:b w:val="false"/>
          <w:sz w:val="20"/>
        </w:rPr>
      </w:pPr>
      <w:r>
        <w:rPr>
          <w:rFonts w:ascii="Arial;sans-serif" w:hAnsi="Arial;sans-serif"/>
          <w:b w:val="false"/>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80" w:after="0"/>
        <w:jc w:val="left"/>
        <w:rPr>
          <w:rFonts w:ascii="Times New Roman" w:hAnsi="Times New Roman"/>
          <w:sz w:val="20"/>
        </w:rPr>
      </w:pPr>
      <w:r>
        <w:rPr>
          <w:rFonts w:ascii="Arial;sans-serif" w:hAnsi="Arial;sans-serif"/>
          <w:b/>
          <w:i/>
          <w:sz w:val="20"/>
        </w:rPr>
        <w:t>Cash flows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Cash provided by operating activities for the first three months of fiscal year 2024 was $103.7 million compared to $39.6 million in the prior year period. This $64.0 million increase was driven by an $86.9 million year-over-year decrease in cash used to fund net operating assets, partially offset by our operating results (net income (loss) adjusted for depreciation, amortization and other non-cash charges) which resulted in $22.9 million of lower cash provided by operating activities year-over-year. The decrease in cash used to fund net operating assets during the first three months of fiscal year 2024 when compared to the prior year period was primarily due to a lower increase in combined billed and unbilled accounts receivable, net, and timing of payments related to our accounts payables.</w:t>
      </w:r>
    </w:p>
    <w:p>
      <w:pPr>
        <w:pStyle w:val="TextBody"/>
        <w:bidi w:val="0"/>
        <w:spacing w:before="180" w:after="0"/>
        <w:jc w:val="left"/>
        <w:rPr>
          <w:rFonts w:ascii="Arial;sans-serif" w:hAnsi="Arial;sans-serif"/>
          <w:b w:val="false"/>
          <w:sz w:val="20"/>
        </w:rPr>
      </w:pPr>
      <w:r>
        <w:rPr>
          <w:rFonts w:ascii="Arial;sans-serif" w:hAnsi="Arial;sans-serif"/>
          <w:b w:val="false"/>
          <w:sz w:val="20"/>
        </w:rPr>
        <w:t>Cash used in investing activities for the first three months of fiscal year 2024 was $769.5 million compared to $270.9 million in the prior year period. This $498.7 million increase in cash used in investing activities year-over-year reflects $342.6 million in cash (net of cash acquired) used for the Inmarsat Acquisition in the first quarter of fiscal year 2024, and an increase in cash used for capital expenditures of approximately $104.1 million (including cash used for Inmarsat capital expenditures since the date of acquisition).</w:t>
      </w:r>
    </w:p>
    <w:p>
      <w:pPr>
        <w:pStyle w:val="TextBody"/>
        <w:bidi w:val="0"/>
        <w:spacing w:before="180" w:after="0"/>
        <w:jc w:val="left"/>
        <w:rPr>
          <w:rFonts w:ascii="Arial;sans-serif" w:hAnsi="Arial;sans-serif"/>
          <w:b w:val="false"/>
          <w:sz w:val="20"/>
        </w:rPr>
      </w:pPr>
      <w:r>
        <w:rPr>
          <w:rFonts w:ascii="Arial;sans-serif" w:hAnsi="Arial;sans-serif"/>
          <w:b w:val="false"/>
          <w:sz w:val="20"/>
        </w:rPr>
        <w:t>Cash provided by financing activities for the first three months of fiscal year 2024 was $1.3 billion compared to $144.2 million for the prior year period. This $1.1 billion increase in cash provided by financing activities year-over-year was mainly due to proceeds from debt borrowings of $1.3 billion in the first quarter of fiscal year 2024 (see Note 8 — Senior Notes and Other Long-Term Debt for further information).</w:t>
      </w:r>
    </w:p>
    <w:p>
      <w:pPr>
        <w:pStyle w:val="TextBody"/>
        <w:bidi w:val="0"/>
        <w:spacing w:before="240" w:after="0"/>
        <w:jc w:val="center"/>
        <w:rPr>
          <w:rFonts w:ascii="Arial;sans-serif" w:hAnsi="Arial;sans-serif"/>
          <w:b w:val="false"/>
          <w:sz w:val="20"/>
        </w:rPr>
      </w:pPr>
      <w:r>
        <w:rPr>
          <w:rFonts w:ascii="Arial;sans-serif" w:hAnsi="Arial;sans-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i/>
          <w:sz w:val="20"/>
        </w:rPr>
        <w:t>Satellite-related activities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pStyle w:val="TextBody"/>
        <w:bidi w:val="0"/>
        <w:spacing w:before="180" w:after="0"/>
        <w:jc w:val="left"/>
        <w:rPr>
          <w:rFonts w:ascii="Arial;sans-serif" w:hAnsi="Arial;sans-serif"/>
          <w:b w:val="false"/>
          <w:sz w:val="20"/>
        </w:rPr>
      </w:pPr>
      <w:r>
        <w:rPr>
          <w:rFonts w:ascii="Arial;sans-serif" w:hAnsi="Arial;sans-serif"/>
          <w:b w:val="false"/>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13 — Commitments to our consolidated financial statements included in our Annual Report on Form 10-K for the year ended March 31, 2023 for information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180" w:after="0"/>
        <w:jc w:val="left"/>
        <w:rPr>
          <w:rFonts w:ascii="Times New Roman" w:hAnsi="Times New Roman"/>
          <w:sz w:val="20"/>
        </w:rPr>
      </w:pPr>
      <w:r>
        <w:rPr>
          <w:rFonts w:ascii="Arial;sans-serif" w:hAnsi="Arial;sans-serif"/>
          <w:b w:val="false"/>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experienced in the quarter ended June 30, 2023.</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i/>
          <w:sz w:val="20"/>
        </w:rPr>
        <w:t>Long-term debt</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As of June 30, 2023, the aggregate principal amount of our total outstanding indebtedness was $7.6 billion, which was comprised of (1) $700.0 million in principal amount of Viasat's 5.625% Senior Notes due 2025, $600.0 million in principal amount of Viasat's 5.625% Senior Secured Notes due 2027, $400.0 million in principal amount of Viasat's 6.500% Senior Notes due 2028 and $2.08 billion in principal amount of Inmarsat's 6.750% Senior Secured Notes due 2026 (collectively, the Notes), (2) $693.0 million in principal amount of outstanding borrowings under our $700.0 million senior secured term loan facility (the Term Loan Facility), $616.7 million in principal amount of outstanding borrowings under our 2023 Term Loan Facility, $733.4 million in principal amount of outstanding borrowings under our Bridge Facility, $1.69 billion in principal amount of outstanding borrowings under Inmarsat's $1.75 billion senior secured term loan facility (the Inmarsat Term Loan Facility and, together with the Inmarsat Revolving Credit Facility, the Inmarsat Secured Credit Facility), no outstanding borrowings under our Revolving Credit Facilities, and $49.1 million in principal amount of outstanding borrowings under our direct loan facility with the Export-Import Bank of the United States (the Ex-Im Credit Facility) (collectively, the Credit Facilities), and (3) $33.5 million of finance lease obligations. For information regarding our outstanding indebtedness, refer to Note 8 – Senior Notes and Other Long-Term Debt to our condensed consolidated financial statements.</w:t>
      </w:r>
    </w:p>
    <w:p>
      <w:pPr>
        <w:pStyle w:val="TextBody"/>
        <w:bidi w:val="0"/>
        <w:spacing w:before="280" w:after="0"/>
        <w:jc w:val="left"/>
        <w:rPr>
          <w:rFonts w:ascii="Arial;sans-serif" w:hAnsi="Arial;sans-serif"/>
          <w:b/>
          <w:i/>
          <w:sz w:val="20"/>
        </w:rPr>
      </w:pPr>
      <w:r>
        <w:rPr>
          <w:rFonts w:ascii="Arial;sans-serif" w:hAnsi="Arial;sans-serif"/>
          <w:b/>
          <w:i/>
          <w:sz w:val="20"/>
        </w:rPr>
        <w:t>Capital Expenditures and IR&amp;D Investments</w:t>
      </w:r>
    </w:p>
    <w:p>
      <w:pPr>
        <w:pStyle w:val="TextBody"/>
        <w:bidi w:val="0"/>
        <w:spacing w:before="80" w:after="0"/>
        <w:jc w:val="left"/>
        <w:rPr>
          <w:rFonts w:ascii="Arial;sans-serif" w:hAnsi="Arial;sans-serif"/>
          <w:b w:val="false"/>
          <w:sz w:val="20"/>
        </w:rPr>
      </w:pPr>
      <w:r>
        <w:rPr>
          <w:rFonts w:ascii="Arial;sans-serif" w:hAnsi="Arial;sans-serif"/>
          <w:b w:val="false"/>
          <w:sz w:val="20"/>
        </w:rPr>
        <w:t>For a discussion of our capital expenditures and IR&amp;D investments, see Part II, Item 7, “Liquidity and Capital Resources – Capital Expenditures and IR&amp;D Investments” in our Annual Report on Form 10-K for the year ended March 31, 2023.</w:t>
      </w:r>
    </w:p>
    <w:p>
      <w:pPr>
        <w:pStyle w:val="TextBody"/>
        <w:bidi w:val="0"/>
        <w:spacing w:before="240" w:after="0"/>
        <w:jc w:val="center"/>
        <w:rPr>
          <w:rFonts w:ascii="Arial;sans-serif" w:hAnsi="Arial;sans-serif"/>
          <w:b w:val="false"/>
          <w:sz w:val="20"/>
        </w:rPr>
      </w:pPr>
      <w:r>
        <w:rPr>
          <w:rFonts w:ascii="Arial;sans-serif" w:hAnsi="Arial;sans-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r>
        <w:rPr>
          <w:rFonts w:ascii="Arial;sans-serif" w:hAnsi="Arial;sans-serif"/>
          <w:b/>
          <w:sz w:val="20"/>
        </w:rPr>
        <w:t>Contractual Obligations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The following table sets forth a summary of certain material cash requirements for known contractual obligations and commitments at June 30, 2023:</w:t>
      </w:r>
      <w:r>
        <w:rPr>
          <w:rFonts w:ascii="Times New Roman" w:hAnsi="Times New Roman"/>
          <w:sz w:val="20"/>
        </w:rPr>
        <w:t xml:space="preserve"> </w:t>
      </w:r>
    </w:p>
    <w:p>
      <w:pPr>
        <w:pStyle w:val="TextBody"/>
        <w:bidi w:val="0"/>
        <w:spacing w:before="0" w:after="0"/>
        <w:jc w:val="left"/>
        <w:rPr/>
      </w:pPr>
      <w:r>
        <w:rPr/>
        <w:t> </w:t>
      </w:r>
    </w:p>
    <w:tbl>
      <w:tblPr>
        <w:tblW w:w="7652" w:type="dxa"/>
        <w:jc w:val="left"/>
        <w:tblInd w:w="0" w:type="dxa"/>
        <w:tblLayout w:type="fixed"/>
        <w:tblCellMar>
          <w:top w:w="28" w:type="dxa"/>
          <w:left w:w="28" w:type="dxa"/>
          <w:bottom w:w="28" w:type="dxa"/>
          <w:right w:w="28" w:type="dxa"/>
        </w:tblCellMar>
      </w:tblPr>
      <w:tblGrid>
        <w:gridCol w:w="4396"/>
        <w:gridCol w:w="146"/>
        <w:gridCol w:w="243"/>
        <w:gridCol w:w="1107"/>
        <w:gridCol w:w="146"/>
        <w:gridCol w:w="146"/>
        <w:gridCol w:w="211"/>
        <w:gridCol w:w="1066"/>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(In thousands, including interest where applicable)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Next 12 months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Thereafter</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791,442</w:t>
            </w:r>
          </w:p>
        </w:tc>
        <w:tc>
          <w:tcPr>
            <w:tcW w:w="191" w:type="dxa"/>
            <w:tcBorders/>
            <w:vAlign w:val="center"/>
          </w:tcPr>
          <w:p>
            <w:pPr>
              <w:pStyle w:val="TableContents"/>
              <w:bidi w:val="0"/>
              <w:spacing w:before="0" w:after="0"/>
              <w:ind w:left="0" w:right="0" w:hanging="0"/>
              <w:jc w:val="left"/>
              <w:rPr/>
            </w:pPr>
            <w:r>
              <w:rPr/>
              <w:t> </w:t>
            </w:r>
          </w:p>
        </w:tc>
      </w:tr>
      <w:tr>
        <w:trPr/>
        <w:tc>
          <w:tcPr>
            <w:tcW w:w="43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Notes and Other Long-Term Debt (1)</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580,854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9,569,784</w:t>
            </w:r>
          </w:p>
        </w:tc>
        <w:tc>
          <w:tcPr>
            <w:tcW w:w="191" w:type="dxa"/>
            <w:tcBorders/>
            <w:vAlign w:val="center"/>
          </w:tcPr>
          <w:p>
            <w:pPr>
              <w:pStyle w:val="TableContents"/>
              <w:bidi w:val="0"/>
              <w:spacing w:before="0" w:after="0"/>
              <w:ind w:left="0" w:right="0" w:hanging="0"/>
              <w:jc w:val="left"/>
              <w:rPr/>
            </w:pPr>
            <w:r>
              <w:rPr/>
              <w:t> </w:t>
            </w:r>
          </w:p>
        </w:tc>
      </w:tr>
      <w:tr>
        <w:trPr/>
        <w:tc>
          <w:tcPr>
            <w:tcW w:w="43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Purchase commitments including satellite-related</w:t>
              <w:br/>
              <w:t>   agreements</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1,843,078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1,275,346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2,514,097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11,636,572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val="false"/>
          <w:sz w:val="20"/>
        </w:rPr>
      </w:pPr>
      <w:r>
        <w:rPr>
          <w:rFonts w:ascii="Arial" w:hAnsi="Arial"/>
          <w:b w:val="false"/>
          <w:sz w:val="20"/>
        </w:rPr>
        <w:t>(1)</w:t>
      </w:r>
    </w:p>
    <w:p>
      <w:pPr>
        <w:pStyle w:val="TextBody"/>
        <w:bidi w:val="0"/>
        <w:jc w:val="left"/>
        <w:rPr>
          <w:rFonts w:ascii="Arial;sans-serif" w:hAnsi="Arial;sans-serif"/>
          <w:b w:val="false"/>
          <w:sz w:val="20"/>
        </w:rPr>
      </w:pPr>
      <w:r>
        <w:rPr>
          <w:rFonts w:ascii="Arial;sans-serif" w:hAnsi="Arial;sans-serif"/>
          <w:b w:val="false"/>
          <w:sz w:val="20"/>
        </w:rPr>
        <w:t xml:space="preserve">To the extent that the interest rate on any long-term debt is variable, amounts reflected represent estimated interest payments on the applicable current outstanding balance based on the interest rate at June 30, 2023 until the applicable maturity date, net of interest rate cap contracts set up to hedge the variable interest rates under the Inmarsat Term Loan Facility. Effective June 30, 2023, the interest rate cap contracts provide protection of Compound SOFR up to 2% and cover 98% of the total nominal amount of the Inmarsat Term Loan Facility.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pStyle w:val="TextBody"/>
        <w:bidi w:val="0"/>
        <w:spacing w:before="180" w:after="0"/>
        <w:jc w:val="left"/>
        <w:rPr>
          <w:rFonts w:ascii="Arial;sans-serif" w:hAnsi="Arial;sans-serif"/>
          <w:b w:val="false"/>
          <w:sz w:val="20"/>
        </w:rPr>
      </w:pPr>
      <w:r>
        <w:rPr>
          <w:rFonts w:ascii="Arial;sans-serif" w:hAnsi="Arial;sans-serif"/>
          <w:b w:val="false"/>
          <w:sz w:val="20"/>
        </w:rPr>
        <w:t>Our condensed consolidated balance sheets included $2.8 billion and $218.5 million of “other liabilities” as of June 30, 2023 and March 31, 2023,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0"/>
        <w:jc w:val="left"/>
        <w:rPr>
          <w:rFonts w:ascii="Times New Roman" w:hAnsi="Times New Roman"/>
          <w:sz w:val="20"/>
        </w:rPr>
      </w:pPr>
      <w:r>
        <w:rPr>
          <w:rFonts w:ascii="Arial;sans-serif" w:hAnsi="Arial;sans-serif"/>
          <w:b/>
          <w:sz w:val="20"/>
        </w:rPr>
        <w:t>Off-Balance Sheet Arrangements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We had no material off-balance sheet arrangements at June 30, 2023 as defined in Regulation S-K Item 303(b) other than as discussed under “Contractual Obligations” above or disclosed in the notes to our condensed consolidated financial statements included in this report or in our Annual Report on Form 10-K for the year ended March 31, 2023.</w:t>
      </w:r>
      <w:r>
        <w:rPr>
          <w:rFonts w:ascii="Times New Roman" w:hAnsi="Times New Roman"/>
          <w:sz w:val="20"/>
        </w:rPr>
        <w:t xml:space="preserve"> </w:t>
      </w:r>
    </w:p>
    <w:p>
      <w:pPr>
        <w:pStyle w:val="TextBody"/>
        <w:bidi w:val="0"/>
        <w:spacing w:before="280" w:after="0"/>
        <w:jc w:val="left"/>
        <w:rPr>
          <w:rFonts w:ascii="Times New Roman" w:hAnsi="Times New Roman"/>
          <w:sz w:val="20"/>
        </w:rPr>
      </w:pPr>
      <w:r>
        <w:rPr>
          <w:rFonts w:ascii="Arial;sans-serif" w:hAnsi="Arial;sans-serif"/>
          <w:b/>
          <w:sz w:val="20"/>
        </w:rPr>
        <w:t>Recent Authoritative Guidance</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For information regarding recently adopted and issued accounting pronouncements, see Note 1 — Basis of Presentation to our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bookmarkStart w:id="10" w:name="item_3_quantitative_qualitative_disclosu"/>
      <w:bookmarkEnd w:id="10"/>
      <w:r>
        <w:rPr>
          <w:rFonts w:ascii="Arial;sans-serif" w:hAnsi="Arial;sans-serif"/>
          <w:b/>
          <w:sz w:val="20"/>
        </w:rPr>
        <w:t>Item 3. Quantitative and Qualitative Disclosures About Market Risk</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sz w:val="20"/>
        </w:rPr>
        <w:t>Interest Rate Risk</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Our financial instruments consist of cash and cash equivalents, restricted cash, short-term investments, accounts receivable, accounts payable and short-term and long-term obligations (including the Credit Facilities and the Notes), and interest rate cap contracts.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and Bridge Facility bear interest at a fixed or capped rate and therefore our exposure to market risk for changes in interest rates relates primarily to borrowings under our remaining Credit Facilities, cash equivalents, short-term investments and short-term obligations.</w:t>
      </w:r>
    </w:p>
    <w:p>
      <w:pPr>
        <w:pStyle w:val="TextBody"/>
        <w:bidi w:val="0"/>
        <w:spacing w:before="180" w:after="0"/>
        <w:jc w:val="left"/>
        <w:rPr>
          <w:rFonts w:ascii="Arial;sans-serif" w:hAnsi="Arial;sans-serif"/>
          <w:b w:val="false"/>
          <w:sz w:val="20"/>
        </w:rPr>
      </w:pPr>
      <w:r>
        <w:rPr>
          <w:rFonts w:ascii="Arial;sans-serif" w:hAnsi="Arial;sans-serif"/>
          <w:b w:val="false"/>
          <w:sz w:val="20"/>
        </w:rPr>
        <w:t>The primary objective of our investment activities is to preserve principal while at the same time to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$4.0 million and an insignificant amount for the three months ended June 30, 2023 and 2022,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pStyle w:val="TextBody"/>
        <w:bidi w:val="0"/>
        <w:spacing w:before="180" w:after="0"/>
        <w:jc w:val="left"/>
        <w:rPr>
          <w:rFonts w:ascii="Arial;sans-serif" w:hAnsi="Arial;sans-serif"/>
          <w:b w:val="false"/>
          <w:sz w:val="20"/>
        </w:rPr>
      </w:pPr>
      <w:r>
        <w:rPr>
          <w:rFonts w:ascii="Arial;sans-serif" w:hAnsi="Arial;sans-serif"/>
          <w:b w:val="false"/>
          <w:sz w:val="20"/>
        </w:rPr>
        <w:t>Our primary interest rate under both the Term Loan Facility and the 2023 Term Loan Facility is the SOFR rate plus 4.50%. As of June 30, 2023, the effective interest rate on our outstanding borrowings under the Term Loan Facility was 10.14% and under the 2023 Term Loan Facility was 10.64%. Our primary interest rate under the Inmarsat Term Loan Facility is the term SOFR rate plus 3.50%. As of June 30, 2023, the weighted average effective interest rate on our outstanding borrowings under the Inmarsat Term Loan Facility was approximately 7.03%. Our primary interest rate under the Viasat Revolving Credit Facility is the Eurodollar rate plus an applicable margin that is based on our total leverage ratio. As of June 30, 2023, the effective interest rate that would have been applied to any new Eurodollar-based borrowings under the Viasat Revolving Credit Facility was approximately 7.29%. Our primary interest rate under the Inmarsat Revolving Credit Facility is the term SOFR rate plus an applicable margin that is based on Inmarsat's senior secured first lien net leverage ratio. As of June 30, 2023, the effective interest rate that would have been applied to any new SOFR-based borrowings under the Inmarsat Revolving Credit Facility was approximately 7.29%. As of June 30, 2023, we had no outstanding borrowings under our Revolving Credit Facilities. Accordingly, assuming the outstanding balance under the Term Loan Facility, the 2023 Term Loan Facility and the Inmarsat Term Loan Facility remained constant over a year and we continued to have no outstanding borrowings under the Revolving Credit Facilities, a 50 basis point increase in the interest rates would increase interest incurred, prior to effects of capitalized interest but taking into account Inmarsat's interest rate cap contracts with respect to the Inmarsat Term Loan Facility, by approximately $7 million over a 12-month period.</w:t>
      </w:r>
    </w:p>
    <w:p>
      <w:pPr>
        <w:pStyle w:val="TextBody"/>
        <w:bidi w:val="0"/>
        <w:spacing w:before="180" w:after="0"/>
        <w:jc w:val="left"/>
        <w:rPr>
          <w:rFonts w:ascii="Arial;sans-serif" w:hAnsi="Arial;sans-serif"/>
          <w:b w:val="false"/>
          <w:sz w:val="20"/>
        </w:rPr>
      </w:pPr>
      <w:r>
        <w:rPr>
          <w:rFonts w:ascii="Arial;sans-serif" w:hAnsi="Arial;sans-serif"/>
          <w:b w:val="false"/>
          <w:sz w:val="20"/>
        </w:rPr>
        <w:t>The Company has entered into interest rate cap contracts to hedge the variable interest rates under the Inmarsat Term Loan Facility. Effective June 30, 2023, the interest rate cap contracts provide protection of Compound SOFR up to 2% and cover 98% of the total nominal amount of the Inmarsat Term Loan Facility.</w:t>
      </w:r>
    </w:p>
    <w:p>
      <w:pPr>
        <w:pStyle w:val="TextBody"/>
        <w:bidi w:val="0"/>
        <w:spacing w:before="280" w:after="0"/>
        <w:jc w:val="left"/>
        <w:rPr>
          <w:rFonts w:ascii="Times New Roman" w:hAnsi="Times New Roman"/>
          <w:sz w:val="20"/>
        </w:rPr>
      </w:pPr>
      <w:r>
        <w:rPr>
          <w:rFonts w:ascii="Arial;sans-serif" w:hAnsi="Arial;sans-serif"/>
          <w:b/>
          <w:sz w:val="20"/>
        </w:rPr>
        <w:t>Foreign Exchange Risk</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approximately $5.5 million and an insignificant amount for the three months ended June 30, 2023, and 2022,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0"/>
        <w:jc w:val="center"/>
        <w:rPr>
          <w:rFonts w:ascii="Arial;sans-serif" w:hAnsi="Arial;sans-serif"/>
          <w:b w:val="false"/>
          <w:sz w:val="20"/>
        </w:rPr>
      </w:pPr>
      <w:r>
        <w:rPr>
          <w:rFonts w:ascii="Arial;sans-serif" w:hAnsi="Arial;sans-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bookmarkStart w:id="11" w:name="item_4_controls_procedures"/>
      <w:bookmarkEnd w:id="11"/>
      <w:r>
        <w:rPr>
          <w:rFonts w:ascii="Arial;sans-serif" w:hAnsi="Arial;sans-serif"/>
          <w:b/>
          <w:sz w:val="20"/>
        </w:rPr>
        <w:t>Item 4. Controls and Procedures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0"/>
        <w:jc w:val="left"/>
        <w:rPr>
          <w:rFonts w:ascii="Arial;sans-serif" w:hAnsi="Arial;sans-serif"/>
          <w:b w:val="false"/>
          <w:sz w:val="20"/>
        </w:rPr>
      </w:pPr>
      <w:r>
        <w:rPr>
          <w:rFonts w:ascii="Arial;sans-serif" w:hAnsi="Arial;sans-serif"/>
          <w:b w:val="false"/>
          <w:sz w:val="20"/>
        </w:rPr>
        <w:t>On May 30, 2023, the Inmarsat Acquisition was completed. SEC guidance permits management to omit an assessment of an acquired business’ internal control over financial reporting from management's assessment of internal control over financial reporting and disclosure controls and procedures for a period not to exceed one year from the date of the acquisition. Management has begun integrating Inmarsat into our existing control procedures. Integration activities relating to the Inmarsat Acquisition may lead us to modify certain controls in future periods.</w:t>
      </w:r>
    </w:p>
    <w:p>
      <w:pPr>
        <w:pStyle w:val="TextBody"/>
        <w:bidi w:val="0"/>
        <w:spacing w:before="180" w:after="0"/>
        <w:jc w:val="left"/>
        <w:rPr>
          <w:rFonts w:ascii="Arial;sans-serif" w:hAnsi="Arial;sans-serif"/>
          <w:b w:val="false"/>
          <w:sz w:val="20"/>
        </w:rPr>
      </w:pPr>
      <w:r>
        <w:rPr>
          <w:rFonts w:ascii="Arial;sans-serif" w:hAnsi="Arial;sans-serif"/>
          <w:b w:val="false"/>
          <w:sz w:val="20"/>
        </w:rPr>
        <w:t>As required by SEC Rule 13a-15(b), we carried out an evaluation, with the participation of our management, including our Chief Executive Officer and Chief Financial Officer, of the effectiveness of our disclosure controls and procedures as of June 30, 2023, the end of the period covered by this report. Based upon the foregoing, our Chief Executive Officer and Chief Financial Officer concluded that our disclosure controls and procedures were effective at a reasonable assurance level as of June 30, 2023.</w:t>
      </w:r>
    </w:p>
    <w:p>
      <w:pPr>
        <w:pStyle w:val="TextBody"/>
        <w:bidi w:val="0"/>
        <w:spacing w:before="180" w:after="0"/>
        <w:jc w:val="left"/>
        <w:rPr>
          <w:rFonts w:ascii="Arial;sans-serif" w:hAnsi="Arial;sans-serif"/>
          <w:b w:val="false"/>
          <w:sz w:val="20"/>
        </w:rPr>
      </w:pPr>
      <w:r>
        <w:rPr>
          <w:rFonts w:ascii="Arial;sans-serif" w:hAnsi="Arial;sans-serif"/>
          <w:b w:val="false"/>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40" w:after="0"/>
        <w:jc w:val="center"/>
        <w:rPr>
          <w:rFonts w:ascii="Arial;sans-serif" w:hAnsi="Arial;sans-serif"/>
          <w:b w:val="false"/>
          <w:sz w:val="20"/>
        </w:rPr>
      </w:pPr>
      <w:r>
        <w:rPr>
          <w:rFonts w:ascii="Arial;sans-serif" w:hAnsi="Arial;sans-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 w:hAnsi="Times New Roman"/>
          <w:sz w:val="20"/>
        </w:rPr>
      </w:pPr>
      <w:bookmarkStart w:id="12" w:name="part_ii_or_information"/>
      <w:bookmarkEnd w:id="12"/>
      <w:r>
        <w:rPr>
          <w:rFonts w:ascii="Arial;sans-serif" w:hAnsi="Arial;sans-serif"/>
          <w:b/>
          <w:sz w:val="20"/>
        </w:rPr>
        <w:t>PART II — OTHER INFORMATION</w:t>
      </w:r>
      <w:r>
        <w:rPr>
          <w:rFonts w:ascii="Times New Roman" w:hAnsi="Times New Roman"/>
          <w:sz w:val="20"/>
        </w:rPr>
        <w:t xml:space="preserve"> </w:t>
      </w:r>
    </w:p>
    <w:p>
      <w:pPr>
        <w:pStyle w:val="TextBody"/>
        <w:bidi w:val="0"/>
        <w:spacing w:before="80" w:after="0"/>
        <w:jc w:val="left"/>
        <w:rPr>
          <w:rFonts w:ascii="Times New Roman" w:hAnsi="Times New Roman"/>
          <w:sz w:val="20"/>
        </w:rPr>
      </w:pPr>
      <w:bookmarkStart w:id="13" w:name="item_1_legal_proceedings"/>
      <w:bookmarkEnd w:id="13"/>
      <w:r>
        <w:rPr>
          <w:rFonts w:ascii="Arial;sans-serif" w:hAnsi="Arial;sans-serif"/>
          <w:b/>
          <w:sz w:val="20"/>
        </w:rPr>
        <w:t>Item 1. Legal</w:t>
      </w:r>
      <w:r>
        <w:rPr>
          <w:rFonts w:ascii="Times New Roman" w:hAnsi="Times New Roman"/>
          <w:sz w:val="20"/>
        </w:rPr>
        <w:t xml:space="preserve"> </w:t>
      </w:r>
      <w:r>
        <w:rPr>
          <w:rFonts w:ascii="Arial;sans-serif" w:hAnsi="Arial;sans-serif"/>
          <w:b/>
          <w:sz w:val="20"/>
        </w:rPr>
        <w:t>Proceedings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2023.</w:t>
      </w:r>
    </w:p>
    <w:p>
      <w:pPr>
        <w:pStyle w:val="TextBody"/>
        <w:bidi w:val="0"/>
        <w:spacing w:before="280" w:after="0"/>
        <w:jc w:val="left"/>
        <w:rPr>
          <w:rFonts w:ascii="Times New Roman" w:hAnsi="Times New Roman"/>
          <w:sz w:val="20"/>
        </w:rPr>
      </w:pPr>
      <w:bookmarkStart w:id="14" w:name="item_1a_risk_factors"/>
      <w:bookmarkEnd w:id="14"/>
      <w:r>
        <w:rPr>
          <w:rFonts w:ascii="Arial;sans-serif" w:hAnsi="Arial;sans-serif"/>
          <w:b/>
          <w:sz w:val="20"/>
        </w:rPr>
        <w:t>Item 1A. Risk Factors</w:t>
      </w:r>
      <w:r>
        <w:rPr>
          <w:rFonts w:ascii="Times New Roman" w:hAnsi="Times New Roman"/>
          <w:sz w:val="20"/>
        </w:rPr>
        <w:t xml:space="preserve"> </w:t>
      </w:r>
    </w:p>
    <w:p>
      <w:pPr>
        <w:pStyle w:val="TextBody"/>
        <w:bidi w:val="0"/>
        <w:spacing w:before="80" w:after="0"/>
        <w:jc w:val="left"/>
        <w:rPr>
          <w:rFonts w:ascii="Arial;sans-serif" w:hAnsi="Arial;sans-serif"/>
          <w:b w:val="false"/>
          <w:sz w:val="20"/>
        </w:rPr>
      </w:pPr>
      <w:r>
        <w:rPr>
          <w:rFonts w:ascii="Arial;sans-serif" w:hAnsi="Arial;sans-serif"/>
          <w:b w:val="false"/>
          <w:sz w:val="20"/>
        </w:rPr>
        <w:t>In addition to the other information set forth in this report, you should carefully consider the factors discussed in Part I, Item 1A, “Risk Factors” in our Annual Report on Form 10-K for the fiscal year ended March 31, 2023, which factors could materially affect our business, financial condition, liquidity or future results. Except as set forth below, there have been no material changes to the risk factors described in the "Risk Factors" section in our Annual Report on Form 10-K for the fiscal year ended March 31, 2023.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180" w:after="0"/>
        <w:jc w:val="left"/>
        <w:rPr>
          <w:rFonts w:ascii="Arial;sans-serif" w:hAnsi="Arial;sans-serif"/>
          <w:b/>
          <w:sz w:val="20"/>
        </w:rPr>
      </w:pPr>
      <w:r>
        <w:rPr>
          <w:rFonts w:ascii="Arial;sans-serif" w:hAnsi="Arial;sans-serif"/>
          <w:b/>
          <w:sz w:val="20"/>
        </w:rPr>
        <w:t>Additional Risks Related to the Inmarsat Acquisition</w:t>
      </w:r>
    </w:p>
    <w:p>
      <w:pPr>
        <w:pStyle w:val="TextBody"/>
        <w:bidi w:val="0"/>
        <w:spacing w:before="80" w:after="0"/>
        <w:jc w:val="left"/>
        <w:rPr>
          <w:rFonts w:ascii="Arial;sans-serif" w:hAnsi="Arial;sans-serif"/>
          <w:b/>
          <w:sz w:val="20"/>
        </w:rPr>
      </w:pPr>
      <w:r>
        <w:rPr>
          <w:rFonts w:ascii="Arial;sans-serif" w:hAnsi="Arial;sans-serif"/>
          <w:b/>
          <w:sz w:val="20"/>
        </w:rPr>
        <w:t>Combining the Businesses of Viasat and Inmarsat May Be More Difficult, Costly or Time-consuming than Expected and the Combined Company May Fail to Realize the Anticipated Synergies and Other Benefits of the Inmarsat Acquisition, which May Adversely Affect the Combined Company’s Business Results</w:t>
      </w:r>
    </w:p>
    <w:p>
      <w:pPr>
        <w:pStyle w:val="TextBody"/>
        <w:bidi w:val="0"/>
        <w:spacing w:before="80" w:after="0"/>
        <w:jc w:val="left"/>
        <w:rPr>
          <w:rFonts w:ascii="Arial;sans-serif" w:hAnsi="Arial;sans-serif"/>
          <w:b w:val="false"/>
          <w:sz w:val="20"/>
        </w:rPr>
      </w:pPr>
      <w:r>
        <w:rPr>
          <w:rFonts w:ascii="Arial;sans-serif" w:hAnsi="Arial;sans-serif"/>
          <w:b w:val="false"/>
          <w:sz w:val="20"/>
        </w:rPr>
        <w:t>Viasat and Inmarsat operated independently until the completion of the Inmarsat Acquisition. The success of the Inmarsat Acquisition will depend on, among other things, the ability of Viasat and Inmarsat to combine their businesses in a manner that facilitates growth opportunities and realizes expected cost savings. We believe that the Inmarsat Acquisition is fair to and in the best interests of our stockholders and that it will produce benefits as well as cost savings and other cost and capital expenditure synergies. Following the closing of the Inmarsat Acquisition, Viasat and Inmarsat must successfully combine their respective businesses in a manner that permits these benefits to be realized. For example, the following issues, among others, must be addressed in integrating the operations of the two companies in order to realize the anticipated benefits of the Inmarsat Acquisition:</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combining the companies’ operations and corporate functions;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combining the businesses of Viasat and Inmarsat and meeting the capital requirements of the combined company, in a manner that permits the combined company to achieve any cost savings or other synergies anticipated to result from the Inmarsat Acquisition, the failure of which would result in the anticipated benefits of the Inmarsat Acquisition not being realized in the time frame currently anticipated or at all;</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integrating personnel from the two companies;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integrating the companies’ technologies and technologies licensed from third parties;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integrating and unifying the offerings and services available to customers;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identifying and eliminating redundant and underperforming functions and assets;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harmonizing the companies’ operating practices, employee development and compensation programs, internal controls and other policies, procedures and processes;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addressing possible differences in business backgrounds, corporate cultures and management philosophies;</w:t>
      </w:r>
    </w:p>
    <w:p>
      <w:pPr>
        <w:pStyle w:val="TextBody"/>
        <w:bidi w:val="0"/>
        <w:spacing w:before="240" w:after="0"/>
        <w:jc w:val="center"/>
        <w:rPr>
          <w:rFonts w:ascii="Arial;sans-serif" w:hAnsi="Arial;sans-serif"/>
          <w:b w:val="false"/>
          <w:sz w:val="20"/>
        </w:rPr>
      </w:pPr>
      <w:r>
        <w:rPr>
          <w:rFonts w:ascii="Arial;sans-serif" w:hAnsi="Arial;sans-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consolidating the companies’ administrative and information technology infrastructure;</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coordinating distribution and marketing efforts;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managing the movement of certain positions to different locations;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coordinating geographically dispersed organizations; and</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effecting actions that may be required in connection with obtaining regulatory or other governmental approvals.</w:t>
      </w:r>
    </w:p>
    <w:p>
      <w:pPr>
        <w:pStyle w:val="TextBody"/>
        <w:bidi w:val="0"/>
        <w:spacing w:before="180" w:after="0"/>
        <w:jc w:val="left"/>
        <w:rPr>
          <w:rFonts w:ascii="Times New Roman" w:hAnsi="Times New Roman"/>
          <w:sz w:val="20"/>
        </w:rPr>
      </w:pPr>
      <w:r>
        <w:rPr>
          <w:rFonts w:ascii="Arial;sans-serif" w:hAnsi="Arial;sans-serif"/>
          <w:b w:val="false"/>
          <w:sz w:val="20"/>
        </w:rPr>
        <w:t>It is possible that the integration process could result in the loss of key Viasat or Inmarsat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the actual integration may result in additional and unforeseen expenses. If the combined company is not able to adequately address integration challenges, we may be unable to successfully integrate operations and the anticipated benefits of the integration plan may not be realized.</w:t>
      </w:r>
      <w:r>
        <w:rPr>
          <w:rFonts w:ascii="Times New Roman" w:hAnsi="Times New Roman"/>
          <w:sz w:val="20"/>
        </w:rPr>
        <w:t xml:space="preserve"> </w:t>
      </w:r>
    </w:p>
    <w:p>
      <w:pPr>
        <w:pStyle w:val="TextBody"/>
        <w:bidi w:val="0"/>
        <w:spacing w:before="180" w:after="0"/>
        <w:jc w:val="left"/>
        <w:rPr>
          <w:rFonts w:ascii="Arial;sans-serif" w:hAnsi="Arial;sans-serif"/>
          <w:b w:val="false"/>
          <w:sz w:val="20"/>
        </w:rPr>
      </w:pPr>
      <w:r>
        <w:rPr>
          <w:rFonts w:ascii="Arial;sans-serif" w:hAnsi="Arial;sans-serif"/>
          <w:b w:val="false"/>
          <w:sz w:val="20"/>
        </w:rPr>
        <w:t>In addition, the combined company must achieve the anticipated growth and cost savings without adversely affecting current revenues and investments in future growth. If the combined company is not able to successfully achieve these objectives, the anticipated synergies and other benefits of the Inmarsat Acquisition may not be realized fully, or at all, or may take longer to realize than expected. Additionally, Viasat may inherit from Inmarsat legal, regulatory, and other risks that occurred prior to the Inmarsat Acquisition, whether known or unknown to Viasat, which may be material to the combined company. Actual growth, cost and capital expenditure synergies and other cost savings, if achieved, may be lower than what we expect and may take longer to achieve than anticipated. Moreover, at times the attention of the combined company’s management and resources may be focused on the integration of the businesses of the two companies and diverted from day-to-day business operations or other opportunities that may have been beneficial to such company, which may disrupt the combined company’s ongoing business.</w:t>
      </w:r>
    </w:p>
    <w:p>
      <w:pPr>
        <w:pStyle w:val="TextBody"/>
        <w:bidi w:val="0"/>
        <w:spacing w:before="180" w:after="0"/>
        <w:jc w:val="left"/>
        <w:rPr>
          <w:rFonts w:ascii="Arial;sans-serif" w:hAnsi="Arial;sans-serif"/>
          <w:b w:val="false"/>
          <w:sz w:val="20"/>
        </w:rPr>
      </w:pPr>
      <w:r>
        <w:rPr>
          <w:rFonts w:ascii="Arial;sans-serif" w:hAnsi="Arial;sans-serif"/>
          <w:b w:val="false"/>
          <w:sz w:val="20"/>
        </w:rPr>
        <w:t>An inability to realize the full extent of the anticipated benefits of the Inmarsat Acquisition, as well as any delays encountered in the integration process, could have an adverse effect upon the revenues, level of expenses and operating results of the combined company.</w:t>
      </w:r>
    </w:p>
    <w:p>
      <w:pPr>
        <w:pStyle w:val="TextBody"/>
        <w:bidi w:val="0"/>
        <w:spacing w:before="180" w:after="0"/>
        <w:jc w:val="left"/>
        <w:rPr>
          <w:rFonts w:ascii="Arial;sans-serif" w:hAnsi="Arial;sans-serif"/>
          <w:b/>
          <w:sz w:val="20"/>
        </w:rPr>
      </w:pPr>
      <w:r>
        <w:rPr>
          <w:rFonts w:ascii="Arial;sans-serif" w:hAnsi="Arial;sans-serif"/>
          <w:b/>
          <w:sz w:val="20"/>
        </w:rPr>
        <w:t>Inmarsat May Have Liabilities that Are Not Known to Us and Sellers May Not Be Required to Indemnify Us for Such Liabilities</w:t>
      </w:r>
    </w:p>
    <w:p>
      <w:pPr>
        <w:pStyle w:val="TextBody"/>
        <w:bidi w:val="0"/>
        <w:spacing w:before="80" w:after="0"/>
        <w:jc w:val="left"/>
        <w:rPr>
          <w:rFonts w:ascii="Times New Roman" w:hAnsi="Times New Roman"/>
          <w:sz w:val="20"/>
        </w:rPr>
      </w:pPr>
      <w:r>
        <w:rPr>
          <w:rFonts w:ascii="Arial;sans-serif" w:hAnsi="Arial;sans-serif"/>
          <w:b w:val="false"/>
          <w:sz w:val="20"/>
        </w:rPr>
        <w:t>Inmarsat may have liabilities that we failed or were unable to discover in the course of performing due diligence investigations into Inmarsat. Any such liabilities, individually or in the aggregate, could have a material adverse effect on our business, financial condition and results of operations. Moreover, the liability of Inmarsat Holdings’ former shareholders for warranties relating to the Inmarsat business is generally capped at $1.00, except in the case of fraud. Further, we have not performed all of the valuations necessary to ascertain the fair value of the identifiable assets acquired and the liabilities assumed and the related allocation of the purchase price. The purchase price allocation for the Inmarsat Acquisition may result in significant adjustments to the historical values of property, plant and equipment, intangible assets, liabilities and provisions, which could in turn result in additional depreciation and amortization expense. As we integrate Inmarsat, we may learn additional information about Inmarsat that may adversely impact us, such as unknown or contingent liabilities, adequacy of financial reserves and issues relating to non-compliance with applicable laws.</w:t>
      </w:r>
      <w:r>
        <w:rPr>
          <w:rFonts w:ascii="Times New Roman" w:hAnsi="Times New Roman"/>
          <w:sz w:val="20"/>
        </w:rPr>
        <w:t xml:space="preserve"> </w:t>
      </w:r>
    </w:p>
    <w:p>
      <w:pPr>
        <w:pStyle w:val="TextBody"/>
        <w:bidi w:val="0"/>
        <w:spacing w:before="180" w:after="0"/>
        <w:jc w:val="left"/>
        <w:rPr>
          <w:rFonts w:ascii="Arial;sans-serif" w:hAnsi="Arial;sans-serif"/>
          <w:b/>
          <w:sz w:val="20"/>
        </w:rPr>
      </w:pPr>
      <w:r>
        <w:rPr>
          <w:rFonts w:ascii="Arial;sans-serif" w:hAnsi="Arial;sans-serif"/>
          <w:b/>
          <w:sz w:val="20"/>
        </w:rPr>
        <w:t>We May Not be Able to Retain Customers, Suppliers or Distributors Following the Closing of the Inmarsat Acquisition, or Customers, Suppliers or Distributors May Seek to Modify Contractual Relationships with the Combined Company, which Could Have an Adverse Effect on the Combined Company’s Business and Operations. Third Parties may Terminate or Alter Existing Contracts or Relationships with the Combined Company</w:t>
      </w:r>
    </w:p>
    <w:p>
      <w:pPr>
        <w:pStyle w:val="TextBody"/>
        <w:bidi w:val="0"/>
        <w:spacing w:before="80" w:after="0"/>
        <w:jc w:val="left"/>
        <w:rPr>
          <w:rFonts w:ascii="Times New Roman" w:hAnsi="Times New Roman"/>
          <w:sz w:val="20"/>
        </w:rPr>
      </w:pPr>
      <w:r>
        <w:rPr>
          <w:rFonts w:ascii="Arial;sans-serif" w:hAnsi="Arial;sans-serif"/>
          <w:b w:val="false"/>
          <w:sz w:val="20"/>
        </w:rPr>
        <w:t>As a result of the Inmarsat Acquisition,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Inmarsat Acquisition whether or not contractual rights are triggered as a result of the Inmarsat Acquisition. There can be no guarantee that customers, suppliers and distributors will remain with or continue to have a relationship with the combined company or do so on the same or similar contractual terms following the Inmarsat Acquisition. If any customers, suppliers or distributors seek to terminate or modify contractual obligations or discontinue the relationship with the combined company, then the combined company’s business and results of operations may be harmed. Furthermore, the combined company will not have long-term arrangements with many of its significant suppliers. If the combined company’s suppliers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left"/>
        <w:rPr>
          <w:rFonts w:ascii="Arial;sans-serif" w:hAnsi="Arial;sans-serif"/>
          <w:b w:val="false"/>
          <w:sz w:val="20"/>
        </w:rPr>
      </w:pPr>
      <w:r>
        <w:rPr>
          <w:rFonts w:ascii="Arial;sans-serif" w:hAnsi="Arial;sans-serif"/>
          <w:b w:val="false"/>
          <w:sz w:val="20"/>
        </w:rPr>
        <w:t>were to seek to terminate or modify an arrangement with the combined company, then the combined company may be unable to procure necessary supplies from other suppliers in a timely and efficient manner and on acceptable terms, or at all.</w:t>
      </w:r>
    </w:p>
    <w:p>
      <w:pPr>
        <w:pStyle w:val="TextBody"/>
        <w:bidi w:val="0"/>
        <w:spacing w:before="180" w:after="0"/>
        <w:jc w:val="left"/>
        <w:rPr>
          <w:rFonts w:ascii="Arial;sans-serif" w:hAnsi="Arial;sans-serif"/>
          <w:b/>
          <w:sz w:val="20"/>
        </w:rPr>
      </w:pPr>
      <w:r>
        <w:rPr>
          <w:rFonts w:ascii="Arial;sans-serif" w:hAnsi="Arial;sans-serif"/>
          <w:b/>
          <w:sz w:val="20"/>
        </w:rPr>
        <w:t>Inmarsat was not a Publicly Reporting Company and the Obligations Associated with Integrating into a Public Company will Require Significant Resources and Management Attention</w:t>
      </w:r>
    </w:p>
    <w:p>
      <w:pPr>
        <w:pStyle w:val="TextBody"/>
        <w:bidi w:val="0"/>
        <w:spacing w:before="80" w:after="0"/>
        <w:jc w:val="left"/>
        <w:rPr>
          <w:rFonts w:ascii="Arial;sans-serif" w:hAnsi="Arial;sans-serif"/>
          <w:b w:val="false"/>
          <w:sz w:val="20"/>
        </w:rPr>
      </w:pPr>
      <w:r>
        <w:rPr>
          <w:rFonts w:ascii="Arial;sans-serif" w:hAnsi="Arial;sans-serif"/>
          <w:b w:val="false"/>
          <w:sz w:val="20"/>
        </w:rPr>
        <w:t>Prior to the consummation of the Inmarsat Acquisition Inmarsat was, and will remain, a private company that is not subject to reporting requirements and does not have accounting personnel specifically employed to review internal controls over financial reporting. Upon completion of the Inmarsat Acquisition, the Inmarsat business became subject to the rules and regulations established from time to time by the SEC and Nasdaq. In addition,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the annual report to be filed with the SEC for the fiscal year following the fiscal year in which the Inmarsat Acquisition was consummated (which would include the acquired Inmarsat business) and thereafter, which requires us to make and document significant changes to our internal controls over financial reporting. Bringing Inmarsat into compliance with these rules and regulations and integrating Inmarsat into our current compliance and accounting system may increase our legal and financial compliance costs, make some activities more difficult, time-consuming or costly and increase demand on our systems and resources. Furthermore, the need to establish the necessary corporate infrastructure to integrate Inmarsat may divert management’s attention from implementing our growth strategy, which could prevent us from improving our business, financial condition and results of operations. However, the measures we take may not be sufficient to satisfy our obligations as a public company. Inmarsat has identified certain material weaknesses in its internal control over financial reporting during the preparation of its financial statements, including with respect to judgmental and complex transactions specifically relating to Ligado, accounting relating to the acquisition of Inmarsat and assessment of deferred tax. Although Inmarsat believes all such material weaknesses have been fully remediated, there can be no assurance that the measures Inmarsat has taken fully address the material weaknesses in its internal control over financial reporting or that Inmarsat will not identify additional material weaknesses or significant deficiencies in the future. If we do not continue to develop and implement the right processes and tools to manage our changing enterprise upon the Inmarsat Acquisition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bring Inmarsat into compliance with these requirements. We anticipate that these costs will materially increase our selling, general and administration expenses. In addition, bringing Inmarsat into compliance with these rules and regulations will increase our legal and financial compliance costs and will make some activities more time-consuming and costly. These additional obligations could have a material adverse effect on our business, financial condition, results of operations and cash flow.</w:t>
      </w:r>
    </w:p>
    <w:p>
      <w:pPr>
        <w:pStyle w:val="TextBody"/>
        <w:bidi w:val="0"/>
        <w:spacing w:before="180" w:after="0"/>
        <w:jc w:val="left"/>
        <w:rPr>
          <w:rFonts w:ascii="Arial;sans-serif" w:hAnsi="Arial;sans-serif"/>
          <w:b/>
          <w:sz w:val="20"/>
        </w:rPr>
      </w:pPr>
      <w:r>
        <w:rPr>
          <w:rFonts w:ascii="Arial;sans-serif" w:hAnsi="Arial;sans-serif"/>
          <w:b/>
          <w:sz w:val="20"/>
        </w:rPr>
        <w:t>Inmarsat May Not Retain Sufficient Rights to the Spectrum Required to Operate its Existing Satellite Systems and May Not Be Able to Obtain Sufficient New Rights in Order to Take Full Advantage of Future Business Opportunities</w:t>
      </w:r>
    </w:p>
    <w:p>
      <w:pPr>
        <w:pStyle w:val="TextBody"/>
        <w:bidi w:val="0"/>
        <w:spacing w:before="80" w:after="0"/>
        <w:jc w:val="left"/>
        <w:rPr>
          <w:rFonts w:ascii="Arial;sans-serif" w:hAnsi="Arial;sans-serif"/>
          <w:b w:val="false"/>
          <w:sz w:val="20"/>
        </w:rPr>
      </w:pPr>
      <w:r>
        <w:rPr>
          <w:rFonts w:ascii="Arial;sans-serif" w:hAnsi="Arial;sans-serif"/>
          <w:b w:val="false"/>
          <w:sz w:val="20"/>
        </w:rPr>
        <w:t>Inmarsat relies on L-band, S-band, C-band and Ka-band radio spectrum to provide its services, and the risks described under “Risks Related to Our Satellites and Business,” in Part I, Item 1A, “Risk Factors” in our Annual Report on Form 10-K for the fiscal year ended March 31, 2023, including in connection with obtaining or maintaining required authorizations and changes to the regulatory environment, similarly apply to the spectrum used in Inmarsat’s business. Inmarsat’s use of the L-band is governed, in part, by sharing arrangements with other satellite operators that are re-evaluated and re-established through two annual, regional multilateral meetings of those satellite operators (one for operators whose satellites cover the Americas, and a second for those whose satellites cover Europe, Africa, Asia and the Pacific). Portions of C-band where Inmarsat has feeder links for its existing satellites have been allocated for international mobile telecommunications use which makes continued licensing of C-band gateways more difficult in many countries and introduces the risk of interference from terrestrial use.</w:t>
      </w:r>
    </w:p>
    <w:p>
      <w:pPr>
        <w:pStyle w:val="TextBody"/>
        <w:bidi w:val="0"/>
        <w:spacing w:before="180" w:after="0"/>
        <w:jc w:val="left"/>
        <w:rPr>
          <w:rFonts w:ascii="Arial;sans-serif" w:hAnsi="Arial;sans-serif"/>
          <w:b w:val="false"/>
          <w:sz w:val="20"/>
        </w:rPr>
      </w:pPr>
      <w:r>
        <w:rPr>
          <w:rFonts w:ascii="Arial;sans-serif" w:hAnsi="Arial;sans-serif"/>
          <w:b w:val="false"/>
          <w:sz w:val="20"/>
        </w:rPr>
        <w:t>Inmarsat, together with Ligado Networks LLC, formerly known as LightSquared Inc. (Ligado), collectively have the rights to most of the mobile-satellite L-band spectrum allocation in the Americas. In December 2007, Inmarsat signed a cooperation agreement (the Ligado Cooperation Agreement) with Ligado, agreeing on certain spectrum assignments for the Americas for the foreseeable future. Inmarsat believes those rights provide it sufficient spectrum to support its existing services at current levels, but there can be no assurance that such spectrum rights will continue to be sufficient. As described above, Inmarsat’s failure to maintain sufficient spectrum rights could have a material adverse effect on its business, financial condition and results of operations.</w:t>
      </w:r>
    </w:p>
    <w:p>
      <w:pPr>
        <w:pStyle w:val="TextBody"/>
        <w:bidi w:val="0"/>
        <w:spacing w:before="240" w:after="0"/>
        <w:jc w:val="center"/>
        <w:rPr>
          <w:rFonts w:ascii="Arial;sans-serif" w:hAnsi="Arial;sans-serif"/>
          <w:b w:val="false"/>
          <w:sz w:val="20"/>
        </w:rPr>
      </w:pPr>
      <w:r>
        <w:rPr>
          <w:rFonts w:ascii="Arial;sans-serif" w:hAnsi="Arial;sans-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In May 2009, Inmarsat was selected through European Parliament and Council Decision 2009/449/EC to operate an S-band MSS/complementary ground component (CGC) system across Europe. Inmarsat used this authorization to implement the EAN (in partnership with Deutsche Telekom) to provide mobile broadband services to aircraft flying over Europe. Pursuant to European Parliament and Council Decision 626/2008/EC (the MSS Decision), a regulatory framework was established whereby member states of the EU are required to authorize Inmarsat to operate the S-band MSS/CGC system in accordance with national and European Community law. The award of the S-band spectrum in Europe was made as a pan-European decision until 2027 and there can be no certainty that Inmarsat will be successful in renewing or extending beyond that date the authorizations issued by individual member states to date, on which the operation of the EAN relies.</w:t>
      </w:r>
    </w:p>
    <w:p>
      <w:pPr>
        <w:pStyle w:val="TextBody"/>
        <w:bidi w:val="0"/>
        <w:spacing w:before="180" w:after="0"/>
        <w:jc w:val="left"/>
        <w:rPr>
          <w:rFonts w:ascii="Arial;sans-serif" w:hAnsi="Arial;sans-serif"/>
          <w:b/>
          <w:sz w:val="20"/>
        </w:rPr>
      </w:pPr>
      <w:r>
        <w:rPr>
          <w:rFonts w:ascii="Arial;sans-serif" w:hAnsi="Arial;sans-serif"/>
          <w:b/>
          <w:sz w:val="20"/>
        </w:rPr>
        <w:t>The Development of Combined Satellite and Terrestrial Networks, and the Repurposing of Satellite Spectrum for Terrestrial Operations, Could Interfere with Inmarsat’s Services</w:t>
      </w:r>
    </w:p>
    <w:p>
      <w:pPr>
        <w:pStyle w:val="TextBody"/>
        <w:bidi w:val="0"/>
        <w:spacing w:before="80" w:after="0"/>
        <w:jc w:val="left"/>
        <w:rPr>
          <w:rFonts w:ascii="Arial;sans-serif" w:hAnsi="Arial;sans-serif"/>
          <w:b w:val="false"/>
          <w:sz w:val="20"/>
        </w:rPr>
      </w:pPr>
      <w:r>
        <w:rPr>
          <w:rFonts w:ascii="Arial;sans-serif" w:hAnsi="Arial;sans-serif"/>
          <w:b w:val="false"/>
          <w:sz w:val="20"/>
        </w:rPr>
        <w:t>On January 29, 2003, the Federal Communications Commission (the FCC) adopted an order (the ATC Order) allowing spectrum allocated to MSS, including in the L-band, to be used to support integrated ATC services if certain preconditions are met and operator-specific authorizations obtained. Since the time of the ATC Order, a number of MSS operators, including Ligado, have proposed or discussed such services.</w:t>
      </w:r>
    </w:p>
    <w:p>
      <w:pPr>
        <w:pStyle w:val="TextBody"/>
        <w:bidi w:val="0"/>
        <w:spacing w:before="180" w:after="0"/>
        <w:jc w:val="left"/>
        <w:rPr>
          <w:rFonts w:ascii="Arial;sans-serif" w:hAnsi="Arial;sans-serif"/>
          <w:b w:val="false"/>
          <w:sz w:val="20"/>
        </w:rPr>
      </w:pPr>
      <w:r>
        <w:rPr>
          <w:rFonts w:ascii="Arial;sans-serif" w:hAnsi="Arial;sans-serif"/>
          <w:b w:val="false"/>
          <w:sz w:val="20"/>
        </w:rPr>
        <w:t>The ATC Order and related decisions permitting integrated MSS/ATC in the L-band are based on certain assumptions, particularly relating to the level of interference that the provision of these services would likely cause to MSS or satellite operations, such as Inmarsat’s. If the FCC’s assumptions with respect to the use of L-band spectrum for integrated MSS/ATC services prove inaccurate, or a significant level of integrated MSS/ATC services is provided in the United States, the provision of integrated MSS/ATC services could interfere with Inmarsat’s satellites, gateway operations and user terminals, which may adversely impact its services, costs and revenues. Jurisdictions other than the United States are considering, and could implement, similar regulatory regimes in the future.</w:t>
      </w:r>
    </w:p>
    <w:p>
      <w:pPr>
        <w:pStyle w:val="TextBody"/>
        <w:bidi w:val="0"/>
        <w:spacing w:before="180" w:after="0"/>
        <w:jc w:val="left"/>
        <w:rPr>
          <w:rFonts w:ascii="Arial;sans-serif" w:hAnsi="Arial;sans-serif"/>
          <w:b w:val="false"/>
          <w:sz w:val="20"/>
        </w:rPr>
      </w:pPr>
      <w:r>
        <w:rPr>
          <w:rFonts w:ascii="Arial;sans-serif" w:hAnsi="Arial;sans-serif"/>
          <w:b w:val="false"/>
          <w:sz w:val="20"/>
        </w:rPr>
        <w:t>Inmarsat cannot provide assurance that the development of combined satellite and terrestrial networks in the United States, Canada or in other countries will not result in harmful interference to its operations. Additionally, if there is a sharing of C-band with terrestrial operators, this could negatively impact Inmarsat’s services. If Inmarsat is unable to prevent such interference it could have a material adverse effect on its business, financial condition and results of operations.</w:t>
      </w:r>
    </w:p>
    <w:p>
      <w:pPr>
        <w:pStyle w:val="TextBody"/>
        <w:bidi w:val="0"/>
        <w:spacing w:before="180" w:after="0"/>
        <w:jc w:val="left"/>
        <w:rPr>
          <w:rFonts w:ascii="Arial;sans-serif" w:hAnsi="Arial;sans-serif"/>
          <w:b/>
          <w:sz w:val="20"/>
        </w:rPr>
      </w:pPr>
      <w:r>
        <w:rPr>
          <w:rFonts w:ascii="Arial;sans-serif" w:hAnsi="Arial;sans-serif"/>
          <w:b/>
          <w:sz w:val="20"/>
        </w:rPr>
        <w:t>Inmarsat May be Subject to Operational, Regulatory and Financial Risks in Relation to the Ligado Cooperation Agreement</w:t>
      </w:r>
    </w:p>
    <w:p>
      <w:pPr>
        <w:pStyle w:val="TextBody"/>
        <w:bidi w:val="0"/>
        <w:spacing w:before="80" w:after="0"/>
        <w:jc w:val="left"/>
        <w:rPr>
          <w:rFonts w:ascii="Arial;sans-serif" w:hAnsi="Arial;sans-serif"/>
          <w:b w:val="false"/>
          <w:sz w:val="20"/>
        </w:rPr>
      </w:pPr>
      <w:r>
        <w:rPr>
          <w:rFonts w:ascii="Arial;sans-serif" w:hAnsi="Arial;sans-serif"/>
          <w:b w:val="false"/>
          <w:sz w:val="20"/>
        </w:rPr>
        <w:t>Operational, regulatory and financial risks to Inmarsat may arise in connection with the Ligado Cooperation Agreement. Inmarsat transitioned to the 30 MHz Plan under the Ligado Cooperation Agreement at the end of 2021, which reduces the amount of L-band spectrum available for Inmarsat’s services in North America and may require Inmarsat’s U.S. L-band services to coexist with Ligado’s own services in adjacent frequencies. There can be no assurance that actions taken by Inmarsat, Ligado or third parties to avoid, mitigate or otherwise address interference between the respective services will be effective or considered sufficient. Moreover, as discussed above, if Ligado launches its ATC services, there is a risk that Inmarsat’s U.S. L-band services may receive interference from Ligado’s ATC operations. The congestion and interference risks could have an adverse effect on Inmarsat’s future North America L-band service performance, revenues and costs. There can be no assurance that Inmarsat will be able to mitigate this impact. Ligado has alleged that Inmarsat is in breach of the Ligado Cooperation Agreement. Inmarsat intends to defend vigorously against any potential litigation, but the outcome would be uncertain and an unfavorable outcome could have a negative impact on Inmarsat’s business, financial condition and results of operations.</w:t>
      </w:r>
    </w:p>
    <w:p>
      <w:pPr>
        <w:pStyle w:val="TextBody"/>
        <w:bidi w:val="0"/>
        <w:spacing w:before="180" w:after="0"/>
        <w:jc w:val="left"/>
        <w:rPr>
          <w:rFonts w:ascii="Arial;sans-serif" w:hAnsi="Arial;sans-serif"/>
          <w:b w:val="false"/>
          <w:sz w:val="20"/>
        </w:rPr>
      </w:pPr>
      <w:r>
        <w:rPr>
          <w:rFonts w:ascii="Arial;sans-serif" w:hAnsi="Arial;sans-serif"/>
          <w:b w:val="false"/>
          <w:sz w:val="20"/>
        </w:rPr>
        <w:t>In respect of the Ligado Cooperation Agreement, Inmarsat has received payments that are intended to compensate it for the value of the spectrum provided to Ligado, including the lost revenues from Inmarsat utilizing less spectrum, as well as the potential costs of mitigation efforts to use the spectrum more efficiently and to protect its network from potential interference from any Ligado ATC operations. However, such payments may not be sufficient to fully compensate Inmarsat and Inmarsat’s interference mitigation strategy may not be successful, or may itself undermine Inmarsat’s business operations. As customers look to migrate from one Inmarsat terminal and/or service to another, there is a risk that some customers may choose competing services instead, which could have an adverse effect on Inmarsat’s business, financial condition and results of operations. In addition, Inmarsat could face claims from its customers, end-users, and/or Ligado regarding potential ATC interference to Inmarsat’s services.</w:t>
      </w:r>
    </w:p>
    <w:p>
      <w:pPr>
        <w:pStyle w:val="TextBody"/>
        <w:bidi w:val="0"/>
        <w:spacing w:before="240" w:after="0"/>
        <w:jc w:val="center"/>
        <w:rPr>
          <w:rFonts w:ascii="Arial;sans-serif" w:hAnsi="Arial;sans-serif"/>
          <w:b w:val="false"/>
          <w:sz w:val="20"/>
        </w:rPr>
      </w:pPr>
      <w:r>
        <w:rPr>
          <w:rFonts w:ascii="Arial;sans-serif" w:hAnsi="Arial;sans-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In April 2020, the FCC approved Ligado’s application to modify its license to permit ATC services in the United States, subject to a number of operating conditions. Petitions for Reconsideration have been filed by the National Telecommunications Information Administration and others. If the FCC reconsiders its decision, or if there is a successful appeal, then there could be an adverse impact on Inmarsat’s receipt of future revenues from Ligado under the Ligado Cooperation Agreement. In addition, there can be no assurance that the remaining payments by Ligado under the Ligado Cooperation Agreement will be made on a timely basis or at all (whether due to Ligado’s breach, insolvency or otherwise).</w:t>
      </w:r>
    </w:p>
    <w:p>
      <w:pPr>
        <w:pStyle w:val="TextBody"/>
        <w:bidi w:val="0"/>
        <w:spacing w:before="180" w:after="0"/>
        <w:jc w:val="left"/>
        <w:rPr>
          <w:rFonts w:ascii="Arial;sans-serif" w:hAnsi="Arial;sans-serif"/>
          <w:b/>
          <w:sz w:val="20"/>
        </w:rPr>
      </w:pPr>
      <w:r>
        <w:rPr>
          <w:rFonts w:ascii="Arial;sans-serif" w:hAnsi="Arial;sans-serif"/>
          <w:b/>
          <w:sz w:val="20"/>
        </w:rPr>
        <w:t>Inmarsat Relies on its Third Parties to Provide Ground Infrastructure for Certain of its Narrowband L-band Services and Broadband Services</w:t>
      </w:r>
    </w:p>
    <w:p>
      <w:pPr>
        <w:pStyle w:val="TextBody"/>
        <w:bidi w:val="0"/>
        <w:spacing w:before="80" w:after="0"/>
        <w:jc w:val="left"/>
        <w:rPr>
          <w:rFonts w:ascii="Arial;sans-serif" w:hAnsi="Arial;sans-serif"/>
          <w:b w:val="false"/>
          <w:sz w:val="20"/>
        </w:rPr>
      </w:pPr>
      <w:r>
        <w:rPr>
          <w:rFonts w:ascii="Arial;sans-serif" w:hAnsi="Arial;sans-serif"/>
          <w:b w:val="false"/>
          <w:sz w:val="20"/>
        </w:rPr>
        <w:t>Inmarsat has third parties who provide the ground infrastructure for its narrowband L-band services, and also sells its narrowband L-band services to third-party distribution partners, some of whom operate the land-earth stations (LES) that transmit and receive those services to and from Inmarsat satellites. If any of these distribution partners fail to provide or maintain these LES facilities, Inmarsat has some ability to migrate affected traffic to its own LES facilities though there is likely to be some service disruption or limitation, including regulatory, which may affect the ability or timescale for a migration. This could adversely affect Inmarsat’s business, financial condition and results of operations. Inmarsat also has third parties who provide the ground infrastructure for the EAN and its GX services. The failure of third parties to provide or maintain these services could also adversely affect Inmarsat’s business, financial condition and results of operations.</w:t>
      </w:r>
    </w:p>
    <w:p>
      <w:pPr>
        <w:pStyle w:val="TextBody"/>
        <w:bidi w:val="0"/>
        <w:spacing w:before="180" w:after="0"/>
        <w:jc w:val="left"/>
        <w:rPr>
          <w:rFonts w:ascii="Arial;sans-serif" w:hAnsi="Arial;sans-serif"/>
          <w:b w:val="false"/>
          <w:sz w:val="20"/>
        </w:rPr>
      </w:pPr>
      <w:r>
        <w:rPr>
          <w:rFonts w:ascii="Arial;sans-serif" w:hAnsi="Arial;sans-serif"/>
          <w:b w:val="false"/>
          <w:sz w:val="20"/>
        </w:rPr>
        <w:t>Inmarsat also relies on manufacturers and partners to supply the technology and infrastructure required to support new satellite ground infrastructure deployment for newly launched satellites or satellites under construction or to maintain existing infrastructure and capabilities, without which Inmarsat’s revenues would be negatively impacted. This requires Inmarsat to procure suppliers for delivery of projects and support and maintenance activities through thorough and robust approaches appropriate for critical projects and activities.</w:t>
      </w:r>
    </w:p>
    <w:p>
      <w:pPr>
        <w:pStyle w:val="TextBody"/>
        <w:bidi w:val="0"/>
        <w:spacing w:before="180" w:after="0"/>
        <w:jc w:val="left"/>
        <w:rPr>
          <w:rFonts w:ascii="Arial;sans-serif" w:hAnsi="Arial;sans-serif"/>
          <w:b w:val="false"/>
          <w:sz w:val="20"/>
        </w:rPr>
      </w:pPr>
      <w:r>
        <w:rPr>
          <w:rFonts w:ascii="Arial;sans-serif" w:hAnsi="Arial;sans-serif"/>
          <w:b w:val="false"/>
          <w:sz w:val="20"/>
        </w:rPr>
        <w:t>In addition, Inmarsat relies on a network of LESs, Satellite Access Stations (SASs) and ground infrastructure, some of which are managed by third parties, and if there are significant interruptions in these networks due to component or telecom failure, physical attack, fire, explosion, extreme weather, natural disasters, failure of a third party to fulfil its contractual obligations or otherwise, such interruptions could affect Inmarsat’s business, financial condition and results of operations.</w:t>
      </w:r>
    </w:p>
    <w:p>
      <w:pPr>
        <w:pStyle w:val="TextBody"/>
        <w:bidi w:val="0"/>
        <w:spacing w:before="180" w:after="0"/>
        <w:jc w:val="left"/>
        <w:rPr>
          <w:rFonts w:ascii="Arial;sans-serif" w:hAnsi="Arial;sans-serif"/>
          <w:b/>
          <w:sz w:val="20"/>
        </w:rPr>
      </w:pPr>
      <w:r>
        <w:rPr>
          <w:rFonts w:ascii="Arial;sans-serif" w:hAnsi="Arial;sans-serif"/>
          <w:b/>
          <w:sz w:val="20"/>
        </w:rPr>
        <w:t>Sales by Distribution Partners and Resellers Represent a Significant Portion of Inmarsat’s Revenues; Inmarsat May Be Held Responsible for Actions Taken by its Distribution Partners and Resellers in Violation of Applicable Laws; the Failure, Loss or Insolvency of Key Distribution Partners Could Adversely Affect Inmarsat’s Revenues, Profitability and Liquidity</w:t>
      </w:r>
    </w:p>
    <w:p>
      <w:pPr>
        <w:pStyle w:val="TextBody"/>
        <w:bidi w:val="0"/>
        <w:spacing w:before="80" w:after="0"/>
        <w:jc w:val="left"/>
        <w:rPr>
          <w:rFonts w:ascii="Arial;sans-serif" w:hAnsi="Arial;sans-serif"/>
          <w:b w:val="false"/>
          <w:sz w:val="20"/>
        </w:rPr>
      </w:pPr>
      <w:r>
        <w:rPr>
          <w:rFonts w:ascii="Arial;sans-serif" w:hAnsi="Arial;sans-serif"/>
          <w:b w:val="false"/>
          <w:sz w:val="20"/>
        </w:rPr>
        <w:t>Inmarsat continues to rely on third-party distribution partners, resellers and other service providers for a material portion of its revenues. There is a risk that Inmarsat’s third-party distribution partners, resellers or service providers could fail to market, distribute or support its products and services effectively, or fail to offer its products and services at prices which are competitive, which could adversely affect Inmarsat’s revenues, profitability, liquidity and reputation. Changes in Inmarsat’s business model could affect the willingness of third-party distribution partners, resellers or other service providers to continue to offer Inmarsat’s services.</w:t>
      </w:r>
    </w:p>
    <w:p>
      <w:pPr>
        <w:pStyle w:val="TextBody"/>
        <w:bidi w:val="0"/>
        <w:spacing w:before="240" w:after="0"/>
        <w:jc w:val="center"/>
        <w:rPr>
          <w:rFonts w:ascii="Arial;sans-serif" w:hAnsi="Arial;sans-serif"/>
          <w:b w:val="false"/>
          <w:sz w:val="20"/>
        </w:rPr>
      </w:pPr>
      <w:r>
        <w:rPr>
          <w:rFonts w:ascii="Arial;sans-serif" w:hAnsi="Arial;sans-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left"/>
        <w:rPr>
          <w:rFonts w:ascii="Arial;sans-serif" w:hAnsi="Arial;sans-serif"/>
          <w:b w:val="false"/>
          <w:sz w:val="20"/>
        </w:rPr>
      </w:pPr>
      <w:r>
        <w:rPr>
          <w:rFonts w:ascii="Arial;sans-serif" w:hAnsi="Arial;sans-serif"/>
          <w:b w:val="false"/>
          <w:sz w:val="20"/>
        </w:rPr>
        <w:t>Like Viasat, Inmarsat’s sales and operations are subject to various applicable laws and regulations relating to trade, sanctions, export controls and anti-bribery laws, and violations of any such laws or regulations could materially adversely affect Inmarsat’s business, financial condition and results of operations. Inmarsat may also be held responsible under such laws and regulations for actions taken by its third-party distribution partners, resellers or other service providers who sell Inmarsat’s products and services on its behalf. Inmarsat has clauses in its contracts with third-party distribution partners, resellers and other service providers requiring them to comply with such laws and regulations and expressly prohibiting any actions in breach of sanctions laws. Inmarsat also has a compliance team and internal procedures in place designed to address such risks; however, there can be no assurance that third-party distribution partners, resellers or other service providers have fully complied or will comply with such covenants at all times, or that Inmarsat’s internal procedures have been or will continue to be completely effective in monitoring or ensuring such compliance. Accordingly, from time-to-time activities have been and may be undertaken by third-party distribution partners, resellers or other service providers, in violation of their contracts with Inmarsat and such laws and regulations, for which Inmarsat may be held responsible. For example, during 2021 Inmarsat identified that certain distributors were in breach of their contracts with Inmarsat and applicable sanctions laws and regulations. Upon identification, Inmarsat took immediate action to terminate the relevant services and investigate these breaches to ascertain any risk to Inmarsat from past or future non-compliance by its distributors and to improve its internal procedures to identify and prevent future breaches by its distributors, resellers or other service providers.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Moreover, any existing or future investigation of alleged violations of any such laws could have a material adverse impact on Inmarsat’s reputation, business, financial condition and results of operations.</w:t>
      </w:r>
    </w:p>
    <w:p>
      <w:pPr>
        <w:pStyle w:val="TextBody"/>
        <w:bidi w:val="0"/>
        <w:spacing w:before="180" w:after="0"/>
        <w:jc w:val="left"/>
        <w:rPr>
          <w:rFonts w:ascii="Arial;sans-serif" w:hAnsi="Arial;sans-serif"/>
          <w:b w:val="false"/>
          <w:sz w:val="20"/>
        </w:rPr>
      </w:pPr>
      <w:r>
        <w:rPr>
          <w:rFonts w:ascii="Arial;sans-serif" w:hAnsi="Arial;sans-serif"/>
          <w:b w:val="false"/>
          <w:sz w:val="20"/>
        </w:rPr>
        <w:t>In addition, the loss, insolvency or merger of any key third-party distribution partners, resellers or other service providers could materially affect Inmarsat’s routes to market, increase its reliance on a few key partners, reduce customer choice or result in a significant bad debt cost, all of which could have a material adverse effect on its business, financial condition and results of operations.</w:t>
      </w:r>
    </w:p>
    <w:p>
      <w:pPr>
        <w:pStyle w:val="TextBody"/>
        <w:bidi w:val="0"/>
        <w:spacing w:before="280" w:after="0"/>
        <w:jc w:val="left"/>
        <w:rPr>
          <w:rFonts w:ascii="Arial;sans-serif" w:hAnsi="Arial;sans-serif"/>
          <w:b/>
          <w:sz w:val="20"/>
        </w:rPr>
      </w:pPr>
      <w:bookmarkStart w:id="15" w:name="item_5_other_information"/>
      <w:bookmarkEnd w:id="15"/>
      <w:r>
        <w:rPr>
          <w:rFonts w:ascii="Arial;sans-serif" w:hAnsi="Arial;sans-serif"/>
          <w:b/>
          <w:sz w:val="20"/>
        </w:rPr>
        <w:t>Item 5. Other Information</w:t>
      </w:r>
    </w:p>
    <w:p>
      <w:pPr>
        <w:pStyle w:val="TextBody"/>
        <w:bidi w:val="0"/>
        <w:spacing w:before="80" w:after="0"/>
        <w:jc w:val="left"/>
        <w:rPr>
          <w:rFonts w:ascii="Arial;sans-serif" w:hAnsi="Arial;sans-serif"/>
          <w:b/>
          <w:sz w:val="20"/>
        </w:rPr>
      </w:pPr>
      <w:r>
        <w:rPr>
          <w:rFonts w:ascii="Arial;sans-serif" w:hAnsi="Arial;sans-serif"/>
          <w:b/>
          <w:sz w:val="20"/>
        </w:rPr>
        <w:t>Rule 10b5-1 Trading Plan Elections</w:t>
      </w:r>
    </w:p>
    <w:p>
      <w:pPr>
        <w:pStyle w:val="TextBody"/>
        <w:bidi w:val="0"/>
        <w:spacing w:before="80" w:after="0"/>
        <w:jc w:val="left"/>
        <w:rPr>
          <w:rFonts w:ascii="Times New Roman" w:hAnsi="Times New Roman"/>
          <w:sz w:val="20"/>
        </w:rPr>
      </w:pPr>
      <w:r>
        <w:rPr>
          <w:rFonts w:ascii="Arial;sans-serif" w:hAnsi="Arial;sans-serif"/>
          <w:b w:val="false"/>
          <w:sz w:val="20"/>
        </w:rPr>
        <w:t>On May 25, 2023, John Stenbit, Director, adopted</w:t>
      </w:r>
      <w:r>
        <w:rPr>
          <w:rFonts w:ascii="Times New Roman" w:hAnsi="Times New Roman"/>
          <w:sz w:val="20"/>
        </w:rPr>
        <w:t xml:space="preserve"> </w:t>
      </w:r>
      <w:r>
        <w:rPr>
          <w:rFonts w:ascii="Arial;sans-serif" w:hAnsi="Arial;sans-serif"/>
          <w:b w:val="false"/>
          <w:sz w:val="20"/>
        </w:rPr>
        <w:t>a Rule 10b5-1 trading arrangement that is intended to satisfy the affirmative defense of Rule 10b5-1(c) for the sale of up to 5,000</w:t>
      </w:r>
      <w:r>
        <w:rPr>
          <w:rFonts w:ascii="Times New Roman" w:hAnsi="Times New Roman"/>
          <w:sz w:val="20"/>
        </w:rPr>
        <w:t xml:space="preserve"> </w:t>
      </w:r>
      <w:r>
        <w:rPr>
          <w:rFonts w:ascii="Arial;sans-serif" w:hAnsi="Arial;sans-serif"/>
          <w:b w:val="false"/>
          <w:sz w:val="20"/>
        </w:rPr>
        <w:t>shares of the Company’s common stock from August 24, 2023 until September 6, 2023.</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6" w:name="item_6_exhibits"/>
      <w:bookmarkEnd w:id="16"/>
      <w:r>
        <w:rPr>
          <w:rFonts w:ascii="Arial;sans-serif" w:hAnsi="Arial;sans-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74"/>
        <w:gridCol w:w="146"/>
        <w:gridCol w:w="5078"/>
        <w:gridCol w:w="146"/>
        <w:gridCol w:w="526"/>
        <w:gridCol w:w="146"/>
        <w:gridCol w:w="690"/>
        <w:gridCol w:w="146"/>
        <w:gridCol w:w="661"/>
        <w:gridCol w:w="146"/>
        <w:gridCol w:w="637"/>
        <w:gridCol w:w="146"/>
        <w:gridCol w:w="963"/>
      </w:tblGrid>
      <w:tr>
        <w:trPr/>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7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52" w:type="dxa"/>
            <w:gridSpan w:val="7"/>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0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69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63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Filed or</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Furnished</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Herewith</w:t>
            </w:r>
          </w:p>
        </w:tc>
      </w:tr>
      <w:tr>
        <w:trPr/>
        <w:tc>
          <w:tcPr>
            <w:tcW w:w="7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2.1</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r:id="rId3">
              <w:r>
                <w:rPr>
                  <w:rStyle w:val="InternetLink"/>
                  <w:rFonts w:ascii="Arial;sans-serif" w:hAnsi="Arial;sans-serif"/>
                  <w:b w:val="false"/>
                  <w:sz w:val="20"/>
                  <w:u w:val="single"/>
                </w:rPr>
                <w:t>Letter agreement, dated as of April 11, 2023, by and among Viasat, Inc. and the shareholders of Connect Topco Limited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10-K</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000-21767</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2.1(A)</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05/22/2023</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3.1</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r:id="rId4">
              <w:r>
                <w:rPr>
                  <w:rStyle w:val="InternetLink"/>
                  <w:rFonts w:ascii="Arial;sans-serif" w:hAnsi="Arial;sans-serif"/>
                  <w:b w:val="false"/>
                  <w:sz w:val="20"/>
                  <w:u w:val="single"/>
                </w:rPr>
                <w:t>Certificate of Amendment to the Second Amended and Restated Certificate of Incorporation of Viasat, Inc.</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000-21767</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3.1</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06/02/2023</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4.1</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w:anchor="vsat-ex4_1.htm">
              <w:r>
                <w:rPr>
                  <w:rStyle w:val="InternetLink"/>
                  <w:rFonts w:ascii="Arial;sans-serif" w:hAnsi="Arial;sans-serif"/>
                  <w:b w:val="false"/>
                  <w:sz w:val="20"/>
                  <w:u w:val="single"/>
                </w:rPr>
                <w:t>Indenture, dated as of October 7, 2019, by and among Connect Finco SARL, Connect U.S. Finco LLC and Wilmington Trust, National Association, as trustee</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r:id="rId5">
              <w:r>
                <w:rPr>
                  <w:rStyle w:val="InternetLink"/>
                  <w:rFonts w:ascii="Arial;sans-serif" w:hAnsi="Arial;sans-serif"/>
                  <w:b w:val="false"/>
                  <w:sz w:val="20"/>
                  <w:u w:val="single"/>
                </w:rPr>
                <w:t>Severance Agreement, dated as of April 13, 2023, by and between Viasat, Inc. and K. Guru Gowrappan</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10-K</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000-21767</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10.11</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05/22/2023</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10.2</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r:id="rId6">
              <w:r>
                <w:rPr>
                  <w:rStyle w:val="InternetLink"/>
                  <w:rFonts w:ascii="Arial;sans-serif" w:hAnsi="Arial;sans-serif"/>
                  <w:b w:val="false"/>
                  <w:sz w:val="20"/>
                  <w:u w:val="single"/>
                </w:rPr>
                <w:t>Credit Agreement, dated as of May 30, 2023, by and among Viasat, Inc., Bank of America, N.A. (as administrative agent and collateral agent), and other lenders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000-21767</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10.1</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06/02/2023</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10.3</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r:id="rId7">
              <w:r>
                <w:rPr>
                  <w:rStyle w:val="InternetLink"/>
                  <w:rFonts w:ascii="Arial;sans-serif" w:hAnsi="Arial;sans-serif"/>
                  <w:b w:val="false"/>
                  <w:sz w:val="20"/>
                  <w:u w:val="single"/>
                </w:rPr>
                <w:t>Bridge Credit Agreement, dated as of May 30, 2023, by and among Viasat, Inc., JP Morgan Chase Bank, N.A. (as administrative agent), and the other lenders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000-21767</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10.2</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06/02/2023</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10.4</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w:anchor="vsat-ex10_4.htm">
              <w:r>
                <w:rPr>
                  <w:rStyle w:val="InternetLink"/>
                  <w:rFonts w:ascii="Arial;sans-serif" w:hAnsi="Arial;sans-serif"/>
                  <w:b w:val="false"/>
                  <w:sz w:val="20"/>
                  <w:u w:val="single"/>
                </w:rPr>
                <w:t>Credit Agreement, dated as of December 12, 2019, by and among Connect Midco Limited, Connect Bidco Limited, Connect Finco SARL, Connect U.S. Finco LLC, Barclays Bank PLC (as administrative agent and collateral agent), and the other lenders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10.4.1</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w:anchor="vsat-ex10_41.htm">
              <w:r>
                <w:rPr>
                  <w:rStyle w:val="InternetLink"/>
                  <w:rFonts w:ascii="Arial;sans-serif" w:hAnsi="Arial;sans-serif"/>
                  <w:b w:val="false"/>
                  <w:sz w:val="20"/>
                  <w:u w:val="single"/>
                </w:rPr>
                <w:t>Amendment No.1 to Credit Agreement, dated as of January 25, 2021, by and among Connect Midco Limited, Connect Bidco Limited, Connect Finco SARL, Connect U.S. Finco LLC, Barclays Bank PLC (as administrative agent and collateral agent), and the other lenders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10.4.2</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w:anchor="vsat-ex10_42.htm">
              <w:r>
                <w:rPr>
                  <w:rStyle w:val="InternetLink"/>
                  <w:rFonts w:ascii="Arial;sans-serif" w:hAnsi="Arial;sans-serif"/>
                  <w:b w:val="false"/>
                  <w:sz w:val="20"/>
                  <w:u w:val="single"/>
                </w:rPr>
                <w:t>Amendment No. 2 to Credit Agreement, dated as of December 17, 2021, by and among Connect Midco Limited, Connect Bidco Limited, Connect Finco SARL, Connect U.S. Finco LLC, Barclays Bank PLC (as administrative agent and collateral agent), and the other lenders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10.4.3</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hyperlink w:anchor="vsat-ex10_43.htm">
              <w:r>
                <w:rPr>
                  <w:rStyle w:val="InternetLink"/>
                  <w:rFonts w:ascii="Arial;sans-serif" w:hAnsi="Arial;sans-serif"/>
                  <w:b w:val="false"/>
                  <w:sz w:val="20"/>
                  <w:u w:val="single"/>
                </w:rPr>
                <w:t>Amendment No. 3 to Credit Agreement, dated as of December 2, 2022, by and among Connect Midco Limited, Connect Bidco Limited, Connect Finco SARL, Connect U.S. Finco LLC, Barclays Bank PLC (as administrative agent and collateral agent), and the other lenders party thereto</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774"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50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Arial;sans-serif" w:hAnsi="Arial;sans-serif"/>
          <w:b w:val="false"/>
          <w:sz w:val="20"/>
        </w:rPr>
      </w:pPr>
      <w:r>
        <w:rPr>
          <w:rFonts w:ascii="Arial;sans-serif" w:hAnsi="Arial;sans-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7"/>
        <w:gridCol w:w="146"/>
        <w:gridCol w:w="7651"/>
        <w:gridCol w:w="146"/>
        <w:gridCol w:w="146"/>
        <w:gridCol w:w="146"/>
        <w:gridCol w:w="146"/>
        <w:gridCol w:w="146"/>
        <w:gridCol w:w="146"/>
        <w:gridCol w:w="146"/>
        <w:gridCol w:w="146"/>
        <w:gridCol w:w="146"/>
        <w:gridCol w:w="287"/>
      </w:tblGrid>
      <w:tr>
        <w:trPr/>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31.1</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hyperlink w:anchor="vsat-ex31_1.htm">
              <w:r>
                <w:rPr>
                  <w:rStyle w:val="InternetLink"/>
                  <w:rFonts w:ascii="Arial;sans-serif" w:hAnsi="Arial;sans-serif"/>
                  <w:b w:val="false"/>
                  <w:sz w:val="20"/>
                  <w:u w:val="single"/>
                </w:rPr>
                <w:t>Certification of Chief Executive Officer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31.2</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hyperlink w:anchor="vsat-ex31_2.htm">
              <w:r>
                <w:rPr>
                  <w:rStyle w:val="InternetLink"/>
                  <w:rFonts w:ascii="Arial;sans-serif" w:hAnsi="Arial;sans-serif"/>
                  <w:b w:val="false"/>
                  <w:sz w:val="20"/>
                  <w:u w:val="single"/>
                </w:rPr>
                <w:t>Certification of Chief Financial Officer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32.1**</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hyperlink w:anchor="vsat-ex32_1.htm">
              <w:r>
                <w:rPr>
                  <w:rStyle w:val="InternetLink"/>
                  <w:rFonts w:ascii="Arial;sans-serif" w:hAnsi="Arial;sans-serif"/>
                  <w:b w:val="false"/>
                  <w:sz w:val="20"/>
                  <w:u w:val="single"/>
                </w:rPr>
                <w:t>Certifications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101.INS</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101.SCH</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101.CAL</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101.DEF</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101.LAB</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Labels Linkbase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101.PRE</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firstLine="113"/>
              <w:jc w:val="center"/>
              <w:rPr>
                <w:rFonts w:ascii="Arial;sans-serif" w:hAnsi="Arial;sans-serif"/>
                <w:b w:val="false"/>
                <w:sz w:val="20"/>
              </w:rPr>
            </w:pPr>
            <w:r>
              <w:rPr>
                <w:rFonts w:ascii="Arial;sans-serif" w:hAnsi="Arial;sans-serif"/>
                <w:b w:val="false"/>
                <w:sz w:val="20"/>
              </w:rPr>
              <w:t>104</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(formatted as inline XBRL and contained in Exhibit 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X</w:t>
            </w:r>
          </w:p>
        </w:tc>
      </w:tr>
      <w:tr>
        <w:trPr/>
        <w:tc>
          <w:tcPr>
            <w:tcW w:w="807" w:type="dxa"/>
            <w:tcBorders/>
            <w:vAlign w:val="center"/>
          </w:tcPr>
          <w:p>
            <w:pPr>
              <w:pStyle w:val="TableContents"/>
              <w:bidi w:val="0"/>
              <w:spacing w:before="0" w:after="0"/>
              <w:ind w:left="0" w:right="0" w:firstLine="113"/>
              <w:jc w:val="center"/>
              <w:rPr/>
            </w:pPr>
            <w:r>
              <w:rPr/>
              <w:t> </w:t>
            </w:r>
          </w:p>
        </w:tc>
        <w:tc>
          <w:tcPr>
            <w:tcW w:w="146" w:type="dxa"/>
            <w:tcBorders/>
            <w:vAlign w:val="center"/>
          </w:tcPr>
          <w:p>
            <w:pPr>
              <w:pStyle w:val="TableContents"/>
              <w:bidi w:val="0"/>
              <w:spacing w:before="0" w:after="0"/>
              <w:ind w:left="113"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pPr>
            <w:r>
              <w:rPr/>
              <w:t> </w:t>
            </w:r>
          </w:p>
        </w:tc>
      </w:tr>
    </w:tbl>
    <w:p>
      <w:pPr>
        <w:pStyle w:val="TextBody"/>
        <w:bidi w:val="0"/>
        <w:spacing w:before="90" w:after="0"/>
        <w:jc w:val="left"/>
        <w:rPr>
          <w:rFonts w:ascii="Arial;sans-serif" w:hAnsi="Arial;sans-serif"/>
          <w:b w:val="false"/>
          <w:sz w:val="20"/>
        </w:rPr>
      </w:pPr>
      <w:r>
        <w:rPr>
          <w:rFonts w:ascii="Arial;sans-serif" w:hAnsi="Arial;sans-serif"/>
          <w:b w:val="false"/>
          <w:sz w:val="20"/>
        </w:rPr>
        <w:t>* Indicates management contract, compensatory plan or arrangement.</w:t>
      </w:r>
    </w:p>
    <w:p>
      <w:pPr>
        <w:pStyle w:val="TextBody"/>
        <w:bidi w:val="0"/>
        <w:spacing w:before="90" w:after="0"/>
        <w:jc w:val="left"/>
        <w:rPr>
          <w:rFonts w:ascii="Arial;sans-serif" w:hAnsi="Arial;sans-serif"/>
          <w:b w:val="false"/>
          <w:sz w:val="20"/>
        </w:rPr>
      </w:pPr>
      <w:r>
        <w:rPr>
          <w:rFonts w:ascii="Arial;sans-serif" w:hAnsi="Arial;sans-serif"/>
          <w:b w:val="false"/>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0"/>
        <w:jc w:val="center"/>
        <w:rPr>
          <w:rFonts w:ascii="Arial;sans-serif" w:hAnsi="Arial;sans-serif"/>
          <w:b w:val="false"/>
          <w:sz w:val="20"/>
        </w:rPr>
      </w:pPr>
      <w:r>
        <w:rPr>
          <w:rFonts w:ascii="Arial;sans-serif" w:hAnsi="Arial;sans-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7" w:name="signatures"/>
      <w:bookmarkEnd w:id="17"/>
      <w:r>
        <w:rPr>
          <w:rFonts w:ascii="Arial;sans-serif" w:hAnsi="Arial;sans-serif"/>
          <w:b/>
          <w:sz w:val="20"/>
        </w:rPr>
        <w:t>SIGNATURES</w:t>
      </w:r>
      <w:r>
        <w:rPr>
          <w:rFonts w:ascii="Times New Roman" w:hAnsi="Times New Roman"/>
          <w:sz w:val="20"/>
        </w:rPr>
        <w:t xml:space="preserve"> </w:t>
      </w:r>
    </w:p>
    <w:p>
      <w:pPr>
        <w:pStyle w:val="TextBody"/>
        <w:bidi w:val="0"/>
        <w:spacing w:before="270" w:after="0"/>
        <w:jc w:val="left"/>
        <w:rPr>
          <w:rFonts w:ascii="Times New Roman" w:hAnsi="Times New Roman"/>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6193" w:type="dxa"/>
        <w:jc w:val="left"/>
        <w:tblInd w:w="0" w:type="dxa"/>
        <w:tblLayout w:type="fixed"/>
        <w:tblCellMar>
          <w:top w:w="28" w:type="dxa"/>
          <w:left w:w="28" w:type="dxa"/>
          <w:bottom w:w="28" w:type="dxa"/>
          <w:right w:w="28" w:type="dxa"/>
        </w:tblCellMar>
      </w:tblPr>
      <w:tblGrid>
        <w:gridCol w:w="1486"/>
        <w:gridCol w:w="146"/>
        <w:gridCol w:w="456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VIASAT, INC.</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August 9, 2023</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M</w:t>
            </w:r>
            <w:r>
              <w:rPr>
                <w:rFonts w:ascii="Arial;sans-serif" w:hAnsi="Arial;sans-serif"/>
                <w:b w:val="false"/>
                <w:sz w:val="16"/>
              </w:rPr>
              <w:t xml:space="preserve">ARK </w:t>
            </w:r>
            <w:r>
              <w:rPr>
                <w:rFonts w:ascii="Arial;sans-serif" w:hAnsi="Arial;sans-serif"/>
                <w:b w:val="false"/>
                <w:sz w:val="20"/>
              </w:rPr>
              <w:t>D</w:t>
            </w:r>
            <w:r>
              <w:rPr>
                <w:rFonts w:ascii="Arial;sans-serif" w:hAnsi="Arial;sans-serif"/>
                <w:b w:val="false"/>
                <w:sz w:val="16"/>
              </w:rPr>
              <w:t>ANKBERG</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Dankberg</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Chairman of the Board and Chief Executive Officer</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(Principal Executive Officer)</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S</w:t>
            </w:r>
            <w:r>
              <w:rPr>
                <w:rFonts w:ascii="Arial;sans-serif" w:hAnsi="Arial;sans-serif"/>
                <w:b w:val="false"/>
                <w:sz w:val="16"/>
              </w:rPr>
              <w:t>HAWN</w:t>
            </w:r>
            <w:r>
              <w:rPr>
                <w:rFonts w:ascii="Times New Roman" w:hAnsi="Times New Roman"/>
                <w:sz w:val="20"/>
              </w:rPr>
              <w:t> </w:t>
            </w:r>
            <w:r>
              <w:rPr>
                <w:rFonts w:ascii="Arial;sans-serif" w:hAnsi="Arial;sans-serif"/>
                <w:b w:val="false"/>
                <w:sz w:val="20"/>
              </w:rPr>
              <w:t>D</w:t>
            </w:r>
            <w:r>
              <w:rPr>
                <w:rFonts w:ascii="Arial;sans-serif" w:hAnsi="Arial;sans-serif"/>
                <w:b w:val="false"/>
                <w:sz w:val="16"/>
              </w:rPr>
              <w:t>UFFY</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Senior Vice President and Chief Financial Officer</w:t>
            </w:r>
          </w:p>
        </w:tc>
      </w:tr>
      <w:tr>
        <w:trPr/>
        <w:tc>
          <w:tcPr>
            <w:tcW w:w="1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(Principal Financial Officer)</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18" w:name="vsat-ex4_1.htm"/>
      <w:bookmarkStart w:id="19" w:name="ksvsatex4_1"/>
      <w:bookmarkEnd w:id="18"/>
      <w:bookmarkEnd w:id="19"/>
      <w:r>
        <w:rPr>
          <w:rFonts w:ascii="Times New Roman;serif" w:hAnsi="Times New Roman;serif"/>
          <w:b/>
          <w:sz w:val="22"/>
        </w:rPr>
        <w:t>Exhibit 4.1</w:t>
      </w:r>
      <w:r>
        <w:br w:type="page"/>
      </w:r>
    </w:p>
    <w:p>
      <w:pPr>
        <w:pStyle w:val="TextBody"/>
        <w:bidi w:val="0"/>
        <w:spacing w:before="0" w:after="0"/>
        <w:jc w:val="right"/>
        <w:rPr/>
      </w:pPr>
      <w:r>
        <w:rPr/>
        <w:t> </w:t>
      </w:r>
    </w:p>
    <w:p>
      <w:pPr>
        <w:pStyle w:val="TextBody"/>
        <w:bidi w:val="0"/>
        <w:spacing w:before="0" w:after="0"/>
        <w:jc w:val="right"/>
        <w:rPr>
          <w:rFonts w:ascii="Times New Roman;serif" w:hAnsi="Times New Roman;serif"/>
          <w:b/>
          <w:i/>
          <w:sz w:val="22"/>
        </w:rPr>
      </w:pPr>
      <w:r>
        <w:rPr>
          <w:rFonts w:ascii="Times New Roman;serif" w:hAnsi="Times New Roman;serif"/>
          <w:b/>
          <w:i/>
          <w:sz w:val="22"/>
        </w:rPr>
        <w:t>Execution Version</w:t>
      </w:r>
    </w:p>
    <w:p>
      <w:pPr>
        <w:pStyle w:val="TextBody"/>
        <w:pBdr>
          <w:top w:val="double" w:sz="6" w:space="1" w:color="000000"/>
        </w:pBdr>
        <w:bidi w:val="0"/>
        <w:spacing w:before="0" w:after="720"/>
        <w:jc w:val="left"/>
        <w:rPr/>
      </w:pPr>
      <w:bookmarkStart w:id="20" w:name="sendfinaltemp"/>
      <w:bookmarkStart w:id="21" w:name="cgrcurrpg"/>
      <w:bookmarkEnd w:id="20"/>
      <w:bookmarkEnd w:id="21"/>
      <w:r>
        <w:rPr/>
        <w:t> </w:t>
      </w:r>
    </w:p>
    <w:p>
      <w:pPr>
        <w:pStyle w:val="TextBody"/>
        <w:bidi w:val="0"/>
        <w:spacing w:before="0" w:after="720"/>
        <w:jc w:val="center"/>
        <w:rPr>
          <w:rFonts w:ascii="Times New Roman;serif" w:hAnsi="Times New Roman;serif"/>
          <w:b w:val="false"/>
          <w:sz w:val="22"/>
        </w:rPr>
      </w:pPr>
      <w:r>
        <w:rPr>
          <w:rFonts w:ascii="Times New Roman;serif" w:hAnsi="Times New Roman;serif"/>
          <w:b w:val="false"/>
          <w:sz w:val="22"/>
        </w:rPr>
        <w:t>INDENTURE</w:t>
        <w:br/>
        <w:br/>
        <w:t>Dated as of October 7, 2019</w:t>
        <w:br/>
        <w:br/>
        <w:t>Among</w:t>
        <w:br/>
        <w:br/>
        <w:t xml:space="preserve">CONNECT FINCO SARL, </w:t>
        <w:br/>
        <w:br/>
        <w:t>CONNECT U.S. FINCO LLC,</w:t>
        <w:br/>
        <w:br/>
        <w:t>THE GUARANTORS NAMED ON THE SIGNATURE PAGES HERETO</w:t>
        <w:br/>
        <w:br/>
        <w:t>and</w:t>
        <w:br/>
        <w:br/>
        <w:t>WILMINGTON TRUST, NATIONAL ASSOCIATION,</w:t>
        <w:br/>
        <w:t>as Trustee and as Notes Collateral Agent</w:t>
        <w:br/>
        <w:br/>
        <w:br/>
        <w:t>6.750% SENIOR SECURED NOTES DUE 2026</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TABLE OF CONTENTS</w:t>
      </w:r>
    </w:p>
    <w:p>
      <w:pPr>
        <w:pStyle w:val="TextBody"/>
        <w:bidi w:val="0"/>
        <w:spacing w:before="0" w:after="240"/>
        <w:jc w:val="right"/>
        <w:rPr>
          <w:rFonts w:ascii="Times New Roman;serif" w:hAnsi="Times New Roman;serif"/>
          <w:b w:val="false"/>
          <w:sz w:val="22"/>
          <w:u w:val="single"/>
        </w:rPr>
      </w:pPr>
      <w:r>
        <w:rPr>
          <w:rFonts w:ascii="Times New Roman;serif" w:hAnsi="Times New Roman;serif"/>
          <w:b w:val="false"/>
          <w:sz w:val="22"/>
          <w:u w:val="single"/>
        </w:rPr>
        <w:t>Page</w:t>
      </w:r>
    </w:p>
    <w:tbl>
      <w:tblPr>
        <w:tblW w:w="9166" w:type="dxa"/>
        <w:jc w:val="left"/>
        <w:tblInd w:w="0" w:type="dxa"/>
        <w:tblLayout w:type="fixed"/>
        <w:tblCellMar>
          <w:top w:w="28" w:type="dxa"/>
          <w:left w:w="28" w:type="dxa"/>
          <w:bottom w:w="28" w:type="dxa"/>
          <w:right w:w="28" w:type="dxa"/>
        </w:tblCellMar>
      </w:tblPr>
      <w:tblGrid>
        <w:gridCol w:w="1415"/>
        <w:gridCol w:w="5920"/>
        <w:gridCol w:w="1831"/>
      </w:tblGrid>
      <w:tr>
        <w:trPr/>
        <w:tc>
          <w:tcPr>
            <w:tcW w:w="1415" w:type="dxa"/>
            <w:tcBorders/>
            <w:vAlign w:val="center"/>
          </w:tcPr>
          <w:p>
            <w:pPr>
              <w:pStyle w:val="TableContents"/>
              <w:bidi w:val="0"/>
              <w:spacing w:before="0" w:after="283"/>
              <w:jc w:val="left"/>
              <w:rPr>
                <w:sz w:val="4"/>
                <w:szCs w:val="4"/>
              </w:rPr>
            </w:pPr>
            <w:r>
              <w:rPr>
                <w:sz w:val="4"/>
                <w:szCs w:val="4"/>
              </w:rPr>
            </w:r>
          </w:p>
        </w:tc>
        <w:tc>
          <w:tcPr>
            <w:tcW w:w="592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7335"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1 DEFINITIONS AND INCORPORATION BY REFERENCE</w:t>
            </w:r>
          </w:p>
        </w:tc>
        <w:tc>
          <w:tcPr>
            <w:tcW w:w="1831"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1.01</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Definitions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1.02</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Other Definitions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58</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1.03</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[Reserved]</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1.04</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Rules of Construction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59</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1.05</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Acts of Holders</w:t>
            </w:r>
          </w:p>
        </w:tc>
        <w:tc>
          <w:tcPr>
            <w:tcW w:w="1831"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60</w:t>
            </w:r>
          </w:p>
        </w:tc>
      </w:tr>
      <w:tr>
        <w:trPr/>
        <w:tc>
          <w:tcPr>
            <w:tcW w:w="7335"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2 THE NOTES</w:t>
            </w:r>
          </w:p>
        </w:tc>
        <w:tc>
          <w:tcPr>
            <w:tcW w:w="1831"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61</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2.01</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Form and Dating; Terms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61</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2.02</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Execution and Authentication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63</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2.03</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Registrar and Paying Agent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63</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2.04</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Paying Agent to Hold Money in Trust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63</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2.05</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Holder Lists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2.06</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Transfer and Exchange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64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2.07</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Replacement Notes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2.08</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Outstanding Notes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2.09</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Treasury Notes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75</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2.10</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Temporary Notes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75</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2.11</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Cancellation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75</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2.12</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Defaulted Interest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76</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2.13</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CUSIP and ISIN Numbers</w:t>
            </w:r>
          </w:p>
        </w:tc>
        <w:tc>
          <w:tcPr>
            <w:tcW w:w="1831"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76</w:t>
            </w:r>
          </w:p>
        </w:tc>
      </w:tr>
      <w:tr>
        <w:trPr/>
        <w:tc>
          <w:tcPr>
            <w:tcW w:w="7335"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3 REDEMPTION</w:t>
            </w:r>
          </w:p>
        </w:tc>
        <w:tc>
          <w:tcPr>
            <w:tcW w:w="1831"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76</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3.01</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Notices to Trustee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76</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3.02</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Selection of Notes to Be Redeemed</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77</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3.03</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Notice of Redemption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77</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3.04</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Effect of Notice of Redemption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78</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3.05</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Deposit of Redemption or Purchase Price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78</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3.06</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Notes Redeemed or Purchased in Part</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79</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3.07</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Optional Redemption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79</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3.08</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Mandatory Redemption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80</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3.09</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Offers to Repurchase by Application of Excess Proceeds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81</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3.10</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Redemption for Changes in Taxes.</w:t>
            </w:r>
          </w:p>
        </w:tc>
        <w:tc>
          <w:tcPr>
            <w:tcW w:w="1831"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83</w:t>
            </w:r>
          </w:p>
        </w:tc>
      </w:tr>
      <w:tr>
        <w:trPr/>
        <w:tc>
          <w:tcPr>
            <w:tcW w:w="7335"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4 COVENANTS</w:t>
            </w:r>
          </w:p>
        </w:tc>
        <w:tc>
          <w:tcPr>
            <w:tcW w:w="1831"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84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4.01</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Payment of Notes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4.02</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Maintenance of Office or Agency</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4.03</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Reports and Other Information</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84</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4.04</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Compliance Certificate</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87</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4.05</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Taxes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87</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4.06</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Stay, Extension and Usury Laws</w:t>
            </w:r>
          </w:p>
        </w:tc>
        <w:tc>
          <w:tcPr>
            <w:tcW w:w="1831"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87</w:t>
            </w:r>
          </w:p>
        </w:tc>
      </w:tr>
      <w:tr>
        <w:trPr/>
        <w:tc>
          <w:tcPr>
            <w:tcW w:w="1415"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4.07</w:t>
            </w:r>
          </w:p>
        </w:tc>
        <w:tc>
          <w:tcPr>
            <w:tcW w:w="5920"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Limitation on Restricted Payments</w:t>
            </w:r>
          </w:p>
        </w:tc>
        <w:tc>
          <w:tcPr>
            <w:tcW w:w="1831"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88</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serif" w:hAnsi="Times New Roman;serif"/>
          <w:b w:val="false"/>
          <w:sz w:val="22"/>
          <w:u w:val="single"/>
        </w:rPr>
      </w:pPr>
      <w:r>
        <w:rPr>
          <w:rFonts w:ascii="Times New Roman;serif" w:hAnsi="Times New Roman;serif"/>
          <w:b w:val="false"/>
          <w:sz w:val="22"/>
          <w:u w:val="single"/>
        </w:rPr>
        <w:t>Page</w:t>
      </w:r>
    </w:p>
    <w:tbl>
      <w:tblPr>
        <w:tblW w:w="10205" w:type="dxa"/>
        <w:jc w:val="left"/>
        <w:tblInd w:w="0" w:type="dxa"/>
        <w:tblLayout w:type="fixed"/>
        <w:tblCellMar>
          <w:top w:w="28" w:type="dxa"/>
          <w:left w:w="28" w:type="dxa"/>
          <w:bottom w:w="28" w:type="dxa"/>
          <w:right w:w="28" w:type="dxa"/>
        </w:tblCellMar>
      </w:tblPr>
      <w:tblGrid>
        <w:gridCol w:w="1000"/>
        <w:gridCol w:w="7253"/>
        <w:gridCol w:w="1952"/>
      </w:tblGrid>
      <w:tr>
        <w:trPr/>
        <w:tc>
          <w:tcPr>
            <w:tcW w:w="1000" w:type="dxa"/>
            <w:tcBorders/>
            <w:vAlign w:val="center"/>
          </w:tcPr>
          <w:p>
            <w:pPr>
              <w:pStyle w:val="TableContents"/>
              <w:bidi w:val="0"/>
              <w:spacing w:before="0" w:after="283"/>
              <w:jc w:val="left"/>
              <w:rPr>
                <w:sz w:val="4"/>
                <w:szCs w:val="4"/>
              </w:rPr>
            </w:pPr>
            <w:r>
              <w:rPr>
                <w:sz w:val="4"/>
                <w:szCs w:val="4"/>
              </w:rPr>
            </w:r>
          </w:p>
        </w:tc>
        <w:tc>
          <w:tcPr>
            <w:tcW w:w="725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4.08</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Dividend and Other Payment Restrictions Affecting Restricted Subsidiaries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98</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4.09</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Limitation on Incurrence of Indebtedness and Issuance of Disqualified Stock and Preferred Stock</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101</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4.10</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Asset Sales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112</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4.11</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Transactions with Affiliates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116</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4.12</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Liens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120</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4.13</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Corporate Existence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120</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4.14</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Offer to Repurchase Upon Change of Control</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120</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4.15</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Limitation on Guarantees of Indebtedness by Restricted Subsidiaries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122</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4.16</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Discharge and Suspension of Covenants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123</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4.17</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Additional Amounts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124</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4.18</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Escrow of Gross Proceeds</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127</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5 SUCCESSORS</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127</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5.01</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Merger, Consolidation or Sale of All or Substantially All Assets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127</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5.02</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Successor Corporation Substituted</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131</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6 DEFAULTS AND REMEDIES</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131</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6.01</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Events of Default</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131</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6.02</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Acceleration</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134</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6.03</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Other Remedies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134</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6.04</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Waiver of Past Defaults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135</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6.05</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Control by Majority</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135</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6.06</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Limitation on Suits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135</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6.07</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Rights of Holders of Notes to Receive Payment</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136</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6.08</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Collection Suit by Trustee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136</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6.09</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Restoration of Rights and Remedies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136</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6.10</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Rights and Remedies Cumulative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136</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6.11</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Delay or Omission Not Waiver</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137</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6.12</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Trustee May File Proofs of Claim</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137</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6.13</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Priorities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137</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6.14</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Undertaking for Costs</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138</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7 TRUSTEE</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138</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7.01</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Duties of Trustee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138</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7.02</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Rights of Trustee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139</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7.03</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Individual Rights of Trustee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140</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7.04</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Trustee’s Disclaimer</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140</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7.05</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Notice of Defaults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140</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7.06</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Reports by Trustee to Holders of the Notes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141</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7.07</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Compensation and Indemnity</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141</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7.08</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Replacement of Trustee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142</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7.09</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Successor Trustee by Merger, Etc</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143</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7.10</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Eligibility; Disqualification</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143</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7.11</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Preferential Collection of Claims Against Issuer</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143</w:t>
            </w:r>
          </w:p>
        </w:tc>
      </w:tr>
      <w:tr>
        <w:trPr/>
        <w:tc>
          <w:tcPr>
            <w:tcW w:w="100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7.12</w:t>
            </w:r>
          </w:p>
        </w:tc>
        <w:tc>
          <w:tcPr>
            <w:tcW w:w="725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Authorization to Enter Escrow Documents.</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143</w:t>
            </w:r>
          </w:p>
        </w:tc>
      </w:tr>
    </w:tbl>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-ii-</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serif" w:hAnsi="Times New Roman;serif"/>
          <w:b w:val="false"/>
          <w:sz w:val="22"/>
          <w:u w:val="single"/>
        </w:rPr>
      </w:pPr>
      <w:r>
        <w:rPr>
          <w:rFonts w:ascii="Times New Roman;serif" w:hAnsi="Times New Roman;serif"/>
          <w:b w:val="false"/>
          <w:sz w:val="22"/>
          <w:u w:val="single"/>
        </w:rPr>
        <w:t>Page</w:t>
      </w:r>
    </w:p>
    <w:tbl>
      <w:tblPr>
        <w:tblW w:w="10205" w:type="dxa"/>
        <w:jc w:val="left"/>
        <w:tblInd w:w="0" w:type="dxa"/>
        <w:tblLayout w:type="fixed"/>
        <w:tblCellMar>
          <w:top w:w="28" w:type="dxa"/>
          <w:left w:w="28" w:type="dxa"/>
          <w:bottom w:w="28" w:type="dxa"/>
          <w:right w:w="28" w:type="dxa"/>
        </w:tblCellMar>
      </w:tblPr>
      <w:tblGrid>
        <w:gridCol w:w="1150"/>
        <w:gridCol w:w="7103"/>
        <w:gridCol w:w="1952"/>
      </w:tblGrid>
      <w:tr>
        <w:trPr/>
        <w:tc>
          <w:tcPr>
            <w:tcW w:w="1150" w:type="dxa"/>
            <w:tcBorders/>
            <w:vAlign w:val="center"/>
          </w:tcPr>
          <w:p>
            <w:pPr>
              <w:pStyle w:val="TableContents"/>
              <w:bidi w:val="0"/>
              <w:spacing w:before="0" w:after="283"/>
              <w:jc w:val="left"/>
              <w:rPr>
                <w:sz w:val="4"/>
                <w:szCs w:val="4"/>
              </w:rPr>
            </w:pPr>
            <w:r>
              <w:rPr>
                <w:sz w:val="4"/>
                <w:szCs w:val="4"/>
              </w:rPr>
            </w:r>
          </w:p>
        </w:tc>
        <w:tc>
          <w:tcPr>
            <w:tcW w:w="710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8 LEGAL DEFEASANCE AND COVENANT DEFEASANCE</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143</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8.01</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Option to Effect Legal Defeasance or Covenant Defeasance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143</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8.02</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Legal Defeasance and Discharge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143</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8.03</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Covenant Defeasance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144</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8.04</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Conditions to Legal or Covenant Defeasance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145</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8.05</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Deposited Money and Government Securities to Be Held in Trust; Other Miscellaneous Provisions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146</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8.06</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Repayment to Issuers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146</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8.07</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Reinstatement</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146</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9 AMENDMENT, SUPPLEMENT AND WAIVER</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147</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9.01</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Without Consent of Holders of Notes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147</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9.02</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With Consent of Holders of Notes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149</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9.03</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[Reserved].</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9.04</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Revocation and Effect of Consents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9.05</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Notation on or Exchange of Notes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151</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9.06</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Trustee to Sign Amendments, Etc</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151</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10 GUARANTEES</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151</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10.01</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Guarantee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151</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10.02</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Limitation on Guarantor Liability</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153</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10.03</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Execution and Delivery</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153</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10.04</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Subrogation</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154</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10.05</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Benefits Acknowledged</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154</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10.06</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Release of Guarantees</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154</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11 SATISFACTION AND DISCHARGE</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156</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11.01</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Satisfaction and Discharge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156</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11.02</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Application of Trust Money</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156</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12 MISCELLANEOUS</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157</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12.01</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[Reserved].</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157</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12.02</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Notices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157</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12.03</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Communication by Holders of Notes with Other Holders of Notes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159</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12.04</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Certificate and Opinion as to Conditions Precedent</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159</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12.05</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Statements Required in Certificate or Opinion</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159</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12.06</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Rules by Trustee and Agents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159</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12.07</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Personal Liability of Directors, Officers, Employees and Stockholders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159</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12.08</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Governing Law</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12.09</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Waiver of Jury Trial</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12.10</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Force Majeure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12.11</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 Adverse Interpretation of Other Agreements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12.12</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Successors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12.13</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Severability</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160</w:t>
            </w:r>
          </w:p>
        </w:tc>
      </w:tr>
      <w:tr>
        <w:trPr/>
        <w:tc>
          <w:tcPr>
            <w:tcW w:w="115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12.14</w:t>
            </w:r>
          </w:p>
        </w:tc>
        <w:tc>
          <w:tcPr>
            <w:tcW w:w="710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Counterpart Originals</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161</w:t>
            </w:r>
          </w:p>
        </w:tc>
      </w:tr>
    </w:tbl>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-iii-</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serif" w:hAnsi="Times New Roman;serif"/>
          <w:b w:val="false"/>
          <w:sz w:val="22"/>
          <w:u w:val="single"/>
        </w:rPr>
      </w:pPr>
      <w:r>
        <w:rPr>
          <w:rFonts w:ascii="Times New Roman;serif" w:hAnsi="Times New Roman;serif"/>
          <w:b w:val="false"/>
          <w:sz w:val="22"/>
          <w:u w:val="single"/>
        </w:rPr>
        <w:t>Page</w:t>
      </w:r>
    </w:p>
    <w:tbl>
      <w:tblPr>
        <w:tblW w:w="10205" w:type="dxa"/>
        <w:jc w:val="left"/>
        <w:tblInd w:w="0" w:type="dxa"/>
        <w:tblLayout w:type="fixed"/>
        <w:tblCellMar>
          <w:top w:w="28" w:type="dxa"/>
          <w:left w:w="28" w:type="dxa"/>
          <w:bottom w:w="28" w:type="dxa"/>
          <w:right w:w="28" w:type="dxa"/>
        </w:tblCellMar>
      </w:tblPr>
      <w:tblGrid>
        <w:gridCol w:w="1240"/>
        <w:gridCol w:w="7013"/>
        <w:gridCol w:w="1952"/>
      </w:tblGrid>
      <w:tr>
        <w:trPr/>
        <w:tc>
          <w:tcPr>
            <w:tcW w:w="1240" w:type="dxa"/>
            <w:tcBorders/>
            <w:vAlign w:val="center"/>
          </w:tcPr>
          <w:p>
            <w:pPr>
              <w:pStyle w:val="TableContents"/>
              <w:bidi w:val="0"/>
              <w:spacing w:before="0" w:after="283"/>
              <w:jc w:val="left"/>
              <w:rPr>
                <w:sz w:val="4"/>
                <w:szCs w:val="4"/>
              </w:rPr>
            </w:pPr>
            <w:r>
              <w:rPr>
                <w:sz w:val="4"/>
                <w:szCs w:val="4"/>
              </w:rPr>
            </w:r>
          </w:p>
        </w:tc>
        <w:tc>
          <w:tcPr>
            <w:tcW w:w="701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12.15</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Table of Contents, Headings, Etc</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161</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12.16</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U.S.A. PATRIOT Act</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161</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12.17</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Jurisdiction.</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161</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12.18</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Legal Holidays.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162</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12.19</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Currency Indemnity.</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162</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12.20</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Waiver of Immunity.</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162</w:t>
            </w:r>
          </w:p>
        </w:tc>
      </w:tr>
      <w:tr>
        <w:trPr/>
        <w:tc>
          <w:tcPr>
            <w:tcW w:w="8253" w:type="dxa"/>
            <w:gridSpan w:val="2"/>
            <w:tcBorders/>
            <w:vAlign w:val="center"/>
          </w:tcPr>
          <w:p>
            <w:pPr>
              <w:pStyle w:val="TableContents"/>
              <w:bidi w:val="0"/>
              <w:spacing w:before="240" w:after="240"/>
              <w:ind w:left="0" w:right="0" w:hanging="0"/>
              <w:jc w:val="center"/>
              <w:rPr>
                <w:rFonts w:ascii="Times New Roman;serif" w:hAnsi="Times New Roman;serif"/>
                <w:b/>
                <w:caps/>
                <w:sz w:val="22"/>
              </w:rPr>
            </w:pPr>
            <w:r>
              <w:rPr>
                <w:rFonts w:ascii="Times New Roman;serif" w:hAnsi="Times New Roman;serif"/>
                <w:b/>
                <w:caps/>
                <w:sz w:val="22"/>
              </w:rPr>
              <w:t>ARTICLE 13 COLLATERAL</w:t>
            </w:r>
          </w:p>
        </w:tc>
        <w:tc>
          <w:tcPr>
            <w:tcW w:w="1952" w:type="dxa"/>
            <w:tcBorders/>
            <w:vAlign w:val="center"/>
          </w:tcPr>
          <w:p>
            <w:pPr>
              <w:pStyle w:val="TableContents"/>
              <w:bidi w:val="0"/>
              <w:spacing w:before="240" w:after="240"/>
              <w:ind w:left="0" w:right="0" w:firstLine="1440"/>
              <w:jc w:val="right"/>
              <w:rPr>
                <w:rFonts w:ascii="Times New Roman;serif" w:hAnsi="Times New Roman;serif"/>
                <w:b/>
                <w:caps/>
                <w:sz w:val="22"/>
              </w:rPr>
            </w:pPr>
            <w:r>
              <w:rPr>
                <w:rFonts w:ascii="Times New Roman;serif" w:hAnsi="Times New Roman;serif"/>
                <w:b/>
                <w:caps/>
                <w:sz w:val="22"/>
              </w:rPr>
              <w:t>163</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13.01</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Collateral Documents.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163</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13.02</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Non-Impairment of Liens.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164</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13.03</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Release of Collateral.</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164</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13.04</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Suits to Protect the Collateral.</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165</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13.05</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Authorization of Receipt of Funds by the Trustee Under the Collateral Documents.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166</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13.06</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Purchaser Protected.</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166</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13.07</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Powers Exercisable by Receiver or Trustee.</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166</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13.08</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Release Upon Termination of the Issuers’ Obligations.</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166</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13.09</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Notes Collateral Agent.</w:t>
            </w:r>
          </w:p>
        </w:tc>
        <w:tc>
          <w:tcPr>
            <w:tcW w:w="1952" w:type="dxa"/>
            <w:tcBorders/>
            <w:vAlign w:val="center"/>
          </w:tcPr>
          <w:p>
            <w:pPr>
              <w:pStyle w:val="TableContents"/>
              <w:bidi w:val="0"/>
              <w:spacing w:before="0" w:after="0"/>
              <w:ind w:left="0" w:right="0" w:firstLine="1440"/>
              <w:jc w:val="right"/>
              <w:rPr>
                <w:rFonts w:ascii="Times New Roman;serif" w:hAnsi="Times New Roman;serif"/>
                <w:b w:val="false"/>
                <w:sz w:val="22"/>
              </w:rPr>
            </w:pPr>
            <w:r>
              <w:rPr>
                <w:rFonts w:ascii="Times New Roman;serif" w:hAnsi="Times New Roman;serif"/>
                <w:b w:val="false"/>
                <w:sz w:val="22"/>
              </w:rPr>
              <w:t>166</w:t>
            </w:r>
          </w:p>
        </w:tc>
      </w:tr>
      <w:tr>
        <w:trPr/>
        <w:tc>
          <w:tcPr>
            <w:tcW w:w="1240" w:type="dxa"/>
            <w:tcBorders/>
            <w:vAlign w:val="center"/>
          </w:tcPr>
          <w:p>
            <w:pPr>
              <w:pStyle w:val="TableContents"/>
              <w:pBdr/>
              <w:bidi w:val="0"/>
              <w:spacing w:before="0" w:after="0"/>
              <w:ind w:left="0" w:right="0" w:hanging="1440"/>
              <w:jc w:val="left"/>
              <w:rPr>
                <w:rFonts w:ascii="Times New Roman;serif" w:hAnsi="Times New Roman;serif"/>
                <w:b w:val="false"/>
                <w:sz w:val="22"/>
              </w:rPr>
            </w:pPr>
            <w:r>
              <w:rPr>
                <w:rFonts w:ascii="Times New Roman;serif" w:hAnsi="Times New Roman;serif"/>
                <w:b w:val="false"/>
                <w:sz w:val="22"/>
              </w:rPr>
              <w:t>Section 13.10</w:t>
            </w:r>
          </w:p>
        </w:tc>
        <w:tc>
          <w:tcPr>
            <w:tcW w:w="7013"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Designations.</w:t>
            </w:r>
          </w:p>
        </w:tc>
        <w:tc>
          <w:tcPr>
            <w:tcW w:w="1952"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175</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-iv-</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EXHIBITS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A Form of Note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B Form of Certificate of Transfer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C Form of Certificate of Exchange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D Form of Supplemental Indenture to be Delivered by Subsequent Guarantors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E Form of Completion Date Supplemental Indenture</w:t>
      </w:r>
    </w:p>
    <w:p>
      <w:pPr>
        <w:pStyle w:val="TextBody"/>
        <w:bidi w:val="0"/>
        <w:spacing w:before="0" w:after="0"/>
        <w:jc w:val="left"/>
        <w:rPr>
          <w:rFonts w:ascii="Times New Roman" w:hAnsi="Times New Roman"/>
          <w:sz w:val="20"/>
        </w:rPr>
      </w:pPr>
      <w:r>
        <w:rPr>
          <w:rFonts w:ascii="Times New Roman;serif" w:hAnsi="Times New Roman;serif"/>
          <w:b w:val="false"/>
          <w:sz w:val="22"/>
        </w:rPr>
        <w:t>Exhibit F Form of Second Lien Intercreditor Agreement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-i-</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INDENTURE, dated as of October 7, 2019 among Connect Finco SARL, a private limited liability company (</w:t>
      </w:r>
      <w:r>
        <w:rPr>
          <w:rFonts w:ascii="Times New Roman;serif" w:hAnsi="Times New Roman;serif"/>
          <w:b w:val="false"/>
          <w:i/>
          <w:sz w:val="22"/>
        </w:rPr>
        <w:t>société à responsabilité limitée</w:t>
      </w:r>
      <w:r>
        <w:rPr>
          <w:rFonts w:ascii="Times New Roman;serif" w:hAnsi="Times New Roman;serif"/>
          <w:b w:val="false"/>
          <w:sz w:val="22"/>
        </w:rPr>
        <w:t>) incorporated under the laws of Luxembourg, having its registered office at 1-3, Boulevard de la Foire, L-1528 Luxembourg, Grand Duchy of Luxembourg, registered with the Luxembourg Register of Commerce and Companies (R.C.S. Luxembourg) under number B 233109, and a Wholly Owned Subsidiary of the Company (the “</w:t>
      </w:r>
      <w:r>
        <w:rPr>
          <w:rFonts w:ascii="Times New Roman;serif" w:hAnsi="Times New Roman;serif"/>
          <w:b w:val="false"/>
          <w:sz w:val="22"/>
          <w:u w:val="single"/>
        </w:rPr>
        <w:t>Luxembourg Issuer</w:t>
      </w:r>
      <w:r>
        <w:rPr>
          <w:rFonts w:ascii="Times New Roman" w:hAnsi="Times New Roman"/>
          <w:sz w:val="20"/>
        </w:rPr>
        <w:t>”</w:t>
      </w:r>
      <w:r>
        <w:rPr>
          <w:rFonts w:ascii="Times New Roman;serif" w:hAnsi="Times New Roman;serif"/>
          <w:b w:val="false"/>
          <w:sz w:val="22"/>
        </w:rPr>
        <w:t>), and Connect U.S. Finco LLC, a limited liability company organized and existing under the laws of the State of Delaware and a Wholly Owned Subsidiary of the Company (the “</w:t>
      </w:r>
      <w:r>
        <w:rPr>
          <w:rFonts w:ascii="Times New Roman;serif" w:hAnsi="Times New Roman;serif"/>
          <w:b w:val="false"/>
          <w:sz w:val="22"/>
          <w:u w:val="single"/>
        </w:rPr>
        <w:t>U.S. Issuer,</w:t>
      </w:r>
      <w:r>
        <w:rPr>
          <w:rFonts w:ascii="Times New Roman" w:hAnsi="Times New Roman"/>
          <w:sz w:val="20"/>
        </w:rPr>
        <w:t xml:space="preserve">” </w:t>
      </w:r>
      <w:r>
        <w:rPr>
          <w:rFonts w:ascii="Times New Roman;serif" w:hAnsi="Times New Roman;serif"/>
          <w:b w:val="false"/>
          <w:sz w:val="22"/>
        </w:rPr>
        <w:t>together with the Luxembourg Issuer, the “</w:t>
      </w:r>
      <w:r>
        <w:rPr>
          <w:rFonts w:ascii="Times New Roman;serif" w:hAnsi="Times New Roman;serif"/>
          <w:b w:val="false"/>
          <w:sz w:val="22"/>
          <w:u w:val="single"/>
        </w:rPr>
        <w:t>Issuers</w:t>
      </w:r>
      <w:r>
        <w:rPr>
          <w:rFonts w:ascii="Times New Roman" w:hAnsi="Times New Roman"/>
          <w:sz w:val="20"/>
        </w:rPr>
        <w:t>”</w:t>
      </w:r>
      <w:r>
        <w:rPr>
          <w:rFonts w:ascii="Times New Roman;serif" w:hAnsi="Times New Roman;serif"/>
          <w:b w:val="false"/>
          <w:sz w:val="22"/>
        </w:rPr>
        <w:t>), Connect Midco Limited, a non-cellular company limited by shares incorporated under the laws of Guernsey (“</w:t>
      </w:r>
      <w:r>
        <w:rPr>
          <w:rFonts w:ascii="Times New Roman;serif" w:hAnsi="Times New Roman;serif"/>
          <w:b w:val="false"/>
          <w:sz w:val="22"/>
          <w:u w:val="single"/>
        </w:rPr>
        <w:t>Holdings</w:t>
      </w:r>
      <w:r>
        <w:rPr>
          <w:rFonts w:ascii="Times New Roman" w:hAnsi="Times New Roman"/>
          <w:sz w:val="20"/>
        </w:rPr>
        <w:t>”</w:t>
      </w:r>
      <w:r>
        <w:rPr>
          <w:rFonts w:ascii="Times New Roman;serif" w:hAnsi="Times New Roman;serif"/>
          <w:b w:val="false"/>
          <w:sz w:val="22"/>
        </w:rPr>
        <w:t>), Connect Bidco Limited, a non-cellular company limited by shares incorporated under the laws of Guernsey directly owned by Holdings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the other Guarantors (as defined herein) listed on the signature pages hereto and Wilmington Trust, National Association, a national banking association, as Trustee and as Notes Collateral Agent.</w:t>
      </w:r>
    </w:p>
    <w:p>
      <w:pPr>
        <w:pStyle w:val="TextBody"/>
        <w:bidi w:val="0"/>
        <w:spacing w:before="0" w:after="240"/>
        <w:jc w:val="center"/>
        <w:rPr>
          <w:rFonts w:ascii="Times New Roman" w:hAnsi="Times New Roman"/>
          <w:sz w:val="20"/>
        </w:rPr>
      </w:pPr>
      <w:r>
        <w:rPr>
          <w:rFonts w:ascii="Times New Roman;serif" w:hAnsi="Times New Roman;serif"/>
          <w:b w:val="false"/>
          <w:sz w:val="22"/>
          <w:u w:val="single"/>
        </w:rPr>
        <w:t>W</w:t>
      </w:r>
      <w:r>
        <w:rPr>
          <w:rFonts w:ascii="Times New Roman" w:hAnsi="Times New Roman"/>
          <w:sz w:val="20"/>
        </w:rPr>
        <w:t xml:space="preserve"> </w:t>
      </w:r>
      <w:r>
        <w:rPr>
          <w:rFonts w:ascii="Times New Roman;serif" w:hAnsi="Times New Roman;serif"/>
          <w:b w:val="false"/>
          <w:sz w:val="22"/>
          <w:u w:val="single"/>
        </w:rPr>
        <w:t>I</w:t>
      </w:r>
      <w:r>
        <w:rPr>
          <w:rFonts w:ascii="Times New Roman" w:hAnsi="Times New Roman"/>
          <w:sz w:val="20"/>
        </w:rPr>
        <w:t xml:space="preserve"> </w:t>
      </w:r>
      <w:r>
        <w:rPr>
          <w:rFonts w:ascii="Times New Roman;serif" w:hAnsi="Times New Roman;serif"/>
          <w:b w:val="false"/>
          <w:sz w:val="22"/>
          <w:u w:val="single"/>
        </w:rPr>
        <w:t>T</w:t>
      </w:r>
      <w:r>
        <w:rPr>
          <w:rFonts w:ascii="Times New Roman" w:hAnsi="Times New Roman"/>
          <w:sz w:val="20"/>
        </w:rPr>
        <w:t xml:space="preserve"> </w:t>
      </w:r>
      <w:r>
        <w:rPr>
          <w:rFonts w:ascii="Times New Roman;serif" w:hAnsi="Times New Roman;serif"/>
          <w:b w:val="false"/>
          <w:sz w:val="22"/>
          <w:u w:val="single"/>
        </w:rPr>
        <w:t>N</w:t>
      </w:r>
      <w:r>
        <w:rPr>
          <w:rFonts w:ascii="Times New Roman" w:hAnsi="Times New Roman"/>
          <w:sz w:val="20"/>
        </w:rPr>
        <w:t xml:space="preserve"> </w:t>
      </w:r>
      <w:r>
        <w:rPr>
          <w:rFonts w:ascii="Times New Roman;serif" w:hAnsi="Times New Roman;serif"/>
          <w:b w:val="false"/>
          <w:sz w:val="22"/>
          <w:u w:val="single"/>
        </w:rPr>
        <w:t>E</w:t>
      </w:r>
      <w:r>
        <w:rPr>
          <w:rFonts w:ascii="Times New Roman" w:hAnsi="Times New Roman"/>
          <w:sz w:val="20"/>
        </w:rPr>
        <w:t xml:space="preserve"> </w:t>
      </w:r>
      <w:r>
        <w:rPr>
          <w:rFonts w:ascii="Times New Roman;serif" w:hAnsi="Times New Roman;serif"/>
          <w:b w:val="false"/>
          <w:sz w:val="22"/>
          <w:u w:val="single"/>
        </w:rPr>
        <w:t>S</w:t>
      </w:r>
      <w:r>
        <w:rPr>
          <w:rFonts w:ascii="Times New Roman" w:hAnsi="Times New Roman"/>
          <w:sz w:val="20"/>
        </w:rPr>
        <w:t xml:space="preserve"> </w:t>
      </w:r>
      <w:r>
        <w:rPr>
          <w:rFonts w:ascii="Times New Roman;serif" w:hAnsi="Times New Roman;serif"/>
          <w:b w:val="false"/>
          <w:sz w:val="22"/>
          <w:u w:val="single"/>
        </w:rPr>
        <w:t>S</w:t>
      </w:r>
      <w:r>
        <w:rPr>
          <w:rFonts w:ascii="Times New Roman" w:hAnsi="Times New Roman"/>
          <w:sz w:val="20"/>
        </w:rPr>
        <w:t xml:space="preserve"> </w:t>
      </w:r>
      <w:r>
        <w:rPr>
          <w:rFonts w:ascii="Times New Roman;serif" w:hAnsi="Times New Roman;serif"/>
          <w:b w:val="false"/>
          <w:sz w:val="22"/>
          <w:u w:val="single"/>
        </w:rPr>
        <w:t>E</w:t>
      </w:r>
      <w:r>
        <w:rPr>
          <w:rFonts w:ascii="Times New Roman" w:hAnsi="Times New Roman"/>
          <w:sz w:val="20"/>
        </w:rPr>
        <w:t xml:space="preserve"> </w:t>
      </w:r>
      <w:r>
        <w:rPr>
          <w:rFonts w:ascii="Times New Roman;serif" w:hAnsi="Times New Roman;serif"/>
          <w:b w:val="false"/>
          <w:sz w:val="22"/>
          <w:u w:val="single"/>
        </w:rPr>
        <w:t>T</w:t>
      </w:r>
      <w:r>
        <w:rPr>
          <w:rFonts w:ascii="Times New Roman" w:hAnsi="Times New Roman"/>
          <w:sz w:val="20"/>
        </w:rPr>
        <w:t xml:space="preserve"> </w:t>
      </w:r>
      <w:r>
        <w:rPr>
          <w:rFonts w:ascii="Times New Roman;serif" w:hAnsi="Times New Roman;serif"/>
          <w:b w:val="false"/>
          <w:sz w:val="22"/>
          <w:u w:val="single"/>
        </w:rPr>
        <w:t>H</w:t>
      </w:r>
    </w:p>
    <w:p>
      <w:pPr>
        <w:pStyle w:val="TextBody"/>
        <w:bidi w:val="0"/>
        <w:spacing w:before="0" w:after="240"/>
        <w:jc w:val="left"/>
        <w:rPr>
          <w:rFonts w:ascii="Times New Roman" w:hAnsi="Times New Roman"/>
          <w:sz w:val="20"/>
        </w:rPr>
      </w:pPr>
      <w:r>
        <w:rPr>
          <w:rFonts w:ascii="Times New Roman;serif" w:hAnsi="Times New Roman;serif"/>
          <w:b w:val="false"/>
          <w:sz w:val="22"/>
        </w:rPr>
        <w:t>WHEREAS, the Issuers have duly authorized the creation of an issue of $2,075,000,000 aggregate principal amount of 6.750% Senior Secured Notes due 2026 (the “</w:t>
      </w:r>
      <w:r>
        <w:rPr>
          <w:rFonts w:ascii="Times New Roman;serif" w:hAnsi="Times New Roman;serif"/>
          <w:b w:val="false"/>
          <w:sz w:val="22"/>
          <w:u w:val="single"/>
        </w:rPr>
        <w:t>Initial Notes</w:t>
      </w:r>
      <w:r>
        <w:rPr>
          <w:rFonts w:ascii="Times New Roman" w:hAnsi="Times New Roman"/>
          <w:sz w:val="20"/>
        </w:rPr>
        <w:t>”</w:t>
      </w:r>
      <w:r>
        <w:rPr>
          <w:rFonts w:ascii="Times New Roman;serif" w:hAnsi="Times New Roman;serif"/>
          <w:b w:val="false"/>
          <w:sz w:val="22"/>
        </w:rPr>
        <w:t>);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WHEREAS, the Issuers and each of the Guarantors have duly authorized the execution and delivery of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NOW, THEREFORE, the Issuers, the Guarantors, the Trustee and the Notes Collateral Agent agree as follows for the benefit of each other and for the equal and ratable benefit of the Holders of the Notes.</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1</w:t>
        <w:br/>
        <w:br/>
        <w:t>DEFINITIONS AND INCORPORATION BY REFERENCE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1.01 Definitions</w:t>
      </w:r>
      <w:r>
        <w:rPr>
          <w:rFonts w:ascii="Times New Roman;serif" w:hAnsi="Times New Roman;serif"/>
          <w:b w:val="false"/>
          <w:sz w:val="22"/>
        </w:rPr>
        <w:t>.</w:t>
      </w:r>
    </w:p>
    <w:p>
      <w:pPr>
        <w:pStyle w:val="TextBody"/>
        <w:bidi w:val="0"/>
        <w:spacing w:before="0" w:after="240"/>
        <w:jc w:val="left"/>
        <w:rPr/>
      </w:pPr>
      <w:r>
        <w:rPr/>
        <w:t>“</w:t>
      </w:r>
      <w:r>
        <w:rPr>
          <w:rFonts w:ascii="Times New Roman;serif" w:hAnsi="Times New Roman;serif"/>
          <w:b w:val="false"/>
          <w:sz w:val="22"/>
          <w:u w:val="single"/>
        </w:rPr>
        <w:t>144A Global Note</w:t>
      </w:r>
      <w:r>
        <w:rPr>
          <w:rFonts w:ascii="Times New Roman" w:hAnsi="Times New Roman"/>
          <w:sz w:val="20"/>
        </w:rPr>
        <w:t xml:space="preserve">” </w:t>
      </w:r>
      <w:r>
        <w:rPr>
          <w:rFonts w:ascii="Times New Roman;serif" w:hAnsi="Times New Roman;serif"/>
          <w:b w:val="false"/>
          <w:sz w:val="22"/>
        </w:rPr>
        <w:t xml:space="preserve">means a Global Note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pStyle w:val="TextBody"/>
        <w:bidi w:val="0"/>
        <w:spacing w:before="0" w:after="240"/>
        <w:jc w:val="left"/>
        <w:rPr/>
      </w:pPr>
      <w:r>
        <w:rPr/>
        <w:t>“</w:t>
      </w:r>
      <w:r>
        <w:rPr>
          <w:rFonts w:ascii="Times New Roman;serif" w:hAnsi="Times New Roman;serif"/>
          <w:b w:val="false"/>
          <w:sz w:val="22"/>
          <w:u w:val="single"/>
        </w:rPr>
        <w:t>Acquired Company</w:t>
      </w:r>
      <w:r>
        <w:rPr>
          <w:rFonts w:ascii="Times New Roman" w:hAnsi="Times New Roman"/>
          <w:sz w:val="20"/>
        </w:rPr>
        <w:t xml:space="preserve">” </w:t>
      </w:r>
      <w:r>
        <w:rPr>
          <w:rFonts w:ascii="Times New Roman;serif" w:hAnsi="Times New Roman;serif"/>
          <w:b w:val="false"/>
          <w:sz w:val="22"/>
        </w:rPr>
        <w:t>means Inmarsat plc, a public limited company incorporated under the laws of England and Wales.</w:t>
      </w:r>
    </w:p>
    <w:p>
      <w:pPr>
        <w:pStyle w:val="TextBody"/>
        <w:bidi w:val="0"/>
        <w:spacing w:before="0" w:after="240"/>
        <w:jc w:val="left"/>
        <w:rPr/>
      </w:pPr>
      <w:r>
        <w:rPr/>
        <w:t>“</w:t>
      </w:r>
      <w:r>
        <w:rPr>
          <w:rFonts w:ascii="Times New Roman;serif" w:hAnsi="Times New Roman;serif"/>
          <w:b w:val="false"/>
          <w:sz w:val="22"/>
          <w:u w:val="single"/>
        </w:rPr>
        <w:t>Acquired EBITDA</w:t>
      </w:r>
      <w:r>
        <w:rPr>
          <w:rFonts w:ascii="Times New Roman" w:hAnsi="Times New Roman"/>
          <w:sz w:val="20"/>
        </w:rPr>
        <w:t xml:space="preserve">” </w:t>
      </w:r>
      <w:r>
        <w:rPr>
          <w:rFonts w:ascii="Times New Roman;serif" w:hAnsi="Times New Roman;serif"/>
          <w:b w:val="false"/>
          <w:sz w:val="22"/>
        </w:rPr>
        <w:t>means, with respect to any Acquired Entity or Business or any Converted Restricted Subsidiary (any of the foregoing, a “Pro Forma Entity”) for any period, the amount for such period of Consolidated EBITDA of such Pro Forma Entity (determined as if references to the Company and the Restricted Subsidiaries in the definition of “Consolidated EBITDA” were references to such Pro Forma Entity and its subsidiaries that will become Restricted Subsidiaries), all as determined on a consolidated basis for such Pro Forma Entity.</w:t>
      </w:r>
    </w:p>
    <w:p>
      <w:pPr>
        <w:pStyle w:val="TextBody"/>
        <w:bidi w:val="0"/>
        <w:spacing w:before="0" w:after="240"/>
        <w:jc w:val="left"/>
        <w:rPr/>
      </w:pPr>
      <w:r>
        <w:rPr/>
        <w:t>“</w:t>
      </w:r>
      <w:r>
        <w:rPr>
          <w:rFonts w:ascii="Times New Roman;serif" w:hAnsi="Times New Roman;serif"/>
          <w:b w:val="false"/>
          <w:sz w:val="22"/>
          <w:u w:val="single"/>
        </w:rPr>
        <w:t>Acquired Indebtedness</w:t>
      </w:r>
      <w:r>
        <w:rPr>
          <w:rFonts w:ascii="Times New Roman" w:hAnsi="Times New Roman"/>
          <w:sz w:val="20"/>
        </w:rPr>
        <w:t xml:space="preserve">” </w:t>
      </w:r>
      <w:r>
        <w:rPr>
          <w:rFonts w:ascii="Times New Roman;serif" w:hAnsi="Times New Roman;serif"/>
          <w:b w:val="false"/>
          <w:sz w:val="22"/>
        </w:rPr>
        <w:t>means, with respect to any specified Person,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Indebtedness of any other Person existing at the time such other Person is merged, consolidated or amalgamated with or into or became a Restricted Subsidiary of such specified Person,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including Indebtedness incurred in connection with, or in contemplation of, such other Person merging, consolidating or amalgamating with or into or becoming a Restricted Subsidiary of such specified Person,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Indebtedness secured by a Lien encumbering any asset acquired by such specified Person.</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Acquisition</w:t>
      </w:r>
      <w:r>
        <w:rPr>
          <w:rFonts w:ascii="Times New Roman" w:hAnsi="Times New Roman"/>
          <w:sz w:val="20"/>
        </w:rPr>
        <w:t xml:space="preserve">” </w:t>
      </w:r>
      <w:r>
        <w:rPr>
          <w:rFonts w:ascii="Times New Roman;serif" w:hAnsi="Times New Roman;serif"/>
          <w:b w:val="false"/>
          <w:sz w:val="22"/>
        </w:rPr>
        <w:t>means the acquisition pursuant to the terms of the Acquisition Agreement.</w:t>
      </w:r>
    </w:p>
    <w:p>
      <w:pPr>
        <w:pStyle w:val="TextBody"/>
        <w:bidi w:val="0"/>
        <w:spacing w:before="0" w:after="240"/>
        <w:jc w:val="left"/>
        <w:rPr/>
      </w:pPr>
      <w:r>
        <w:rPr/>
        <w:t>“</w:t>
      </w:r>
      <w:r>
        <w:rPr>
          <w:rFonts w:ascii="Times New Roman;serif" w:hAnsi="Times New Roman;serif"/>
          <w:b w:val="false"/>
          <w:sz w:val="22"/>
          <w:u w:val="single"/>
        </w:rPr>
        <w:t>Acquisition Agreement</w:t>
      </w:r>
      <w:r>
        <w:rPr>
          <w:rFonts w:ascii="Times New Roman" w:hAnsi="Times New Roman"/>
          <w:sz w:val="20"/>
        </w:rPr>
        <w:t xml:space="preserve">” </w:t>
      </w:r>
      <w:r>
        <w:rPr>
          <w:rFonts w:ascii="Times New Roman;serif" w:hAnsi="Times New Roman;serif"/>
          <w:b w:val="false"/>
          <w:sz w:val="22"/>
        </w:rPr>
        <w:t>means that certain Cooperation Agreement (together with all exhibits, schedules, annexes and disclosure schedules thereto) dated as of March 25, 2019, among the Company and the Acquired Company.</w:t>
      </w:r>
    </w:p>
    <w:p>
      <w:pPr>
        <w:pStyle w:val="TextBody"/>
        <w:bidi w:val="0"/>
        <w:spacing w:before="0" w:after="240"/>
        <w:jc w:val="left"/>
        <w:rPr/>
      </w:pPr>
      <w:r>
        <w:rPr/>
        <w:t>“</w:t>
      </w:r>
      <w:r>
        <w:rPr>
          <w:rFonts w:ascii="Times New Roman;serif" w:hAnsi="Times New Roman;serif"/>
          <w:b w:val="false"/>
          <w:sz w:val="22"/>
          <w:u w:val="single"/>
        </w:rPr>
        <w:t>Acquisition Documents</w:t>
      </w:r>
      <w:r>
        <w:rPr>
          <w:rFonts w:ascii="Times New Roman" w:hAnsi="Times New Roman"/>
          <w:sz w:val="20"/>
        </w:rPr>
        <w:t xml:space="preserve">” </w:t>
      </w:r>
      <w:r>
        <w:rPr>
          <w:rFonts w:ascii="Times New Roman;serif" w:hAnsi="Times New Roman;serif"/>
          <w:b w:val="false"/>
          <w:sz w:val="22"/>
        </w:rPr>
        <w:t>means the Acquisition Agreement, all other agreements to be entered into between or among the Acquired Company or its Affiliates and the Company or its Affiliates in connection with the Acquisition and all schedules, exhibits and annexes to each of the foregoing and all side letters, instruments and agreements affecting the terms of the foregoing or entered into in connection therewith.</w:t>
      </w:r>
    </w:p>
    <w:p>
      <w:pPr>
        <w:pStyle w:val="TextBody"/>
        <w:bidi w:val="0"/>
        <w:spacing w:before="0" w:after="240"/>
        <w:jc w:val="left"/>
        <w:rPr/>
      </w:pPr>
      <w:r>
        <w:rPr/>
        <w:t>“</w:t>
      </w:r>
      <w:r>
        <w:rPr>
          <w:rFonts w:ascii="Times New Roman;serif" w:hAnsi="Times New Roman;serif"/>
          <w:b w:val="false"/>
          <w:sz w:val="22"/>
          <w:u w:val="single"/>
        </w:rPr>
        <w:t>Additional Notes</w:t>
      </w:r>
      <w:r>
        <w:rPr>
          <w:rFonts w:ascii="Times New Roman" w:hAnsi="Times New Roman"/>
          <w:sz w:val="20"/>
        </w:rPr>
        <w:t xml:space="preserve">” </w:t>
      </w:r>
      <w:r>
        <w:rPr>
          <w:rFonts w:ascii="Times New Roman;serif" w:hAnsi="Times New Roman;serif"/>
          <w:b w:val="false"/>
          <w:sz w:val="22"/>
        </w:rPr>
        <w:t>means additional Notes (other than the Initial Notes) issued under this Indenture in accordance with Sections 2.01 and 4.09 hereof, as part of the same series as the Initial Notes.</w:t>
      </w:r>
    </w:p>
    <w:p>
      <w:pPr>
        <w:pStyle w:val="TextBody"/>
        <w:bidi w:val="0"/>
        <w:spacing w:before="0" w:after="240"/>
        <w:jc w:val="left"/>
        <w:rPr/>
      </w:pPr>
      <w:r>
        <w:rPr/>
        <w:t>“</w:t>
      </w:r>
      <w:r>
        <w:rPr>
          <w:rFonts w:ascii="Times New Roman;serif" w:hAnsi="Times New Roman;serif"/>
          <w:b w:val="false"/>
          <w:sz w:val="22"/>
          <w:u w:val="single"/>
        </w:rPr>
        <w:t>Affiliate</w:t>
      </w:r>
      <w:r>
        <w:rPr>
          <w:rFonts w:ascii="Times New Roman" w:hAnsi="Times New Roman"/>
          <w:sz w:val="20"/>
        </w:rPr>
        <w:t xml:space="preserve">” </w:t>
      </w:r>
      <w:r>
        <w:rPr>
          <w:rFonts w:ascii="Times New Roman;serif" w:hAnsi="Times New Roman;serif"/>
          <w:b w:val="false"/>
          <w:sz w:val="22"/>
        </w:rPr>
        <w:t>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Agent</w:t>
      </w:r>
      <w:r>
        <w:rPr>
          <w:rFonts w:ascii="Times New Roman" w:hAnsi="Times New Roman"/>
          <w:sz w:val="20"/>
        </w:rPr>
        <w:t xml:space="preserve">” </w:t>
      </w:r>
      <w:r>
        <w:rPr>
          <w:rFonts w:ascii="Times New Roman;serif" w:hAnsi="Times New Roman;serif"/>
          <w:b w:val="false"/>
          <w:sz w:val="22"/>
        </w:rPr>
        <w:t>means any Registrar, Paying Agent or authenticating agent.</w:t>
      </w:r>
    </w:p>
    <w:p>
      <w:pPr>
        <w:pStyle w:val="TextBody"/>
        <w:bidi w:val="0"/>
        <w:spacing w:before="0" w:after="240"/>
        <w:jc w:val="left"/>
        <w:rPr/>
      </w:pPr>
      <w:r>
        <w:rPr/>
        <w:t>“</w:t>
      </w:r>
      <w:r>
        <w:rPr>
          <w:rFonts w:ascii="Times New Roman;serif" w:hAnsi="Times New Roman;serif"/>
          <w:b w:val="false"/>
          <w:sz w:val="22"/>
          <w:u w:val="single"/>
        </w:rPr>
        <w:t>Agreed Security Principles</w:t>
      </w:r>
      <w:r>
        <w:rPr>
          <w:rFonts w:ascii="Times New Roman" w:hAnsi="Times New Roman"/>
          <w:sz w:val="20"/>
        </w:rPr>
        <w:t xml:space="preserve">” </w:t>
      </w:r>
      <w:r>
        <w:rPr>
          <w:rFonts w:ascii="Times New Roman;serif" w:hAnsi="Times New Roman;serif"/>
          <w:b w:val="false"/>
          <w:sz w:val="22"/>
        </w:rPr>
        <w:t>means those principles set forth on Schedule 1.01(a) to the Senior Credit Facilities Agreement, as applied mutatis mutandis with respect to the Notes in good faith.</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Applicable Premium</w:t>
      </w:r>
      <w:r>
        <w:rPr>
          <w:rFonts w:ascii="Times New Roman" w:hAnsi="Times New Roman"/>
          <w:sz w:val="20"/>
        </w:rPr>
        <w:t xml:space="preserve">” </w:t>
      </w:r>
      <w:r>
        <w:rPr>
          <w:rFonts w:ascii="Times New Roman;serif" w:hAnsi="Times New Roman;serif"/>
          <w:b w:val="false"/>
          <w:sz w:val="22"/>
        </w:rPr>
        <w:t>means, with respect to any Note being redeemed on any Redemption Date, the greater 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1.0% of the principal amount of such Note;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the excess, if any, of (a) the present value at such Redemption Date of (i) the redemption price of such Note at October 1, 2022 (such redemption price being set forth in Section 3.07(b) hereof), plus (ii) all required remaining scheduled interest payments due on such Note through October 1, 2022 (excluding accrued but unpaid interest to the Redemption Date), computed using a discount rate equal to the Treasury Rate as of such Redemption Date plus 50 basis points; over (b) the then outstanding principal amount of such Note.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calculate or cause to be calculated the Applicable Premium and the Trustee shall have no duty to calculate or verify the Issuers’ calculation of the Applicable Premium.</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Applicable Procedures</w:t>
      </w:r>
      <w:r>
        <w:rPr>
          <w:rFonts w:ascii="Times New Roman" w:hAnsi="Times New Roman"/>
          <w:sz w:val="20"/>
        </w:rPr>
        <w:t xml:space="preserve">” </w:t>
      </w:r>
      <w:r>
        <w:rPr>
          <w:rFonts w:ascii="Times New Roman;serif" w:hAnsi="Times New Roman;serif"/>
          <w:b w:val="false"/>
          <w:sz w:val="22"/>
        </w:rPr>
        <w:t>means, with respect to any selection of Notes, transfer or exchange of or for beneficial interests in any Global Note, the rules and procedures of the Depositary, Euroclear and/or Clearstream that apply to such selection, transfer or exchange.</w:t>
      </w:r>
    </w:p>
    <w:p>
      <w:pPr>
        <w:pStyle w:val="TextBody"/>
        <w:bidi w:val="0"/>
        <w:spacing w:before="0" w:after="240"/>
        <w:jc w:val="left"/>
        <w:rPr/>
      </w:pPr>
      <w:r>
        <w:rPr/>
        <w:t>“</w:t>
      </w:r>
      <w:r>
        <w:rPr>
          <w:rFonts w:ascii="Times New Roman;serif" w:hAnsi="Times New Roman;serif"/>
          <w:b w:val="false"/>
          <w:sz w:val="22"/>
          <w:u w:val="single"/>
        </w:rPr>
        <w:t>Asset Sale</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left"/>
        <w:rPr>
          <w:rFonts w:ascii="Times New Roman" w:hAnsi="Times New Roman"/>
          <w:sz w:val="20"/>
        </w:rPr>
      </w:pPr>
      <w:r>
        <w:rPr>
          <w:rFonts w:ascii="Times New Roman;serif" w:hAnsi="Times New Roman;serif"/>
          <w:b w:val="false"/>
          <w:sz w:val="22"/>
        </w:rPr>
        <w:t>(1) the sale, conveyance, transfer or other disposition, whether in a single transaction or a series of related transactions, of property or assets (including by way of a Sale and Lease-Back Transaction) of the Company or any of its Restricted Subsidiaries (each referred to in this definition as a “disposition”);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the issuance or sale of Equity Interests of any Restricted Subsidiary (other than Preferred Stock of Restricted Subsidiaries issued in compliance with Section 4.09 hereof or the issuance of directors’ qualifying shares and shares issued to foreign nationals as required by applicable law), whether in a single transaction or a series of related transactions;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in each case, other than: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any disposition of (i) Cash Equivalents or Investment Grade Securities, (ii) obsolete, damaged, used, surplus or worn out property or equipment, whether now owned or hereafter acquired, in the ordinary course of business and dispositions of property no longer used or useful, or economically practicable to maintain, in the conduct of the business of the Company and any Restricted Subsidiary (including by ceasing to enforce, allowing the lapse, abandonment or invalidation of or discontinuing the use or maintenance of or putting into the public domain any intellectual property that is, in the reasonable judgment of the Company or the Restricted Subsidiaries, no longer used or useful, or economically practicable to maintain, or in respect of which the Company or any Restricted Subsidiary determines in its reasonable business judgment that such action or inaction is desirable) or (iii) any disposition of inventory, goods and other assets (including Settlement Assets) in the ordinary course of business or no longer used in the ordinary course of business and immaterial assets (considered in the aggregate and as reasonably determined by the Company in good faith);</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the disposition of all or substantially all of the assets of the Company and its Restricted Subsidiaries in a manner permitted pursuant to the provisions of Section 5.01 hereof or any disposition that constitutes a Change of Control pursuant to this Indenture;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making of any Restricted Payment or Permitted Investment, or other than for the purposes of clause (1) of Section 4.10(b) hereof, asset sales, the proceeds of which are used to make such Restricted Payments or Permitted Investments;</w:t>
      </w:r>
    </w:p>
    <w:p>
      <w:pPr>
        <w:pStyle w:val="TextBody"/>
        <w:bidi w:val="0"/>
        <w:spacing w:before="0" w:after="240"/>
        <w:jc w:val="left"/>
        <w:rPr>
          <w:rFonts w:ascii="Times New Roman" w:hAnsi="Times New Roman"/>
          <w:sz w:val="20"/>
        </w:rPr>
      </w:pPr>
      <w:r>
        <w:rPr>
          <w:rFonts w:ascii="Times New Roman;serif" w:hAnsi="Times New Roman;serif"/>
          <w:b w:val="false"/>
          <w:sz w:val="22"/>
        </w:rPr>
        <w:t>(d) any disposition of assets or issuance or sale of Equity Interests of any Restricted Subsidiary in any transaction or series of related transactions with an aggregate fair market value of less than the greater of $75.0 million and 10.0% of LTM EBITDA for the most recently ended Test Period as of such date;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(e) any disposition (i) of property or assets or issuance of securities by a Restricted Subsidiary of the Company to the Company or by the Company or a Restricted Subsidiary of the Company to another Restricted Subsidiary of the Company or (ii) to the Company or a Restricted Subsidiary constituting debt forgiveness;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(f) dispositions of property to the extent that (i) such property is exchanged for credit against the purchase price of similar replacement property or (ii) an amount equal to net proceeds of such disposition are promptly applied to the purchase price of such replacement property;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leases, subleases, service agreements, product sales, licenses or sublicenses (including licenses and sublicenses of intellectual property or other intangible assets), in each case that do not materially interfere with the business of the Company and the Restricted Subsidiaries, taken as a whole;</w:t>
      </w:r>
    </w:p>
    <w:p>
      <w:pPr>
        <w:pStyle w:val="TextBody"/>
        <w:bidi w:val="0"/>
        <w:spacing w:before="0" w:after="240"/>
        <w:jc w:val="left"/>
        <w:rPr>
          <w:rFonts w:ascii="Times New Roman" w:hAnsi="Times New Roman"/>
          <w:sz w:val="20"/>
        </w:rPr>
      </w:pPr>
      <w:r>
        <w:rPr>
          <w:rFonts w:ascii="Times New Roman;serif" w:hAnsi="Times New Roman;serif"/>
          <w:b w:val="false"/>
          <w:sz w:val="22"/>
        </w:rPr>
        <w:t>(h) sales, rentals or leases of satellite capacity, bandwidth, beams, transponders or threads or other grants of rights of satellite use or of any other portion of a Satellite in the ordinary course of business;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(i) any issuance or sale of Equity Interests in, or Indebtedness or other securities of, an Unrestricted Subsidiary or any other disposition of Capital Stock, Indebtedness or other securities of an Unrestricted Subsidiary or an Immaterial Subsidiary;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(j) foreclosures, condemnation, expropriation or any similar action with respect to assets, other transfers of property subject to casualty events or the granting of Liens not prohibited by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(k) (i) any disposition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in the ordinary course of business or the conversion of accounts receivable to notes receivable;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(l) any financing transaction with respect to property built or acquired by the Company or any Restricted Subsidiary after the Completion Date, including Sale and Lease-Back Transactions (and dispositions of property acquired by the Company or any of the Restricted Subsidiaries after the Completion Date pursuant to Sale and Lease-Back Transactions) and asset securitizations permitted by this Indenture;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(m) any surrender or waiver of contractual rights or the settlement, release or surrender of contractual rights or other litigation claims in the ordinary course of business;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 the unwinding or voluntary termination of any Hedging Obligations;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 any disposition in connection with the Transactions;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(p) dispositions of any assets (including Equity Interests) (A) acquired in connection with any acquisition or other Investment not prohibited by this Indenture, which assets are not used or useful to the core or principal business of the Company and the Restricted Subsidiaries or (B) made to obtain the approval of any applicable antitrust authority in connection with an acquisition;</w:t>
      </w:r>
    </w:p>
    <w:p>
      <w:pPr>
        <w:pStyle w:val="TextBody"/>
        <w:bidi w:val="0"/>
        <w:spacing w:before="0" w:after="240"/>
        <w:jc w:val="left"/>
        <w:rPr>
          <w:rFonts w:ascii="Times New Roman" w:hAnsi="Times New Roman"/>
          <w:sz w:val="20"/>
        </w:rPr>
      </w:pPr>
      <w:r>
        <w:rPr>
          <w:rFonts w:ascii="Times New Roman;serif" w:hAnsi="Times New Roman;serif"/>
          <w:b w:val="false"/>
          <w:sz w:val="22"/>
        </w:rPr>
        <w:t>(q) sales, transfers and other dispositions of Investments in joint ventures to the extent required by, or made pursuant to customary buy/sell arrangements between,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joint venture parties set forth in joint venture arrangements and similar binding arrangements;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(r) failing to pursue or allowing any registrations or any applications for registration of any intellectual property rights to lapse or go abandoned in the ordinary course of business if, in the reasonable determination of the Company or a Restricted Subsidiary, such discontinuance is desirable in the conduct of the business of the Company and its Restricted Subsidiaries taken as a whole;</w:t>
      </w:r>
    </w:p>
    <w:p>
      <w:pPr>
        <w:pStyle w:val="TextBody"/>
        <w:bidi w:val="0"/>
        <w:spacing w:before="0" w:after="240"/>
        <w:jc w:val="left"/>
        <w:rPr>
          <w:rFonts w:ascii="Times New Roman" w:hAnsi="Times New Roman"/>
          <w:sz w:val="20"/>
        </w:rPr>
      </w:pPr>
      <w:r>
        <w:rPr>
          <w:rFonts w:ascii="Times New Roman;serif" w:hAnsi="Times New Roman;serif"/>
          <w:b w:val="false"/>
          <w:sz w:val="22"/>
        </w:rPr>
        <w:t>(s) dispositions of property acquired by the Company or any of the Restricted Subsidiaries pursuant to Sale and Lease-Back Transactions;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 dispositions in connection with Permitted Liens, Permitted Intercompany Activities, Permitted Tax Restructuring and related transactions;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 an issuance of Capital Stock by a Restricted Subsidiary as part of or pursuant to an equity incentive or compensation plan approved by the Board of Directors of the Company or any holding company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 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made as part of such acquisition and in each case comprising all or a portion of the consideration in respect of such sale or acquisition;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 any sale of property or assets, if the acquisition of such property or assets was financed with Excluded Contributions and the proceeds of such sale are used to make a Restricted Payment pursuant to clause (10) of Section 4.07(b) 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the event that a transaction (or any portion thereof) meets the criteria of a permitted Asset Sale and would also be a Permitted Investment or an Investment permitted under the covenant described in Section 4.07 hereof, the Company, in its sole discretion, will be entitled to divide and classify such transaction (or a portion thereof) as an Asset Sale and/or one or more of the types of Permitted Investments or Investments permitted under Section 4.07 hereof.</w:t>
      </w:r>
    </w:p>
    <w:p>
      <w:pPr>
        <w:pStyle w:val="TextBody"/>
        <w:bidi w:val="0"/>
        <w:spacing w:before="0" w:after="240"/>
        <w:jc w:val="left"/>
        <w:rPr/>
      </w:pPr>
      <w:r>
        <w:rPr/>
        <w:t>“</w:t>
      </w:r>
      <w:r>
        <w:rPr>
          <w:rFonts w:ascii="Times New Roman;serif" w:hAnsi="Times New Roman;serif"/>
          <w:b w:val="false"/>
          <w:sz w:val="22"/>
          <w:u w:val="single"/>
        </w:rPr>
        <w:t>Available Investments Amount</w:t>
      </w:r>
      <w:r>
        <w:rPr>
          <w:rFonts w:ascii="Times New Roman" w:hAnsi="Times New Roman"/>
          <w:sz w:val="20"/>
        </w:rPr>
        <w:t xml:space="preserve">” </w:t>
      </w:r>
      <w:r>
        <w:rPr>
          <w:rFonts w:ascii="Times New Roman;serif" w:hAnsi="Times New Roman;serif"/>
          <w:b w:val="false"/>
          <w:sz w:val="22"/>
        </w:rPr>
        <w:t>means, at any time, (i) the amount of Investments that may be made at the time of determination pursuant to clause (14) of the definition of Permitted Investments, minus (ii) the amount of the Available Investments Amount utilized by the Company or any Restricted Subsidiary to make Restricted Debt Payments pursuant to clause (14) of Section 4.07(b) hereof.</w:t>
      </w:r>
    </w:p>
    <w:p>
      <w:pPr>
        <w:pStyle w:val="TextBody"/>
        <w:bidi w:val="0"/>
        <w:spacing w:before="0" w:after="240"/>
        <w:jc w:val="left"/>
        <w:rPr/>
      </w:pPr>
      <w:r>
        <w:rPr/>
        <w:t>“</w:t>
      </w:r>
      <w:r>
        <w:rPr>
          <w:rFonts w:ascii="Times New Roman;serif" w:hAnsi="Times New Roman;serif"/>
          <w:b w:val="false"/>
          <w:sz w:val="22"/>
          <w:u w:val="single"/>
        </w:rPr>
        <w:t>Available Restricted Debt Payments Amount</w:t>
      </w:r>
      <w:r>
        <w:rPr>
          <w:rFonts w:ascii="Times New Roman" w:hAnsi="Times New Roman"/>
          <w:sz w:val="20"/>
        </w:rPr>
        <w:t xml:space="preserve">” </w:t>
      </w:r>
      <w:r>
        <w:rPr>
          <w:rFonts w:ascii="Times New Roman;serif" w:hAnsi="Times New Roman;serif"/>
          <w:b w:val="false"/>
          <w:sz w:val="22"/>
        </w:rPr>
        <w:t xml:space="preserve">means, at any time, (i) the amount of Restricted Debt Payments that may be made at the time of determination pursuant to clause (14) of Section 4.07(b) hereof, </w:t>
      </w:r>
      <w:r>
        <w:rPr>
          <w:rFonts w:ascii="Times New Roman;serif" w:hAnsi="Times New Roman;serif"/>
          <w:b w:val="false"/>
          <w:i/>
          <w:sz w:val="22"/>
        </w:rPr>
        <w:t>minus</w:t>
      </w:r>
      <w:r>
        <w:rPr>
          <w:rFonts w:ascii="Times New Roman" w:hAnsi="Times New Roman"/>
          <w:sz w:val="20"/>
        </w:rPr>
        <w:t xml:space="preserve"> </w:t>
      </w:r>
      <w:r>
        <w:rPr>
          <w:rFonts w:ascii="Times New Roman;serif" w:hAnsi="Times New Roman;serif"/>
          <w:b w:val="false"/>
          <w:sz w:val="22"/>
        </w:rPr>
        <w:t>(ii) the sum of (a) the amount of the Available Restricted Debt Payments Amount utilized by the Company or any Restricted Subsidiary to make Investments pursuant to clause (14) of the definition of the term “Permitted Investments” and (b) the amount of the Available Restricted Debt Payments Amount utilized by the Company or any Restricted Subsidiary to make Restricted Payments pursuant to clause (11) of Section 4.07(b) 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Available Restricted Payments Amount</w:t>
      </w:r>
      <w:r>
        <w:rPr>
          <w:rFonts w:ascii="Times New Roman" w:hAnsi="Times New Roman"/>
          <w:sz w:val="20"/>
        </w:rPr>
        <w:t xml:space="preserve">” </w:t>
      </w:r>
      <w:r>
        <w:rPr>
          <w:rFonts w:ascii="Times New Roman;serif" w:hAnsi="Times New Roman;serif"/>
          <w:b w:val="false"/>
          <w:sz w:val="22"/>
        </w:rPr>
        <w:t xml:space="preserve">means, at any time, (i) the amount of Restricted Payments that may be made at the time of determination pursuant to the covenant described in clause (11) of Section 4.07(b) hereof, </w:t>
      </w:r>
      <w:r>
        <w:rPr>
          <w:rFonts w:ascii="Times New Roman;serif" w:hAnsi="Times New Roman;serif"/>
          <w:b w:val="false"/>
          <w:i/>
          <w:sz w:val="22"/>
        </w:rPr>
        <w:t>minus</w:t>
      </w:r>
      <w:r>
        <w:rPr>
          <w:rFonts w:ascii="Times New Roman" w:hAnsi="Times New Roman"/>
          <w:sz w:val="20"/>
        </w:rPr>
        <w:t xml:space="preserve"> </w:t>
      </w:r>
      <w:r>
        <w:rPr>
          <w:rFonts w:ascii="Times New Roman;serif" w:hAnsi="Times New Roman;serif"/>
          <w:b w:val="false"/>
          <w:sz w:val="22"/>
        </w:rPr>
        <w:t>(ii) the sum of (a) the amount of the Available Restricted Payments Amount utilized by the Company or any Restricted Subsidiary to make Investments pursuant to clause (14) of the definition of the term “Permitted Investments” and (b) the amount of the Available Restricted Payments Amount utilized by the Company or any Restricted Subsidiary to make Restricted Debt Payments pursuant to clause (14) of Section 4.07(b) hereof.</w:t>
      </w:r>
    </w:p>
    <w:p>
      <w:pPr>
        <w:pStyle w:val="TextBody"/>
        <w:bidi w:val="0"/>
        <w:spacing w:before="0" w:after="240"/>
        <w:jc w:val="left"/>
        <w:rPr/>
      </w:pPr>
      <w:r>
        <w:rPr/>
        <w:t>“</w:t>
      </w:r>
      <w:r>
        <w:rPr>
          <w:rFonts w:ascii="Times New Roman;serif" w:hAnsi="Times New Roman;serif"/>
          <w:b w:val="false"/>
          <w:sz w:val="22"/>
          <w:u w:val="single"/>
        </w:rPr>
        <w:t>Bank Products</w:t>
      </w:r>
      <w:r>
        <w:rPr>
          <w:rFonts w:ascii="Times New Roman" w:hAnsi="Times New Roman"/>
          <w:sz w:val="20"/>
        </w:rPr>
        <w:t xml:space="preserve">” </w:t>
      </w:r>
      <w:r>
        <w:rPr>
          <w:rFonts w:ascii="Times New Roman;serif" w:hAnsi="Times New Roman;serif"/>
          <w:b w:val="false"/>
          <w:sz w:val="22"/>
        </w:rPr>
        <w:t>means any facilities or services related to cash management, including treasury, depository, overdraft, credit or debit card, purchase card, electronic funds transfer and other cash management arrangements.</w:t>
      </w:r>
    </w:p>
    <w:p>
      <w:pPr>
        <w:pStyle w:val="TextBody"/>
        <w:bidi w:val="0"/>
        <w:spacing w:before="0" w:after="240"/>
        <w:jc w:val="left"/>
        <w:rPr/>
      </w:pPr>
      <w:r>
        <w:rPr/>
        <w:t>“</w:t>
      </w:r>
      <w:r>
        <w:rPr>
          <w:rFonts w:ascii="Times New Roman;serif" w:hAnsi="Times New Roman;serif"/>
          <w:b w:val="false"/>
          <w:sz w:val="22"/>
          <w:u w:val="single"/>
        </w:rPr>
        <w:t>Bankruptcy Code</w:t>
      </w:r>
      <w:r>
        <w:rPr>
          <w:rFonts w:ascii="Times New Roman" w:hAnsi="Times New Roman"/>
          <w:sz w:val="20"/>
        </w:rPr>
        <w:t xml:space="preserve">” </w:t>
      </w:r>
      <w:r>
        <w:rPr>
          <w:rFonts w:ascii="Times New Roman;serif" w:hAnsi="Times New Roman;serif"/>
          <w:b w:val="false"/>
          <w:sz w:val="22"/>
        </w:rPr>
        <w:t>means Title 11 of the United States Code, as amended.</w:t>
      </w:r>
    </w:p>
    <w:p>
      <w:pPr>
        <w:pStyle w:val="TextBody"/>
        <w:bidi w:val="0"/>
        <w:spacing w:before="0" w:after="240"/>
        <w:jc w:val="left"/>
        <w:rPr/>
      </w:pPr>
      <w:r>
        <w:rPr/>
        <w:t>“</w:t>
      </w:r>
      <w:r>
        <w:rPr>
          <w:rFonts w:ascii="Times New Roman;serif" w:hAnsi="Times New Roman;serif"/>
          <w:b w:val="false"/>
          <w:sz w:val="22"/>
          <w:u w:val="single"/>
        </w:rPr>
        <w:t>Bankruptcy Law</w:t>
      </w:r>
      <w:r>
        <w:rPr>
          <w:rFonts w:ascii="Times New Roman" w:hAnsi="Times New Roman"/>
          <w:sz w:val="20"/>
        </w:rPr>
        <w:t xml:space="preserve">” </w:t>
      </w:r>
      <w:r>
        <w:rPr>
          <w:rFonts w:ascii="Times New Roman;serif" w:hAnsi="Times New Roman;serif"/>
          <w:b w:val="false"/>
          <w:sz w:val="22"/>
        </w:rPr>
        <w:t>means the Bankruptcy Code and any similar federal, state or foreign law for the relief of debtors.</w:t>
      </w:r>
    </w:p>
    <w:p>
      <w:pPr>
        <w:pStyle w:val="TextBody"/>
        <w:bidi w:val="0"/>
        <w:spacing w:before="0" w:after="240"/>
        <w:jc w:val="left"/>
        <w:rPr/>
      </w:pPr>
      <w:r>
        <w:rPr/>
        <w:t>“</w:t>
      </w:r>
      <w:r>
        <w:rPr>
          <w:rFonts w:ascii="Times New Roman;serif" w:hAnsi="Times New Roman;serif"/>
          <w:b w:val="false"/>
          <w:sz w:val="22"/>
          <w:u w:val="single"/>
        </w:rPr>
        <w:t>Business Day</w:t>
      </w:r>
      <w:r>
        <w:rPr>
          <w:rFonts w:ascii="Times New Roman" w:hAnsi="Times New Roman"/>
          <w:sz w:val="20"/>
        </w:rPr>
        <w:t xml:space="preserve">” </w:t>
      </w:r>
      <w:r>
        <w:rPr>
          <w:rFonts w:ascii="Times New Roman;serif" w:hAnsi="Times New Roman;serif"/>
          <w:b w:val="false"/>
          <w:sz w:val="22"/>
        </w:rPr>
        <w:t>means each day which is not a Legal Holiday.</w:t>
      </w:r>
    </w:p>
    <w:p>
      <w:pPr>
        <w:pStyle w:val="TextBody"/>
        <w:bidi w:val="0"/>
        <w:spacing w:before="0" w:after="240"/>
        <w:jc w:val="left"/>
        <w:rPr/>
      </w:pPr>
      <w:r>
        <w:rPr/>
        <w:t>“</w:t>
      </w:r>
      <w:r>
        <w:rPr>
          <w:rFonts w:ascii="Times New Roman;serif" w:hAnsi="Times New Roman;serif"/>
          <w:b w:val="false"/>
          <w:sz w:val="22"/>
          <w:u w:val="single"/>
        </w:rPr>
        <w:t>Business Successor</w:t>
      </w:r>
      <w:r>
        <w:rPr>
          <w:rFonts w:ascii="Times New Roman" w:hAnsi="Times New Roman"/>
          <w:sz w:val="20"/>
        </w:rPr>
        <w:t xml:space="preserve">” </w:t>
      </w:r>
      <w:r>
        <w:rPr>
          <w:rFonts w:ascii="Times New Roman;serif" w:hAnsi="Times New Roman;serif"/>
          <w:b w:val="false"/>
          <w:sz w:val="22"/>
        </w:rPr>
        <w:t>means (a) any former Subsidiary of the Company and (b) any Person that, after the Completion Date, has acquired, merged or consolidated with a Subsidiary of the Company (that results in such Subsidiary ceasing to be a Subsidiary of the Company) or acquired (in one transaction or a series of transactions) all or substantially all of the property and assets or business of a Subsidiary or assets constituting a business unit, line of business or division of a Subsidiary of the Company.</w:t>
      </w:r>
    </w:p>
    <w:p>
      <w:pPr>
        <w:pStyle w:val="TextBody"/>
        <w:bidi w:val="0"/>
        <w:spacing w:before="0" w:after="240"/>
        <w:jc w:val="left"/>
        <w:rPr/>
      </w:pPr>
      <w:r>
        <w:rPr/>
        <w:t>“</w:t>
      </w:r>
      <w:r>
        <w:rPr>
          <w:rFonts w:ascii="Times New Roman;serif" w:hAnsi="Times New Roman;serif"/>
          <w:b w:val="false"/>
          <w:sz w:val="22"/>
          <w:u w:val="single"/>
        </w:rPr>
        <w:t>Capital Stock</w:t>
      </w:r>
      <w:r>
        <w:rPr>
          <w:rFonts w:ascii="Times New Roman" w:hAnsi="Times New Roman"/>
          <w:sz w:val="20"/>
        </w:rPr>
        <w:t xml:space="preserve">” </w:t>
      </w:r>
      <w:r>
        <w:rPr>
          <w:rFonts w:ascii="Times New Roman;serif" w:hAnsi="Times New Roman;serif"/>
          <w:b w:val="false"/>
          <w:sz w:val="22"/>
        </w:rPr>
        <w:t>means: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in the case of a corporation, corporate stock or shares in the capital of such corporation;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in the case of an association or business entity, any and all shares, interests, participations, rights or other equivalents (however designated) of capital stock;</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in the case of a partnership or limited liability company, partnership or membership interests (whether general or limited);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but excluding from all of the foregoing any debt securities convertible into Capital Stock, whether or not such debt securities include any right of participation with Capital Stock.</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Capitalized Lease Obligation</w:t>
      </w:r>
      <w:r>
        <w:rPr>
          <w:rFonts w:ascii="Times New Roman" w:hAnsi="Times New Roman"/>
          <w:sz w:val="20"/>
        </w:rPr>
        <w:t xml:space="preserve">” </w:t>
      </w:r>
      <w:r>
        <w:rPr>
          <w:rFonts w:ascii="Times New Roman;serif" w:hAnsi="Times New Roman;serif"/>
          <w:b w:val="false"/>
          <w:sz w:val="22"/>
        </w:rPr>
        <w:t xml:space="preserve">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IFRS;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all obligations of any Person that are or would have been characterized as an operating lease as determined in accordance with IFRS (IAS 17) as in effect prior to January 13, 2016 (whether or not such operating lease was in effect on such date) shall continue to be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accounted for as an operating lease (and not as a Capitalized Lease or Capitalized Lease Obligation) for purposes of this Indenture regardless of any change in IFRS following such date that would otherwise require such obligation to be recharacterized as a Capitalized Lease Obligation, to the extent that financial reporting shall not be affected hereby.</w:t>
      </w:r>
    </w:p>
    <w:p>
      <w:pPr>
        <w:pStyle w:val="TextBody"/>
        <w:bidi w:val="0"/>
        <w:spacing w:before="0" w:after="240"/>
        <w:jc w:val="left"/>
        <w:rPr/>
      </w:pPr>
      <w:r>
        <w:rPr/>
        <w:t>“</w:t>
      </w:r>
      <w:r>
        <w:rPr>
          <w:rFonts w:ascii="Times New Roman;serif" w:hAnsi="Times New Roman;serif"/>
          <w:b w:val="false"/>
          <w:sz w:val="22"/>
          <w:u w:val="single"/>
        </w:rPr>
        <w:t>Capitalized Leases</w:t>
      </w:r>
      <w:r>
        <w:rPr>
          <w:rFonts w:ascii="Times New Roman" w:hAnsi="Times New Roman"/>
          <w:sz w:val="20"/>
        </w:rPr>
        <w:t xml:space="preserve">” </w:t>
      </w:r>
      <w:r>
        <w:rPr>
          <w:rFonts w:ascii="Times New Roman;serif" w:hAnsi="Times New Roman;serif"/>
          <w:b w:val="false"/>
          <w:sz w:val="22"/>
        </w:rPr>
        <w:t xml:space="preserve">means any lease that has been or is required to be, in accordance with IFRS as in effect on the Completion Date, recorded as a capitalized lease;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for all purposes hereunder, the amount of obligations under any Capitalized Lease shall be the amount thereof accounted for as a liability in accordance with IFRS;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that all leases of such Person that are or would have been characterized as operating leases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Indenture notwithstanding the fact that such obligations are required in accordance with IFRS (on a prospective or retroactive basis or otherwise) to be characterized as capitalized lease obligations in the financial statements to be delivered pursuant to the Notes Documents.</w:t>
      </w:r>
    </w:p>
    <w:p>
      <w:pPr>
        <w:pStyle w:val="TextBody"/>
        <w:bidi w:val="0"/>
        <w:spacing w:before="0" w:after="240"/>
        <w:jc w:val="left"/>
        <w:rPr/>
      </w:pPr>
      <w:r>
        <w:rPr/>
        <w:t>“</w:t>
      </w:r>
      <w:r>
        <w:rPr>
          <w:rFonts w:ascii="Times New Roman;serif" w:hAnsi="Times New Roman;serif"/>
          <w:b w:val="false"/>
          <w:sz w:val="22"/>
          <w:u w:val="single"/>
        </w:rPr>
        <w:t>Capitalized Software Expenditures</w:t>
      </w:r>
      <w:r>
        <w:rPr>
          <w:rFonts w:ascii="Times New Roman" w:hAnsi="Times New Roman"/>
          <w:sz w:val="20"/>
        </w:rPr>
        <w:t xml:space="preserve">” </w:t>
      </w:r>
      <w:r>
        <w:rPr>
          <w:rFonts w:ascii="Times New Roman;serif" w:hAnsi="Times New Roman;serif"/>
          <w:b w:val="false"/>
          <w:sz w:val="22"/>
        </w:rPr>
        <w:t>means, with respect to any Person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IFRS, are or are required to be reflected as capitalized costs on the consolidated balance sheet of a Person and its Restricted Subsidiaries.</w:t>
      </w:r>
    </w:p>
    <w:p>
      <w:pPr>
        <w:pStyle w:val="TextBody"/>
        <w:bidi w:val="0"/>
        <w:spacing w:before="0" w:after="240"/>
        <w:jc w:val="left"/>
        <w:rPr/>
      </w:pPr>
      <w:r>
        <w:rPr/>
        <w:t>“</w:t>
      </w:r>
      <w:r>
        <w:rPr>
          <w:rFonts w:ascii="Times New Roman;serif" w:hAnsi="Times New Roman;serif"/>
          <w:b w:val="false"/>
          <w:sz w:val="22"/>
          <w:u w:val="single"/>
        </w:rPr>
        <w:t>Cash Equivalents</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left"/>
        <w:rPr>
          <w:rFonts w:ascii="Times New Roman" w:hAnsi="Times New Roman"/>
          <w:sz w:val="20"/>
        </w:rPr>
      </w:pPr>
      <w:r>
        <w:rPr>
          <w:rFonts w:ascii="Times New Roman;serif" w:hAnsi="Times New Roman;serif"/>
          <w:b w:val="false"/>
          <w:sz w:val="22"/>
        </w:rPr>
        <w:t>(1) United States dollars;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(a) Canadian dollars, Yen, pounds sterling, euros, or any national currency of any participating member state of the EMU or (b) in the case of any Foreign Subsidiary, such local currencies held by it from time to time in the ordinary course of business;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securities issued or directly and fully and unconditionally guaranteed or insured by the U.S. government or any agency or instrumentality thereof, Canada, Switzerland, a member of the European Union rated “A” (or the equivalent thereof) or better by S&amp;P and A2 (or the equivalent thereof) or better by Moody’s, the securities of which are unconditionally guaranteed as a full faith and credit obligation of such government with maturities of 24 months or less from the date of acquisition;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$250.0 million in the case of U.S. banks or $100.0 million (or the U.S. dollar equivalent as of the date of determination) in the case of non-U.S. banks (any such bank being an “</w:t>
      </w:r>
      <w:r>
        <w:rPr>
          <w:rFonts w:ascii="Times New Roman;serif" w:hAnsi="Times New Roman;serif"/>
          <w:b w:val="false"/>
          <w:sz w:val="22"/>
          <w:u w:val="single"/>
        </w:rPr>
        <w:t>Approved Bank</w:t>
      </w:r>
      <w:r>
        <w:rPr>
          <w:rFonts w:ascii="Times New Roman" w:hAnsi="Times New Roman"/>
          <w:sz w:val="20"/>
        </w:rPr>
        <w:t>”</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(5) repurchase obligations for underlying securities of the types described in clauses (3), (4) or (7) entered into with any financial institution or recognized securities dealer meeting the qualifications specified in clause (4) above;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(6)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(7) 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(8) readily marketable direct obligations issued by any state, commonwealth or territory of the United States of America or any political subdivision or taxing authority thereof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(9) Indebtedness or Preferred Stock issued by Persons with a rating of “A” or higher from S&amp;P or “A2” or higher from Moody’s (or, if at any time neither Moody’s nor S&amp;P shall be rating such obligations, an equivalent rating from another Rating Agency) with maturities of 24 months or less from the date of acquisition;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(10) readily marketable direct obligations issued by any foreign government or any political subdivision or public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(12) repurchase agreements entered into by any Person with an Approved Bank, a bank or trust company or recognized securities dealer, in each case, having capital and surplus in excess of $250.0 million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pStyle w:val="TextBody"/>
        <w:bidi w:val="0"/>
        <w:spacing w:before="0" w:after="240"/>
        <w:jc w:val="left"/>
        <w:rPr>
          <w:rFonts w:ascii="Times New Roman" w:hAnsi="Times New Roman"/>
          <w:sz w:val="20"/>
        </w:rPr>
      </w:pPr>
      <w:r>
        <w:rPr>
          <w:rFonts w:ascii="Times New Roman;serif" w:hAnsi="Times New Roman;serif"/>
          <w:b w:val="false"/>
          <w:sz w:val="22"/>
        </w:rPr>
        <w:t>(13) instruments equivalent to those referred to in clauses (1) through (12)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(14) investments, classified in accordance with IFRS as current assets of the Company or any Subsidiary, in money market investment programs that are registered under the Investment Company Act of 1940 or that are administered by financial institutions having capital of at least $250.0 million or its equivalent, and, in either case, the portfolios of which are limited such that substantially all of such investments are of the character, quality and maturity described in clauses (1) through (13) of this definition;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(15) 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serif" w:hAnsi="Times New Roman;serif"/>
          <w:b w:val="false"/>
          <w:sz w:val="22"/>
          <w:u w:val="single"/>
        </w:rPr>
        <w:t>Approved Foreign Bank</w:t>
      </w:r>
      <w:r>
        <w:rPr>
          <w:rFonts w:ascii="Times New Roman" w:hAnsi="Times New Roman"/>
          <w:sz w:val="20"/>
        </w:rPr>
        <w:t>”</w:t>
      </w:r>
      <w:r>
        <w:rPr>
          <w:rFonts w:ascii="Times New Roman;serif" w:hAnsi="Times New Roman;serif"/>
          <w:b w:val="false"/>
          <w:sz w:val="22"/>
        </w:rPr>
        <w:t>), and in each case with maturities of not more than 24 months from the date of acquisition and (iii) the equivalent of demand deposit accounts which are maintained with an Approved Foreign Bank;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(16) investment funds investing at least 90.0% of their assets in securities of the types described in clauses (1) through (15) above.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Notwithstanding the foregoing, Cash Equivalents shall include amounts denominated in currencies other than those set forth in clauses (1) or (2) above or the immediately preceding paragraph;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such amounts are converted into any currency set forth in clauses (1) or (2) above or the immediately preceding paragraph as promptly as practicable and in any event within ten Business Days following the receipt of such amounts.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the case of Investments by any Foreign Subsidiary that is a Restricted Subsidiary or Investments made in a country outside the United States of America, Cash Equivalents shall also include (a) investments of the type and maturity described in clauses (1) through (16) above of foreign obligors, which Investments or obligors (or the parents of such obligors) have ratings described in such clauses or equivalent ratings from comparable foreign rating agencies and (b) other short term investments utilized by Foreign Subsidiaries that are Restricted Subsidiaries in accordance with normal investment practices for cash management in investments analogous to the foregoing investments in clauses (1) through (16) above and in this paragraph.</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w:t>
        <w:noBreakHyphen/>
        <w:t>rate obligations; or (iv) the next put exercise date (for obligations with put features).</w:t>
      </w:r>
    </w:p>
    <w:p>
      <w:pPr>
        <w:pStyle w:val="TextBody"/>
        <w:bidi w:val="0"/>
        <w:spacing w:before="0" w:after="240"/>
        <w:jc w:val="left"/>
        <w:rPr/>
      </w:pPr>
      <w:r>
        <w:rPr/>
        <w:t>“</w:t>
      </w:r>
      <w:r>
        <w:rPr>
          <w:rFonts w:ascii="Times New Roman;serif" w:hAnsi="Times New Roman;serif"/>
          <w:b w:val="false"/>
          <w:sz w:val="22"/>
          <w:u w:val="single"/>
        </w:rPr>
        <w:t>Cash Management Obligations</w:t>
      </w:r>
      <w:r>
        <w:rPr>
          <w:rFonts w:ascii="Times New Roman" w:hAnsi="Times New Roman"/>
          <w:sz w:val="20"/>
        </w:rPr>
        <w:t xml:space="preserve">” </w:t>
      </w:r>
      <w:r>
        <w:rPr>
          <w:rFonts w:ascii="Times New Roman;serif" w:hAnsi="Times New Roman;serif"/>
          <w:b w:val="false"/>
          <w:sz w:val="22"/>
        </w:rPr>
        <w:t>means (a) obligations of direct or indirect parent companies of the Company, the Company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CFC</w:t>
      </w:r>
      <w:r>
        <w:rPr>
          <w:rFonts w:ascii="Times New Roman" w:hAnsi="Times New Roman"/>
          <w:sz w:val="20"/>
        </w:rPr>
        <w:t xml:space="preserve">” </w:t>
      </w:r>
      <w:r>
        <w:rPr>
          <w:rFonts w:ascii="Times New Roman;serif" w:hAnsi="Times New Roman;serif"/>
          <w:b w:val="false"/>
          <w:sz w:val="22"/>
        </w:rPr>
        <w:t>means a “controlled foreign corporation” within the meaning of Section 957(a) of the Code</w:t>
      </w:r>
    </w:p>
    <w:p>
      <w:pPr>
        <w:pStyle w:val="TextBody"/>
        <w:bidi w:val="0"/>
        <w:spacing w:before="0" w:after="240"/>
        <w:jc w:val="left"/>
        <w:rPr/>
      </w:pPr>
      <w:r>
        <w:rPr/>
        <w:t>“</w:t>
      </w:r>
      <w:r>
        <w:rPr>
          <w:rFonts w:ascii="Times New Roman;serif" w:hAnsi="Times New Roman;serif"/>
          <w:b w:val="false"/>
          <w:sz w:val="22"/>
          <w:u w:val="single"/>
        </w:rPr>
        <w:t>Change of Control</w:t>
      </w:r>
      <w:r>
        <w:rPr>
          <w:rFonts w:ascii="Times New Roman" w:hAnsi="Times New Roman"/>
          <w:sz w:val="20"/>
        </w:rPr>
        <w:t xml:space="preserve">” </w:t>
      </w:r>
      <w:r>
        <w:rPr>
          <w:rFonts w:ascii="Times New Roman;serif" w:hAnsi="Times New Roman;serif"/>
          <w:b w:val="false"/>
          <w:sz w:val="22"/>
        </w:rPr>
        <w:t>means the occurrence of any of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(1) the sale, lease or transfer, in one or a series of related transactions, of all or substantially all of the assets of the Company and its Restricted Subsidiaries, taken as a whole, to any Person other than a Restricted Subsidiary or one or more Permitted Holders;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the Company becomes aware of (by way of a report or any other filing pursuant to Section 13(d) of the Exchange Act, proxy, vote, written notice or otherwise) the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or any successor provision), other than one or more Permitted Holders, in a single transaction or in a related series of transactions, by way of merger, amalgamation, consolidation or other business combination or purchase of beneficial ownership (within the meaning of Rule 13d-3 under the Exchange Act, or any successor provision) of 50.0% or more of the total voting power of the Voting Stock of the Company other than in connection with any transaction or series of transactions in which the Company shall become a Wholly Owned Subsidiary of a parent entity of which no person or group, as noted above, holds 50.0% or more of the total voting power (other than a Permitted Holder).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Company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For the purpose of this definition, so long as at the time of any Minority Business Disposition or any Minority Business Offering the Minority Business Disposition Condition is met, the Minority Business Assets shall not be deemed at any time to constitute all or substantially all of the assets of the Company and its Restricted Subsidiaries, and any sale or transfer of all or any part of the Minority Business Assets (whether directly or indirectly, whether by sale or transfer of any such assets, or of any Capital Stock or other interest in any Person holding such assets, or by merger or consolidation, or any combination thereof, and whether in one or more transactions, or otherwise, including any Minority Business Offering or any Minority Business Disposition) shall not be deemed at any time to constitute a sale or transfer of all or substantially all of the assets of the Company and its Restricted Subsidiaries.</w:t>
      </w:r>
    </w:p>
    <w:p>
      <w:pPr>
        <w:pStyle w:val="TextBody"/>
        <w:bidi w:val="0"/>
        <w:spacing w:before="0" w:after="24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Clearstream</w:t>
      </w:r>
      <w:r>
        <w:rPr>
          <w:rFonts w:ascii="Times New Roman" w:hAnsi="Times New Roman"/>
          <w:sz w:val="20"/>
        </w:rPr>
        <w:t xml:space="preserve">” </w:t>
      </w:r>
      <w:r>
        <w:rPr>
          <w:rFonts w:ascii="Times New Roman;serif" w:hAnsi="Times New Roman;serif"/>
          <w:b w:val="false"/>
          <w:sz w:val="22"/>
        </w:rPr>
        <w:t>means Clearstream Banking S.A. and its successors.</w:t>
      </w:r>
    </w:p>
    <w:p>
      <w:pPr>
        <w:pStyle w:val="TextBody"/>
        <w:bidi w:val="0"/>
        <w:spacing w:before="0" w:after="240"/>
        <w:jc w:val="left"/>
        <w:rPr/>
      </w:pPr>
      <w:r>
        <w:rPr/>
        <w:t>“</w:t>
      </w:r>
      <w:r>
        <w:rPr>
          <w:rFonts w:ascii="Times New Roman;serif" w:hAnsi="Times New Roman;serif"/>
          <w:b w:val="false"/>
          <w:sz w:val="22"/>
          <w:u w:val="single"/>
        </w:rPr>
        <w:t>Code</w:t>
      </w:r>
      <w:r>
        <w:rPr>
          <w:rFonts w:ascii="Times New Roman" w:hAnsi="Times New Roman"/>
          <w:sz w:val="20"/>
        </w:rPr>
        <w:t xml:space="preserve">” </w:t>
      </w:r>
      <w:r>
        <w:rPr>
          <w:rFonts w:ascii="Times New Roman;serif" w:hAnsi="Times New Roman;serif"/>
          <w:b w:val="false"/>
          <w:sz w:val="22"/>
        </w:rPr>
        <w:t>means the United States Internal Revenue Code of 1986, as amended, or any successor thereto.</w:t>
      </w:r>
    </w:p>
    <w:p>
      <w:pPr>
        <w:pStyle w:val="TextBody"/>
        <w:bidi w:val="0"/>
        <w:spacing w:before="0" w:after="240"/>
        <w:jc w:val="left"/>
        <w:rPr/>
      </w:pPr>
      <w:r>
        <w:rPr/>
        <w:t>“</w:t>
      </w:r>
      <w:r>
        <w:rPr>
          <w:rFonts w:ascii="Times New Roman;serif" w:hAnsi="Times New Roman;serif"/>
          <w:b w:val="false"/>
          <w:sz w:val="22"/>
          <w:u w:val="single"/>
        </w:rPr>
        <w:t>Collateral</w:t>
      </w:r>
      <w:r>
        <w:rPr>
          <w:rFonts w:ascii="Times New Roman" w:hAnsi="Times New Roman"/>
          <w:sz w:val="20"/>
        </w:rPr>
        <w:t xml:space="preserve">” </w:t>
      </w:r>
      <w:r>
        <w:rPr>
          <w:rFonts w:ascii="Times New Roman;serif" w:hAnsi="Times New Roman;serif"/>
          <w:b w:val="false"/>
          <w:sz w:val="22"/>
        </w:rPr>
        <w:t>means all the assets and properties subject to the Liens created by the Collateral Documents.</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Collateral Documents</w:t>
      </w:r>
      <w:r>
        <w:rPr>
          <w:rFonts w:ascii="Times New Roman" w:hAnsi="Times New Roman"/>
          <w:sz w:val="20"/>
        </w:rPr>
        <w:t xml:space="preserve">” </w:t>
      </w:r>
      <w:r>
        <w:rPr>
          <w:rFonts w:ascii="Times New Roman;serif" w:hAnsi="Times New Roman;serif"/>
          <w:b w:val="false"/>
          <w:sz w:val="22"/>
        </w:rPr>
        <w:t>means, collectively, any security agreements, hypotecs, intellectual property security agreements, mortgages, collateral assignments, security agreement supplements, pledge agreements, bond or any similar agreements, guarantees and each of the other agreements, instruments or documents that creates or purports to create a Lien or guarantee in favor of the Notes Collateral Agent for its benefit and the benefit of the Trustee and the Holders of the Notes in all or any portion of the Collateral, as amended, extended, renewed, restated, refunded, replaced, refinanced, supplemented, modified or otherwise changed from time to time.</w:t>
      </w:r>
    </w:p>
    <w:p>
      <w:pPr>
        <w:pStyle w:val="TextBody"/>
        <w:bidi w:val="0"/>
        <w:spacing w:before="0" w:after="240"/>
        <w:jc w:val="left"/>
        <w:rPr/>
      </w:pPr>
      <w:r>
        <w:rPr/>
        <w:t>“</w:t>
      </w:r>
      <w:r>
        <w:rPr>
          <w:rFonts w:ascii="Times New Roman;serif" w:hAnsi="Times New Roman;serif"/>
          <w:b w:val="false"/>
          <w:sz w:val="22"/>
          <w:u w:val="single"/>
        </w:rPr>
        <w:t>Company</w:t>
      </w:r>
      <w:r>
        <w:rPr>
          <w:rFonts w:ascii="Times New Roman" w:hAnsi="Times New Roman"/>
          <w:sz w:val="20"/>
        </w:rPr>
        <w:t xml:space="preserve">” </w:t>
      </w:r>
      <w:r>
        <w:rPr>
          <w:rFonts w:ascii="Times New Roman;serif" w:hAnsi="Times New Roman;serif"/>
          <w:b w:val="false"/>
          <w:sz w:val="22"/>
        </w:rPr>
        <w:t>means Connect Bidco Limited, a non-cellular company limited by shares incorporated under the laws of Guernsey directly owned by Holdings.</w:t>
      </w:r>
    </w:p>
    <w:p>
      <w:pPr>
        <w:pStyle w:val="TextBody"/>
        <w:bidi w:val="0"/>
        <w:spacing w:before="0" w:after="240"/>
        <w:jc w:val="left"/>
        <w:rPr/>
      </w:pPr>
      <w:r>
        <w:rPr/>
        <w:t>“</w:t>
      </w:r>
      <w:r>
        <w:rPr>
          <w:rFonts w:ascii="Times New Roman;serif" w:hAnsi="Times New Roman;serif"/>
          <w:b w:val="false"/>
          <w:sz w:val="22"/>
          <w:u w:val="single"/>
        </w:rPr>
        <w:t>Completion Date</w:t>
      </w:r>
      <w:r>
        <w:rPr>
          <w:rFonts w:ascii="Times New Roman" w:hAnsi="Times New Roman"/>
          <w:sz w:val="20"/>
        </w:rPr>
        <w:t xml:space="preserve">” </w:t>
      </w:r>
      <w:r>
        <w:rPr>
          <w:rFonts w:ascii="Times New Roman;serif" w:hAnsi="Times New Roman;serif"/>
          <w:b w:val="false"/>
          <w:sz w:val="22"/>
        </w:rPr>
        <w:t>means the date of the Escrow Release.</w:t>
      </w:r>
    </w:p>
    <w:p>
      <w:pPr>
        <w:pStyle w:val="TextBody"/>
        <w:bidi w:val="0"/>
        <w:spacing w:before="0" w:after="240"/>
        <w:jc w:val="left"/>
        <w:rPr/>
      </w:pPr>
      <w:r>
        <w:rPr/>
        <w:t>“</w:t>
      </w:r>
      <w:r>
        <w:rPr>
          <w:rFonts w:ascii="Times New Roman;serif" w:hAnsi="Times New Roman;serif"/>
          <w:b w:val="false"/>
          <w:sz w:val="22"/>
          <w:u w:val="single"/>
        </w:rPr>
        <w:t>Completion Date Supplemental Indenture</w:t>
      </w:r>
      <w:r>
        <w:rPr>
          <w:rFonts w:ascii="Times New Roman" w:hAnsi="Times New Roman"/>
          <w:sz w:val="20"/>
        </w:rPr>
        <w:t xml:space="preserve">” </w:t>
      </w:r>
      <w:r>
        <w:rPr>
          <w:rFonts w:ascii="Times New Roman;serif" w:hAnsi="Times New Roman;serif"/>
          <w:b w:val="false"/>
          <w:sz w:val="22"/>
        </w:rPr>
        <w:t xml:space="preserve">means a supplemental indenture to this Indenture substantially in the form of </w:t>
      </w:r>
      <w:r>
        <w:rPr>
          <w:rFonts w:ascii="Times New Roman;serif" w:hAnsi="Times New Roman;serif"/>
          <w:b w:val="false"/>
          <w:sz w:val="22"/>
          <w:u w:val="single"/>
        </w:rPr>
        <w:t>Exhibit E</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Consolidated Depreciation and Amortization Expense</w:t>
      </w:r>
      <w:r>
        <w:rPr>
          <w:rFonts w:ascii="Times New Roman" w:hAnsi="Times New Roman"/>
          <w:sz w:val="20"/>
        </w:rPr>
        <w:t xml:space="preserve">” </w:t>
      </w:r>
      <w:r>
        <w:rPr>
          <w:rFonts w:ascii="Times New Roman;serif" w:hAnsi="Times New Roman;serif"/>
          <w:b w:val="false"/>
          <w:sz w:val="22"/>
        </w:rPr>
        <w:t>means with respect to any Person for any period, the total amount of depreciation and amortization expense for such period, including the amortization of deferred financing fees, debt issuance costs, commissions, fees and expenses and Capitalized Software Expenditures of such Person and its Restricted Subsidiaries for such period (including such expense attributable to held-for-sale discontinued operations) determined on a consolidated basis and otherwise determined in accordance with IFRS.</w:t>
      </w:r>
    </w:p>
    <w:p>
      <w:pPr>
        <w:pStyle w:val="TextBody"/>
        <w:bidi w:val="0"/>
        <w:spacing w:before="0" w:after="240"/>
        <w:jc w:val="left"/>
        <w:rPr/>
      </w:pPr>
      <w:r>
        <w:rPr/>
        <w:t>“</w:t>
      </w:r>
      <w:r>
        <w:rPr>
          <w:rFonts w:ascii="Times New Roman;serif" w:hAnsi="Times New Roman;serif"/>
          <w:b w:val="false"/>
          <w:sz w:val="22"/>
          <w:u w:val="single"/>
        </w:rPr>
        <w:t>Consolidated EBITDA</w:t>
      </w:r>
      <w:r>
        <w:rPr>
          <w:rFonts w:ascii="Times New Roman" w:hAnsi="Times New Roman"/>
          <w:sz w:val="20"/>
        </w:rPr>
        <w:t xml:space="preserve">” </w:t>
      </w:r>
      <w:r>
        <w:rPr>
          <w:rFonts w:ascii="Times New Roman;serif" w:hAnsi="Times New Roman;serif"/>
          <w:b w:val="false"/>
          <w:sz w:val="22"/>
        </w:rPr>
        <w:t>means, with respect to any Person for any period, the Consolidated Net Income of such Person for such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increased (without duplication) by the following, in each case, to the extent deducted (and not added back) in arriving at Consolidated Net Income of such Person for such period: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taxes paid (including pursuant to any tax sharing arrangements) and provisions for taxes of such Person and its Restricted Subsidiaries, including, in each case federal, state, provincial, local, foreign, unitary, franchise, excise, property, withholding, use and similar taxes, including any penalties and interest, plus, without duplication, Tax Distributions paid or accrued during such period;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bookmarkStart w:id="22" w:name="docxtextref221"/>
      <w:bookmarkEnd w:id="22"/>
      <w:r>
        <w:rPr>
          <w:rFonts w:ascii="Times New Roman;serif" w:hAnsi="Times New Roman;serif"/>
          <w:b w:val="false"/>
          <w:sz w:val="22"/>
        </w:rPr>
        <w:t>(b) Fixed Charges of such Person for such period (including (1)</w:t>
      </w:r>
      <w:r>
        <w:rPr>
          <w:rFonts w:ascii="Times New Roman" w:hAnsi="Times New Roman"/>
          <w:sz w:val="20"/>
        </w:rPr>
        <w:t xml:space="preserve"> </w:t>
      </w:r>
      <w:r>
        <w:rPr>
          <w:rFonts w:ascii="Times New Roman;serif" w:hAnsi="Times New Roman;serif"/>
          <w:b w:val="false"/>
          <w:sz w:val="22"/>
        </w:rPr>
        <w:t xml:space="preserve">premium payments, debt discount, fees, charges and related expenses incurred in connection with borrowed money (including capitalized interest) or in connection with the deferred purchase price of assets, </w:t>
      </w:r>
      <w:bookmarkStart w:id="23" w:name="docxtextref222"/>
      <w:bookmarkEnd w:id="23"/>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the portion of rent expense with respect to such period under Capitalized Lease Obligations that is treated as interest expense in accordance with IFRS, </w:t>
      </w:r>
      <w:bookmarkStart w:id="24" w:name="docxtextref223"/>
      <w:bookmarkEnd w:id="24"/>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 xml:space="preserve">the implied interest component of synthetic leases with respect to such period, </w:t>
      </w:r>
      <w:bookmarkStart w:id="25" w:name="docxtextref224"/>
      <w:bookmarkEnd w:id="25"/>
      <w:r>
        <w:rPr>
          <w:rFonts w:ascii="Times New Roman;serif" w:hAnsi="Times New Roman;serif"/>
          <w:b w:val="false"/>
          <w:sz w:val="22"/>
        </w:rPr>
        <w:t>(4)</w:t>
      </w:r>
      <w:r>
        <w:rPr>
          <w:rFonts w:ascii="Times New Roman" w:hAnsi="Times New Roman"/>
          <w:sz w:val="20"/>
        </w:rPr>
        <w:t xml:space="preserve"> </w:t>
      </w:r>
      <w:r>
        <w:rPr>
          <w:rFonts w:ascii="Times New Roman;serif" w:hAnsi="Times New Roman;serif"/>
          <w:b w:val="false"/>
          <w:sz w:val="22"/>
        </w:rPr>
        <w:t>net losses on Hedging Obligations or other derivative instruments entered into for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bookmarkStart w:id="26" w:name="docxtextref225"/>
      <w:bookmarkEnd w:id="26"/>
      <w:r>
        <w:rPr>
          <w:rFonts w:ascii="Times New Roman;serif" w:hAnsi="Times New Roman;serif"/>
          <w:b w:val="false"/>
          <w:sz w:val="22"/>
        </w:rPr>
        <w:t>purpose of hedging interest rate risk, net of interest income and gains with respect to such obligations plus bank fees, (5)</w:t>
      </w:r>
      <w:r>
        <w:rPr>
          <w:rFonts w:ascii="Times New Roman" w:hAnsi="Times New Roman"/>
          <w:sz w:val="20"/>
        </w:rPr>
        <w:t xml:space="preserve"> </w:t>
      </w:r>
      <w:r>
        <w:rPr>
          <w:rFonts w:ascii="Times New Roman;serif" w:hAnsi="Times New Roman;serif"/>
          <w:b w:val="false"/>
          <w:sz w:val="22"/>
        </w:rPr>
        <w:t xml:space="preserve">bank and letter of credit fees and costs of surety bonds in connection with financing activities, and (6) any commissions, discounts, yield and other fees and charges (including any interest expense) related to any Receivables Facility, in each case, to the extent included in Fixed Charges), together with items excluded from the definition of “Consolidated Interest Expense” pursuant to clauses </w:t>
      </w:r>
      <w:bookmarkStart w:id="27" w:name="docxtextref219"/>
      <w:bookmarkEnd w:id="27"/>
      <w:r>
        <w:rPr>
          <w:rFonts w:ascii="Times New Roman;serif" w:hAnsi="Times New Roman;serif"/>
          <w:b w:val="false"/>
          <w:sz w:val="22"/>
        </w:rPr>
        <w:t>1(o)</w:t>
      </w:r>
      <w:r>
        <w:rPr>
          <w:rFonts w:ascii="Times New Roman" w:hAnsi="Times New Roman"/>
          <w:sz w:val="20"/>
        </w:rPr>
        <w:t xml:space="preserve"> </w:t>
      </w:r>
      <w:r>
        <w:rPr>
          <w:rFonts w:ascii="Times New Roman;serif" w:hAnsi="Times New Roman;serif"/>
          <w:b w:val="false"/>
          <w:sz w:val="22"/>
        </w:rPr>
        <w:t xml:space="preserve">through </w:t>
      </w:r>
      <w:bookmarkStart w:id="28" w:name="docxtextref220"/>
      <w:bookmarkEnd w:id="28"/>
      <w:r>
        <w:rPr>
          <w:rFonts w:ascii="Times New Roman;serif" w:hAnsi="Times New Roman;serif"/>
          <w:b w:val="false"/>
          <w:sz w:val="22"/>
        </w:rPr>
        <w:t>1(z)</w:t>
      </w:r>
      <w:r>
        <w:rPr>
          <w:rFonts w:ascii="Times New Roman" w:hAnsi="Times New Roman"/>
          <w:sz w:val="20"/>
        </w:rPr>
        <w:t xml:space="preserve"> </w:t>
      </w:r>
      <w:r>
        <w:rPr>
          <w:rFonts w:ascii="Times New Roman;serif" w:hAnsi="Times New Roman;serif"/>
          <w:b w:val="false"/>
          <w:sz w:val="22"/>
        </w:rPr>
        <w:t xml:space="preserve">thereof;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Consolidated Depreciation and Amortization Expense of such Person for such period;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bookmarkStart w:id="29" w:name="docxtextref226"/>
      <w:bookmarkEnd w:id="29"/>
      <w:r>
        <w:rPr>
          <w:rFonts w:ascii="Times New Roman;serif" w:hAnsi="Times New Roman;serif"/>
          <w:b w:val="false"/>
          <w:sz w:val="22"/>
        </w:rPr>
        <w:t>(d) any expenses or charges (other than depreciation or amortization expense) related to any Equity Offering, Permitted Investment, Restricted Payment, acquisition, disposition, recapitalization or the incurrence of Indebtedness (and any amendment or modification to any such transaction) (including a refinancing thereof) (whether or not successful), including (i)</w:t>
      </w:r>
      <w:r>
        <w:rPr>
          <w:rFonts w:ascii="Times New Roman" w:hAnsi="Times New Roman"/>
          <w:sz w:val="20"/>
        </w:rPr>
        <w:t xml:space="preserve"> </w:t>
      </w:r>
      <w:r>
        <w:rPr>
          <w:rFonts w:ascii="Times New Roman;serif" w:hAnsi="Times New Roman;serif"/>
          <w:b w:val="false"/>
          <w:sz w:val="22"/>
        </w:rPr>
        <w:t xml:space="preserve">such fees, expenses or charges related to the incurrence of all Transaction Costs, (ii) such fees, expenses, or charges related to the Notes Documents and any other credit facilities, or debt issuances and (iii) any amendment or other modification of indebtedness;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Completion Date, project startup costs and costs related to the closure and/or consolidation of facilities, in each case, whether or not classified as restructuring expense on the consolidated financial statements;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 any other non-cash charges, including, without limitation, any write offs or write downs, reducing Consolidated Net Income for such period;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(g) the amount of any non-controlling interest expense consisting of income attributable to non-controlling interests of third parties in any non-Wholly Owned Subsidiary;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(h) the amount of board of directors fees and management, monitoring, consulting, advisory fees and other fees (including termination and transaction fees), indemnities and related expenses paid or accrued in such period under the Sponsor Management Agreement or otherwise to (or on behalf of) the Investors (including any termination fees payable in connection with the early termination of management and monitoring agreements) to the extent otherwise permitted under Section 4.11 hereof;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 w:hAnsi="Times New Roman"/>
          <w:sz w:val="20"/>
        </w:rPr>
      </w:pPr>
      <w:bookmarkStart w:id="30" w:name="docxtextref228"/>
      <w:bookmarkEnd w:id="30"/>
      <w:r>
        <w:rPr>
          <w:rFonts w:ascii="Times New Roman;serif" w:hAnsi="Times New Roman;serif"/>
          <w:b w:val="false"/>
          <w:sz w:val="22"/>
        </w:rPr>
        <w:t>(i) (x)</w:t>
      </w:r>
      <w:r>
        <w:rPr>
          <w:rFonts w:ascii="Times New Roman" w:hAnsi="Times New Roman"/>
          <w:sz w:val="20"/>
        </w:rPr>
        <w:t xml:space="preserve"> </w:t>
      </w:r>
      <w:r>
        <w:rPr>
          <w:rFonts w:ascii="Times New Roman;serif" w:hAnsi="Times New Roman;serif"/>
          <w:b w:val="false"/>
          <w:sz w:val="22"/>
        </w:rPr>
        <w:t>start-up fees, losses, costs, charges, expenses or payments incurred in the first twelve (12) months following the commitment to open a new facility with respect to the prospecting, opening, and organizing of any new facility (including, but not limited to, the cost of feasibility studies, staff-training and recruiting costs, advertising and marketing costs, rental or mortgage costs, compensation costs, insurance costs, travel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bookmarkStart w:id="31" w:name="docxtextref229"/>
      <w:bookmarkEnd w:id="31"/>
      <w:r>
        <w:rPr>
          <w:rFonts w:ascii="Times New Roman;serif" w:hAnsi="Times New Roman;serif"/>
          <w:b w:val="false"/>
          <w:sz w:val="22"/>
        </w:rPr>
        <w:t>costs and other employee related costs and expenses for employees engaged in such startup activities), (y)</w:t>
      </w:r>
      <w:r>
        <w:rPr>
          <w:rFonts w:ascii="Times New Roman" w:hAnsi="Times New Roman"/>
          <w:sz w:val="20"/>
        </w:rPr>
        <w:t xml:space="preserve"> </w:t>
      </w:r>
      <w:r>
        <w:rPr>
          <w:rFonts w:ascii="Times New Roman;serif" w:hAnsi="Times New Roman;serif"/>
          <w:b w:val="false"/>
          <w:sz w:val="22"/>
        </w:rPr>
        <w:t xml:space="preserve">operating losses of new facilities (including, but not limited to, allocation of corporate overhead expenses) incurred in the first twelve (12) months following the opening of such new facility and </w:t>
      </w:r>
      <w:bookmarkStart w:id="32" w:name="docxtextref230"/>
      <w:bookmarkEnd w:id="32"/>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expenses relating to any remodeling costs attributable to any existing facility;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(j) the amount of losses on dispositions of accounts receivable, Receivables Assets and related assets incurred in connection with a Receivables Facility;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(k) any costs or expense incurred by the Company or a Restricted Subsidiary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the Company or net cash proceeds of an issuance of Equity Interest of the Company (other than Disqualified Stock) solely to the extent that such net cash proceeds are excluded from the calculation set forth in clause (3)(b) of Section 4.07(a) hereof;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(l)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IAS 19, 26 and 37, and any other items of a similar nature;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bookmarkStart w:id="33" w:name="docxtextref232"/>
      <w:bookmarkEnd w:id="33"/>
      <w:r>
        <w:rPr>
          <w:rFonts w:ascii="Times New Roman;serif" w:hAnsi="Times New Roman;serif"/>
          <w:b w:val="false"/>
          <w:sz w:val="22"/>
        </w:rPr>
        <w:t>(m) operating expenses incurred on or prior to the Completion Date attributable to (A)</w:t>
      </w:r>
      <w:r>
        <w:rPr>
          <w:rFonts w:ascii="Times New Roman" w:hAnsi="Times New Roman"/>
          <w:sz w:val="20"/>
        </w:rPr>
        <w:t xml:space="preserve"> </w:t>
      </w:r>
      <w:r>
        <w:rPr>
          <w:rFonts w:ascii="Times New Roman;serif" w:hAnsi="Times New Roman;serif"/>
          <w:b w:val="false"/>
          <w:sz w:val="22"/>
        </w:rPr>
        <w:t xml:space="preserve">salary obligations paid to employees terminated prior to the Completion Date and </w:t>
      </w:r>
      <w:bookmarkStart w:id="34" w:name="docxtextref233"/>
      <w:bookmarkEnd w:id="3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wages paid to executives in excess of the amounts the Company and its Subsidiaries are required to pay pursuant to any employment agreements;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(n) any net loss from discontinued operations;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bookmarkStart w:id="35" w:name="docxtextref234"/>
      <w:bookmarkEnd w:id="35"/>
      <w:r>
        <w:rPr>
          <w:rFonts w:ascii="Times New Roman;serif" w:hAnsi="Times New Roman;serif"/>
          <w:b w:val="false"/>
          <w:sz w:val="22"/>
        </w:rPr>
        <w:t>(o) cash receipts (or any netting arrangements resulting in reduced cash expenditures) not representing Consolidated EBITDA or Consolidated Net Income in any period to the extent non cash gains relating to such income were deducted in the calculation of Consolidated EBITDA pursuant to clause (3)</w:t>
      </w:r>
      <w:r>
        <w:rPr>
          <w:rFonts w:ascii="Times New Roman" w:hAnsi="Times New Roman"/>
          <w:sz w:val="20"/>
        </w:rPr>
        <w:t xml:space="preserve"> </w:t>
      </w:r>
      <w:r>
        <w:rPr>
          <w:rFonts w:ascii="Times New Roman;serif" w:hAnsi="Times New Roman;serif"/>
          <w:b w:val="false"/>
          <w:sz w:val="22"/>
        </w:rPr>
        <w:t xml:space="preserve">below for any previous period and not added back;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(p) any loss relating to amounts paid in cash prior to the stated settlement date of any hedging obligation that has been reflected in Consolidated Net Income for such period;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(q) any gain relating to hedging obligations associated with transactions realized in the current period that has been reflected in Consolidated Net Income in prior periods and excluded from Consolidated EBITDA pursuant to clauses (3)(c) and (3)(d) below;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(r) the amount of expenses relating to payments made to option holders of any direct or indirect parent company of the Company or any of its direct or indirect parent companies in connection with, or as a result of, any distribution being made to shareholders of such Person or its direct or indirect parent companies, which payments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are being made to compensate such option holders as though they were shareholders at the time of, and entitled to share in, such distribution, in each case to the extent permitted under this Indenture;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 earn-out and contingent consideration obligations (including to the extent accounted for as bonuses or otherwise) and adjustments thereof and purchase price adjustments, in each case in connection with acquisitions or Investments;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 Public Company Costs;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without duplication,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the amount of “run rate” cost savings, operating expense reductions, other operating improvements, revenue enhancements and synergies related to any Specified Transaction, the Transactions, any restructuring, cost saving initiative or other initiative projected by the Company in good faith to be realized as a result of actions taken, committed to be taken or planned to be taken, in each case on or prior to the date that is 24 months after the end of the relevant period (including actions initiated prior to the Completion Date) (which cost savings, operating expense reductions, other operating improvements, revenue enhancements and synergies shall be added to Consolidated EBITDA until fully realized and calculated on a pro forma basis as though such cost savings, operating expense reductions, other operating improvements, revenue enhancements and synergies had been realized on the first day of the relevant period), net of the amount of actual benefits realized from such actions;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(A) such cost savings, operating expense reductions, other operating improvements, revenue enhancements and synergies are reasonably identifiable and quantifiable and (B) no cost savings, operating expense reductions, other operating improvements, revenue enhancements or synergies shall be added pursuant to this clause (a) to the extent duplicative of any expenses or charges relating to such cost savings, operating expense reductions, other operating improvements, revenue enhancements or synergies that are included in any other clause of this definition or in the definition of “Pro Forma Adjustment” (it being understood and agreed that “run rate” shall mean the full recurring benefit that is associated with any action taken); </w:t>
      </w:r>
      <w:r>
        <w:rPr>
          <w:rFonts w:ascii="Times New Roman;serif" w:hAnsi="Times New Roman;serif"/>
          <w:b w:val="false"/>
          <w:i/>
          <w:sz w:val="22"/>
        </w:rPr>
        <w:t>provided</w:t>
      </w:r>
      <w:r>
        <w:rPr>
          <w:rFonts w:ascii="Times New Roman;serif" w:hAnsi="Times New Roman;serif"/>
          <w:b w:val="false"/>
          <w:sz w:val="22"/>
        </w:rPr>
        <w:t xml:space="preserve">, further, that the aggregate amount of “run rate” cost savings, operating expense reductions, other operating improvements, revenue enhancements and synergies related to any Specified Transaction, any restructuring, cost saving initiative or other initiative added pursuant to this clause (a) shall not exceed 25.0% of Consolidated EBITDA (calculated after giving effect to any addback under this clause (a) for any Test Period);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adjustments (i) consistent with Regulation S-X, (ii) adjustments of the nature or type used in connection with the calculation of “Structuring EBITDA” as set forth in “Summary—Summary Historical and Pro Forma Consolidated Financial Information” contained in the Offering Memorandum and other adjustments of a similar nature to the foregoing and (iii) contained in any due diligence quality of earnings report from time to time prepared with respect to the target of an acquisition or Investment by a nationally recognized accounting firm;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(c) the amount of reasonably identifiable and factually supportable “run</w:t>
        <w:noBreakHyphen/>
        <w:t>rate” Consolidated EBITDA (calculated on a pre-tax basis) that is projected by the Company in good faith to be derived from New Contracts (calculated on a pro forma basis as though such Consolidated EBITDA had been realized on the first day of such period)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within 24 months of the entry into such New Contract net of the amount of actual earnings realized prior to or during such period from such New Contracts and without giving any benefit for any period after the termination of such New Contract; </w:t>
      </w:r>
      <w:r>
        <w:rPr>
          <w:rFonts w:ascii="Times New Roman;serif" w:hAnsi="Times New Roman;serif"/>
          <w:b w:val="false"/>
          <w:i/>
          <w:sz w:val="22"/>
        </w:rPr>
        <w:t>plus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the amount of reasonably identifiable and factually supportable “run</w:t>
        <w:noBreakHyphen/>
        <w:t>rate” Consolidated EBITDA (calculated on a pre-tax basis) that is projected by the Company in good faith to be derived from any anticipated revenue enhancements from the launch of new satellites (calculated on a pro forma basis as though such revenue enhancements had been realized on the first day of such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decreased (without duplication) by the following, in each case, to the extent included in determining Consolidated Net Income of such Person for such period: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non-cash gains increasing Consolidated Net Income of such Person for such period, excluding any non-cash gains to the extent they represent the reversal of an accrual or reserve for a potential cash item that reduced Consolidated EBITDA in any prior period;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the amount of any non-controlling interest consisting of loss attributable to non-controlling interests of third parties in any non-Wholly Owned Subsidiaries; </w:t>
      </w:r>
      <w:r>
        <w:rPr>
          <w:rFonts w:ascii="Times New Roman;serif" w:hAnsi="Times New Roman;serif"/>
          <w:b w:val="false"/>
          <w:i/>
          <w:sz w:val="22"/>
        </w:rPr>
        <w:t>plus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any gain relating to amounts received in cash prior to the stated settlement date of any hedging obligation that has been reflected in Consolidated Net Income in such period;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any loss relating to hedging obligations associated with transactions realized in the current period that has been reflected in Consolidated Net Income in prior periods and excluded from Consolidated EBITDA pursuant to clauses (1)(p) and (1)(q) above.</w:t>
      </w:r>
    </w:p>
    <w:p>
      <w:pPr>
        <w:pStyle w:val="TextBody"/>
        <w:bidi w:val="0"/>
        <w:spacing w:before="0" w:after="240"/>
        <w:jc w:val="left"/>
        <w:rPr>
          <w:rFonts w:ascii="Times New Roman" w:hAnsi="Times New Roman"/>
          <w:sz w:val="20"/>
        </w:rPr>
      </w:pPr>
      <w:bookmarkStart w:id="36" w:name="docxtextref237"/>
      <w:bookmarkEnd w:id="36"/>
      <w:r>
        <w:rPr>
          <w:rFonts w:ascii="Times New Roman;serif" w:hAnsi="Times New Roman;serif"/>
          <w:b w:val="false"/>
          <w:sz w:val="22"/>
        </w:rPr>
        <w:t>(4) 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(3)</w:t>
      </w:r>
      <w:r>
        <w:rPr>
          <w:rFonts w:ascii="Times New Roman" w:hAnsi="Times New Roman"/>
          <w:sz w:val="20"/>
        </w:rPr>
        <w:t xml:space="preserve"> </w:t>
      </w:r>
      <w:r>
        <w:rPr>
          <w:rFonts w:ascii="Times New Roman;serif" w:hAnsi="Times New Roman;serif"/>
          <w:b w:val="false"/>
          <w:sz w:val="22"/>
        </w:rPr>
        <w:t>above if it were income of the Company or any of its Restricted Subsidiaries;</w:t>
      </w:r>
    </w:p>
    <w:p>
      <w:pPr>
        <w:pStyle w:val="TextBody"/>
        <w:bidi w:val="0"/>
        <w:spacing w:before="0" w:after="240"/>
        <w:jc w:val="left"/>
        <w:rPr>
          <w:rFonts w:ascii="Times New Roman" w:hAnsi="Times New Roman"/>
          <w:sz w:val="20"/>
        </w:rPr>
      </w:pPr>
      <w:bookmarkStart w:id="37" w:name="docxtextref238"/>
      <w:bookmarkEnd w:id="37"/>
      <w:r>
        <w:rPr>
          <w:rFonts w:ascii="Times New Roman;serif" w:hAnsi="Times New Roman;serif"/>
          <w:b w:val="false"/>
          <w:sz w:val="22"/>
        </w:rPr>
        <w:t>(5) 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w:t>
      </w:r>
      <w:r>
        <w:rPr>
          <w:rFonts w:ascii="Times New Roman" w:hAnsi="Times New Roman"/>
          <w:sz w:val="20"/>
        </w:rPr>
        <w:t xml:space="preserve"> </w:t>
      </w:r>
      <w:r>
        <w:rPr>
          <w:rFonts w:ascii="Times New Roman;serif" w:hAnsi="Times New Roman;serif"/>
          <w:b w:val="false"/>
          <w:sz w:val="22"/>
        </w:rPr>
        <w:t>above if it were a loss of the Company or any of its Restricted Subsidiaries;</w:t>
      </w:r>
    </w:p>
    <w:p>
      <w:pPr>
        <w:pStyle w:val="TextBody"/>
        <w:bidi w:val="0"/>
        <w:spacing w:before="0" w:after="240"/>
        <w:jc w:val="left"/>
        <w:rPr>
          <w:rFonts w:ascii="Times New Roman" w:hAnsi="Times New Roman"/>
          <w:sz w:val="20"/>
        </w:rPr>
      </w:pPr>
      <w:bookmarkStart w:id="38" w:name="docxtextref239"/>
      <w:bookmarkEnd w:id="38"/>
      <w:r>
        <w:rPr>
          <w:rFonts w:ascii="Times New Roman;serif" w:hAnsi="Times New Roman;serif"/>
          <w:b w:val="false"/>
          <w:sz w:val="22"/>
        </w:rPr>
        <w:t>(6) increased by an amount, with respect to investments recorded using the equity method of accounting or the cost method of accounting and without duplication of any amounts added pursuant to clause (4)</w:t>
      </w:r>
      <w:r>
        <w:rPr>
          <w:rFonts w:ascii="Times New Roman" w:hAnsi="Times New Roman"/>
          <w:sz w:val="20"/>
        </w:rPr>
        <w:t xml:space="preserve"> </w:t>
      </w:r>
      <w:r>
        <w:rPr>
          <w:rFonts w:ascii="Times New Roman;serif" w:hAnsi="Times New Roman;serif"/>
          <w:b w:val="false"/>
          <w:sz w:val="22"/>
        </w:rPr>
        <w:t xml:space="preserve">above, equal to the amount attributable to each such investment that would be added to Consolidated EBITDA pursuant to clause </w:t>
      </w:r>
      <w:bookmarkStart w:id="39" w:name="docxtextref240"/>
      <w:bookmarkEnd w:id="39"/>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above if instead attributable to the Company or a Subsidiary, pro-rated according to the Company’s or the applicable Subsidiary’s percentage ownership in such investment;</w:t>
      </w:r>
    </w:p>
    <w:p>
      <w:pPr>
        <w:pStyle w:val="TextBody"/>
        <w:bidi w:val="0"/>
        <w:spacing w:before="0" w:after="240"/>
        <w:jc w:val="left"/>
        <w:rPr>
          <w:rFonts w:ascii="Times New Roman" w:hAnsi="Times New Roman"/>
          <w:sz w:val="20"/>
        </w:rPr>
      </w:pPr>
      <w:bookmarkStart w:id="40" w:name="docxtextref241"/>
      <w:bookmarkEnd w:id="40"/>
      <w:r>
        <w:rPr>
          <w:rFonts w:ascii="Times New Roman;serif" w:hAnsi="Times New Roman;serif"/>
          <w:b w:val="false"/>
          <w:sz w:val="22"/>
        </w:rPr>
        <w:t>(7) decreased by an amount, with respect to investments recorded using the equity method of accounting or the cost method of accounting and without duplication of any amounts deducted pursuant to clause (5)</w:t>
      </w:r>
      <w:r>
        <w:rPr>
          <w:rFonts w:ascii="Times New Roman" w:hAnsi="Times New Roman"/>
          <w:sz w:val="20"/>
        </w:rPr>
        <w:t xml:space="preserve"> </w:t>
      </w:r>
      <w:r>
        <w:rPr>
          <w:rFonts w:ascii="Times New Roman;serif" w:hAnsi="Times New Roman;serif"/>
          <w:b w:val="false"/>
          <w:sz w:val="22"/>
        </w:rPr>
        <w:t>above, equal to the amount attributable to each such investment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bookmarkStart w:id="41" w:name="docxtextref242"/>
      <w:bookmarkEnd w:id="41"/>
      <w:r>
        <w:rPr>
          <w:rFonts w:ascii="Times New Roman;serif" w:hAnsi="Times New Roman;serif"/>
          <w:b w:val="false"/>
          <w:sz w:val="22"/>
        </w:rPr>
        <w:t>that would be deducted from Consolidated EBITDA pursuant to clause (3)</w:t>
      </w:r>
      <w:r>
        <w:rPr>
          <w:rFonts w:ascii="Times New Roman" w:hAnsi="Times New Roman"/>
          <w:sz w:val="20"/>
        </w:rPr>
        <w:t xml:space="preserve"> </w:t>
      </w:r>
      <w:r>
        <w:rPr>
          <w:rFonts w:ascii="Times New Roman;serif" w:hAnsi="Times New Roman;serif"/>
          <w:b w:val="false"/>
          <w:sz w:val="22"/>
        </w:rPr>
        <w:t>above if instead attributable to the Company or a Subsidiary, pro-rated according to the Company’s or the applicable Subsidiary’s percentage ownership in such investment;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in each case, as determined on a consolidated basis for such Person in accordance with IFRS;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pStyle w:val="TextBody"/>
        <w:bidi w:val="0"/>
        <w:spacing w:before="0" w:after="240"/>
        <w:jc w:val="left"/>
        <w:rPr>
          <w:rFonts w:ascii="Times New Roman" w:hAnsi="Times New Roman"/>
          <w:sz w:val="20"/>
        </w:rPr>
      </w:pPr>
      <w:r>
        <w:rPr>
          <w:rFonts w:ascii="Times New Roman;serif" w:hAnsi="Times New Roman;serif"/>
          <w:b w:val="false"/>
          <w:sz w:val="22"/>
        </w:rPr>
        <w:t>(II) to the extent included in Consolidated Net Income, there shall be excluded in determining Consolidated EBITDA for any period any adjustments resulting from the application of IFRS 9;</w:t>
      </w:r>
      <w:r>
        <w:rPr>
          <w:rFonts w:ascii="Times New Roman" w:hAnsi="Times New Roman"/>
          <w:sz w:val="20"/>
        </w:rPr>
        <w:t xml:space="preserve"> </w:t>
      </w:r>
    </w:p>
    <w:p>
      <w:pPr>
        <w:pStyle w:val="TextBody"/>
        <w:bidi w:val="0"/>
        <w:spacing w:before="0" w:after="240"/>
        <w:jc w:val="left"/>
        <w:rPr>
          <w:rFonts w:ascii="Times New Roman" w:hAnsi="Times New Roman"/>
          <w:sz w:val="20"/>
        </w:rPr>
      </w:pPr>
      <w:bookmarkStart w:id="42" w:name="docxtextref243"/>
      <w:bookmarkEnd w:id="42"/>
      <w:r>
        <w:rPr>
          <w:rFonts w:ascii="Times New Roman;serif" w:hAnsi="Times New Roman;serif"/>
          <w:b w:val="false"/>
          <w:sz w:val="22"/>
        </w:rPr>
        <w:t>(III) there shall be included in determining Consolidated EBITDA for any period, without duplication, (A)</w:t>
      </w:r>
      <w:r>
        <w:rPr>
          <w:rFonts w:ascii="Times New Roman" w:hAnsi="Times New Roman"/>
          <w:sz w:val="20"/>
        </w:rPr>
        <w:t xml:space="preserve"> </w:t>
      </w:r>
      <w:r>
        <w:rPr>
          <w:rFonts w:ascii="Times New Roman;serif" w:hAnsi="Times New Roman;serif"/>
          <w:b w:val="false"/>
          <w:sz w:val="22"/>
        </w:rPr>
        <w:t>to the extent not included in Consolidated Net Income, the Acquired EBITDA of any Person, property, business or asset or attributable to any Person, property, business or asset acquired by the Company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Completion Date, and not subsequently so disposed of, an “</w:t>
      </w:r>
      <w:r>
        <w:rPr>
          <w:rFonts w:ascii="Times New Roman;serif" w:hAnsi="Times New Roman;serif"/>
          <w:b w:val="false"/>
          <w:sz w:val="22"/>
          <w:u w:val="single"/>
        </w:rPr>
        <w:t>Acquired Entity or Business</w:t>
      </w:r>
      <w:r>
        <w:rPr>
          <w:rFonts w:ascii="Times New Roman" w:hAnsi="Times New Roman"/>
          <w:sz w:val="20"/>
        </w:rPr>
        <w:t>”</w:t>
      </w:r>
      <w:r>
        <w:rPr>
          <w:rFonts w:ascii="Times New Roman;serif" w:hAnsi="Times New Roman;serif"/>
          <w:b w:val="false"/>
          <w:sz w:val="22"/>
        </w:rPr>
        <w:t>), and the Acquired EBITDA of any Unrestricted Subsidiary that is converted into a Restricted Subsidiary during such period (each, a “</w:t>
      </w:r>
      <w:r>
        <w:rPr>
          <w:rFonts w:ascii="Times New Roman;serif" w:hAnsi="Times New Roman;serif"/>
          <w:b w:val="false"/>
          <w:sz w:val="22"/>
          <w:u w:val="single"/>
        </w:rPr>
        <w:t>Converted Restricted Subsidiary</w:t>
      </w:r>
      <w:r>
        <w:rPr>
          <w:rFonts w:ascii="Times New Roman" w:hAnsi="Times New Roman"/>
          <w:sz w:val="20"/>
        </w:rPr>
        <w:t>”</w:t>
      </w:r>
      <w:r>
        <w:rPr>
          <w:rFonts w:ascii="Times New Roman;serif" w:hAnsi="Times New Roman;serif"/>
          <w:b w:val="false"/>
          <w:sz w:val="22"/>
        </w:rPr>
        <w:t xml:space="preserve">), in each case based on the Acquired EBITDA of such Pro Forma Entity for such period (including the portion thereof occurring prior to such acquisition or conversion) determined on a historical pro forma basis and </w:t>
      </w:r>
      <w:bookmarkStart w:id="43" w:name="docxtextref244"/>
      <w:bookmarkEnd w:id="4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adjustment in respect of each Pro Forma Entity equal to the amount of the pro forma adjustment with respect to such Pro Forma Entity for such period (including the portion thereof occurring prior to such acquisition or conversion); </w:t>
      </w:r>
      <w:r>
        <w:rPr>
          <w:rFonts w:ascii="Times New Roman;serif" w:hAnsi="Times New Roman;serif"/>
          <w:b w:val="false"/>
          <w:i/>
          <w:sz w:val="22"/>
        </w:rPr>
        <w:t>provided</w:t>
      </w:r>
      <w:r>
        <w:rPr>
          <w:rFonts w:ascii="Times New Roman;serif" w:hAnsi="Times New Roman;serif"/>
          <w:b w:val="false"/>
          <w:sz w:val="22"/>
        </w:rPr>
        <w:t>, that with respect to any determination to be made on a pro forma basis, at the election of the Company, such Acquired EBITDA or such adjustment shall not be required to be included for any Pro Forma Entity to the extent the aggregate consideration paid in connection with the acquisition of such Acquired Entity or Business or the fair market value of such Converted Restricted Subsidiary, in the aggregate, is less than $375.0 million;</w:t>
      </w:r>
    </w:p>
    <w:p>
      <w:pPr>
        <w:pStyle w:val="TextBody"/>
        <w:bidi w:val="0"/>
        <w:spacing w:before="0" w:after="240"/>
        <w:jc w:val="left"/>
        <w:rPr>
          <w:rFonts w:ascii="Times New Roman" w:hAnsi="Times New Roman"/>
          <w:sz w:val="20"/>
        </w:rPr>
      </w:pPr>
      <w:bookmarkStart w:id="44" w:name="docxtextref245"/>
      <w:bookmarkEnd w:id="44"/>
      <w:r>
        <w:rPr>
          <w:rFonts w:ascii="Times New Roman;serif" w:hAnsi="Times New Roman;serif"/>
          <w:b w:val="false"/>
          <w:sz w:val="22"/>
        </w:rPr>
        <w:t>(IV) there shall be (A)</w:t>
      </w:r>
      <w:r>
        <w:rPr>
          <w:rFonts w:ascii="Times New Roman" w:hAnsi="Times New Roman"/>
          <w:sz w:val="20"/>
        </w:rPr>
        <w:t xml:space="preserve"> </w:t>
      </w:r>
      <w:r>
        <w:rPr>
          <w:rFonts w:ascii="Times New Roman;serif" w:hAnsi="Times New Roman;serif"/>
          <w:b w:val="false"/>
          <w:sz w:val="22"/>
        </w:rPr>
        <w:t xml:space="preserve">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IFRS (other than </w:t>
      </w:r>
      <w:bookmarkStart w:id="45" w:name="docxtextref246"/>
      <w:bookmarkEnd w:id="4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if so classified on the basis that it is being held for sale unless such sale has actually occurred during such period and </w:t>
      </w:r>
      <w:bookmarkStart w:id="46" w:name="docxtextref247"/>
      <w:bookmarkEnd w:id="4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for periods prior to the applicable sale, transfer or other disposition, if the Disposed EBITDA of such Person, property, business or asset is positive (i.e., if such Disposed EBITDA is negative, it shall be added back in determining Consolidated EBITDA for any period)) by the Company or any Restricted Subsidiary during such period (each such Person, property, business or asset so sold, transferred or otherwise disposed of, closed or classified, a “</w:t>
      </w:r>
      <w:r>
        <w:rPr>
          <w:rFonts w:ascii="Times New Roman;serif" w:hAnsi="Times New Roman;serif"/>
          <w:b w:val="false"/>
          <w:sz w:val="22"/>
          <w:u w:val="single"/>
        </w:rPr>
        <w:t>Sold Entity or Business</w:t>
      </w:r>
      <w:r>
        <w:rPr>
          <w:rFonts w:ascii="Times New Roman" w:hAnsi="Times New Roman"/>
          <w:sz w:val="20"/>
        </w:rPr>
        <w:t>”</w:t>
      </w:r>
      <w:r>
        <w:rPr>
          <w:rFonts w:ascii="Times New Roman;serif" w:hAnsi="Times New Roman;serif"/>
          <w:b w:val="false"/>
          <w:sz w:val="22"/>
        </w:rPr>
        <w:t>), and the Disposed EBITDA of any Restricted Subsidiary that is converted into an Unrestricted Subsidiary during such period (each, a “</w:t>
      </w:r>
      <w:r>
        <w:rPr>
          <w:rFonts w:ascii="Times New Roman;serif" w:hAnsi="Times New Roman;serif"/>
          <w:b w:val="false"/>
          <w:sz w:val="22"/>
          <w:u w:val="single"/>
        </w:rPr>
        <w:t>Converted Unrestricted Subsidiary”</w:t>
      </w:r>
      <w:r>
        <w:rPr>
          <w:rFonts w:ascii="Times New Roman;serif" w:hAnsi="Times New Roman;serif"/>
          <w:b w:val="false"/>
          <w:sz w:val="22"/>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w:t>
      </w:r>
      <w:bookmarkStart w:id="47" w:name="docxtextref248"/>
      <w:bookmarkEnd w:id="4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to the extent not included in Consolidated Net Income, included in determining Consolidated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EBITDA for any period in which a Sold Entity or Business is disposed, an adjustment equal to the Pro Forma Disposal Adjustment with respect to such Sold Entity or Business (including the portion thereof occurring prior to such disposal);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 to the extent included in Consolidated Net Income, there shall be excluded in determining Consolidated EBITDA any expense (or income) as a result of adjustments recorded to contingent consideration liabilities relating to the Transactions or any acquisition (or other Investment not prohibited under this Indenture).</w:t>
      </w:r>
    </w:p>
    <w:p>
      <w:pPr>
        <w:pStyle w:val="TextBody"/>
        <w:bidi w:val="0"/>
        <w:spacing w:before="0" w:after="240"/>
        <w:jc w:val="left"/>
        <w:rPr>
          <w:rFonts w:ascii="Times New Roman" w:hAnsi="Times New Roman"/>
          <w:sz w:val="20"/>
        </w:rPr>
      </w:pPr>
      <w:bookmarkStart w:id="48" w:name="docxtextref249"/>
      <w:bookmarkEnd w:id="48"/>
      <w:r>
        <w:rPr>
          <w:rFonts w:ascii="Times New Roman;serif" w:hAnsi="Times New Roman;serif"/>
          <w:b w:val="false"/>
          <w:sz w:val="22"/>
        </w:rPr>
        <w:t>Notwithstanding the foregoing, Consolidated EBITDA shall be deemed to equal (a)</w:t>
      </w:r>
      <w:r>
        <w:rPr>
          <w:rFonts w:ascii="Times New Roman" w:hAnsi="Times New Roman"/>
          <w:sz w:val="20"/>
        </w:rPr>
        <w:t xml:space="preserve"> </w:t>
      </w:r>
      <w:r>
        <w:rPr>
          <w:rFonts w:ascii="Times New Roman;serif" w:hAnsi="Times New Roman;serif"/>
          <w:b w:val="false"/>
          <w:sz w:val="22"/>
        </w:rPr>
        <w:t xml:space="preserve">$189.95 million for the fiscal quarter ended September 30, 2018, </w:t>
      </w:r>
      <w:bookmarkStart w:id="49" w:name="docxtextref250"/>
      <w:bookmarkEnd w:id="4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$174.05 million for the fiscal quarter ended December 31, 2018, </w:t>
      </w:r>
      <w:bookmarkStart w:id="50" w:name="docxtextref251"/>
      <w:bookmarkEnd w:id="5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$188.85 million for the fiscal quarter ended March 31, 2019 and </w:t>
      </w:r>
      <w:bookmarkStart w:id="51" w:name="docxtextref252"/>
      <w:bookmarkEnd w:id="51"/>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$200.60 for the fiscal quarter ended June 30, 2019 (it being understood that such amounts are subject to adjustments, as and to the extent otherwise contemplated in this Indenture, in connection with any pro forma adjustment or any calculation on a pro forma basis); </w:t>
      </w:r>
      <w:r>
        <w:rPr>
          <w:rFonts w:ascii="Times New Roman;serif" w:hAnsi="Times New Roman;serif"/>
          <w:b w:val="false"/>
          <w:i/>
          <w:sz w:val="22"/>
        </w:rPr>
        <w:t>provided</w:t>
      </w:r>
      <w:r>
        <w:rPr>
          <w:rFonts w:ascii="Times New Roman;serif" w:hAnsi="Times New Roman;serif"/>
          <w:b w:val="false"/>
          <w:sz w:val="22"/>
        </w:rPr>
        <w:t>, that such amounts of Consolidated EBITDA for any such fiscal quarter shall be adjusted to include, without duplication, any cost savings that would otherwise be included pursuant to clause (1)(i) of this definition.</w:t>
      </w:r>
    </w:p>
    <w:p>
      <w:pPr>
        <w:pStyle w:val="TextBody"/>
        <w:bidi w:val="0"/>
        <w:spacing w:before="0" w:after="240"/>
        <w:jc w:val="left"/>
        <w:rPr/>
      </w:pPr>
      <w:r>
        <w:rPr/>
        <w:t>“</w:t>
      </w:r>
      <w:r>
        <w:rPr>
          <w:rFonts w:ascii="Times New Roman;serif" w:hAnsi="Times New Roman;serif"/>
          <w:b w:val="false"/>
          <w:sz w:val="22"/>
          <w:u w:val="single"/>
        </w:rPr>
        <w:t>Consolidated Interest Expense</w:t>
      </w:r>
      <w:r>
        <w:rPr>
          <w:rFonts w:ascii="Times New Roman" w:hAnsi="Times New Roman"/>
          <w:sz w:val="20"/>
        </w:rPr>
        <w:t xml:space="preserve">” </w:t>
      </w:r>
      <w:r>
        <w:rPr>
          <w:rFonts w:ascii="Times New Roman;serif" w:hAnsi="Times New Roman;serif"/>
          <w:b w:val="false"/>
          <w:sz w:val="22"/>
        </w:rPr>
        <w:t>means, with respect to any Person for any period, without duplication: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other than with respect to Indebtedness borrowed under the Senior Credit Facilities in connection with the Transactions,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IFRS), (iv) the interest component of Capitalized Lease Obligations, and (v) net payments, if any, pursuant to interest rate Hedging Obligations with respect to Indebtedness, and excluding (o) all non-recurring cash interest expense consisting of liquidated damages for failure to timely comply with registration rights obligations, (p) any interest expense attributable to the exercise of appraisal rights and the settlement of any claims or actions (whether actual, contingent or potential) with respect thereto and with respect to any Investment, (q) any prepayment premium or penalty, (r) costs associated with obtaining Hedging Obligations and breakage costs in respect of Hedging Obligations related to interest rates, (s) any accretion of accrued interest on discounted liabilities (other than Indebtedness except to the extent arising from the application of purchase accounting), (t) penalties and interest relating to taxes, (u) accretion or accrual of discounted liabilities not constituting Indebtedness, (v) any expense resulting from the discounting of Indebtedness in connection with the application of recapitalization or purchase accounting, (w) any “additional interest” with respect to debt securities, (x) amortization or expensing of deferred financing fees, amendment and consent fees, debt issuance costs, commissions, fees and expenses, and original issue discount with respect to Indebtedness borrowed under Credit Facilities in connection with the Transactions, (y) any amortization or expensing of bridge, commitment and other financing fees and (z) commissions, discounts, yield and other fees and charges (including any interest expense) related to any Receivables Facility); </w:t>
      </w:r>
      <w:r>
        <w:rPr>
          <w:rFonts w:ascii="Times New Roman;serif" w:hAnsi="Times New Roman;serif"/>
          <w:b w:val="false"/>
          <w:i/>
          <w:sz w:val="22"/>
        </w:rPr>
        <w:t>plus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consolidated capitalized interest of such Person and its Restricted Subsidiaries for such period, whether paid or accrued; less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(3) interest income for such period.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For purposes of this definition, interest on a Capitalized Lease Obligation shall be deemed to accrue at an interest rate reasonably determined by such Person to be the rate of interest implicit in such Capitalized Lease Obligation in accordance with IFRS.</w:t>
      </w:r>
    </w:p>
    <w:p>
      <w:pPr>
        <w:pStyle w:val="TextBody"/>
        <w:bidi w:val="0"/>
        <w:spacing w:before="0" w:after="240"/>
        <w:jc w:val="left"/>
        <w:rPr/>
      </w:pPr>
      <w:r>
        <w:rPr/>
        <w:t>“</w:t>
      </w:r>
      <w:r>
        <w:rPr>
          <w:rFonts w:ascii="Times New Roman;serif" w:hAnsi="Times New Roman;serif"/>
          <w:b w:val="false"/>
          <w:sz w:val="22"/>
          <w:u w:val="single"/>
        </w:rPr>
        <w:t>Consolidated Net Income</w:t>
      </w:r>
      <w:r>
        <w:rPr>
          <w:rFonts w:ascii="Times New Roman" w:hAnsi="Times New Roman"/>
          <w:sz w:val="20"/>
        </w:rPr>
        <w:t xml:space="preserve">” </w:t>
      </w:r>
      <w:r>
        <w:rPr>
          <w:rFonts w:ascii="Times New Roman;serif" w:hAnsi="Times New Roman;serif"/>
          <w:b w:val="false"/>
          <w:sz w:val="22"/>
        </w:rPr>
        <w:t xml:space="preserve">means, with respect to any Person for any period, the aggregate of the Net Income, of such Person and its Restricted Subsidiaries for such period, on a consolidated basis, and otherwise determined in accordance with IFRS;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without duplication,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any extraordinary, non-recurring or unusual gains or losses (less all fees and expenses relating thereto) or expenses (including the Transaction Costs or any multi-year strategic cost-saving initiatives, any unusual or non-recurring operating expenses directly attributable to the implementation of cost savings initiatives and any accruals or reserves in respect of any extraordinary, non-recurring or unusual items), severance, relocation costs, integration and facilities’ opening costs and other business optimization expenses (including related to new product introductions), recruiting fees, restructuring charges, accruals or reserves (including restructuring and integration costs related to acquisitions after the Completion Date and adjustments to existing reserves), whether or not classified as restructuring expense on the consolidated financial statements,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shall be excluded;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the cumulative effect of a change in accounting principles during such period shall be excluded;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any income (loss) from disposed, abandoned or discontinued operations and any gains or losses on disposal of disposed, abandoned or discontinued operations shall be excluded (but if such operations are classified as discontinued due to the fact that they are subject to an agreement to dispose of such operations, only when and to the extent such operations are actually disposed of);</w:t>
      </w:r>
    </w:p>
    <w:p>
      <w:pPr>
        <w:pStyle w:val="TextBody"/>
        <w:bidi w:val="0"/>
        <w:spacing w:before="0" w:after="240"/>
        <w:jc w:val="left"/>
        <w:rPr>
          <w:rFonts w:ascii="Times New Roman" w:hAnsi="Times New Roman"/>
          <w:sz w:val="20"/>
        </w:rPr>
      </w:pPr>
      <w:r>
        <w:rPr>
          <w:rFonts w:ascii="Times New Roman;serif" w:hAnsi="Times New Roman;serif"/>
          <w:b w:val="false"/>
          <w:sz w:val="22"/>
        </w:rPr>
        <w:t>(4) any gains or losses (less all fees and expenses relating thereto) attributable to asset dispositions, disposals or abandonments other than in the ordinary course of business, as determined in good faith by the Company, shall be excluded;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the Net Income for such period of any Person that is an Unrestricted Subsidiary, or any Person that is not a Subsidiary or that is accounted for by the equity method of accounting, shall be excluded; </w:t>
      </w:r>
      <w:r>
        <w:rPr>
          <w:rFonts w:ascii="Times New Roman;serif" w:hAnsi="Times New Roman;serif"/>
          <w:b w:val="false"/>
          <w:i/>
          <w:sz w:val="22"/>
        </w:rPr>
        <w:t>provided</w:t>
      </w:r>
      <w:r>
        <w:rPr>
          <w:rFonts w:ascii="Times New Roman;serif" w:hAnsi="Times New Roman;serif"/>
          <w:b w:val="false"/>
          <w:sz w:val="22"/>
        </w:rPr>
        <w:t>, 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(6) solely for the purpose of determining the amount available for Restricted Payments under clause (3)(a) of Section 4.07(a) 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of its charter or any agreement, instrument, judgment, decree, order, statute, rule or governmental regulation applicable to that Restricted Subsidiary or its stockholders other than (a) restrictions that have been waived or otherwise released, (b) restrictions pursuant to the Senior Credit Facilities, the Notes or this Indenture and (c) restrictions specified in clause (18) of Section 4.08(b) hereof, </w:t>
      </w:r>
      <w:r>
        <w:rPr>
          <w:rFonts w:ascii="Times New Roman;serif" w:hAnsi="Times New Roman;serif"/>
          <w:b w:val="false"/>
          <w:i/>
          <w:sz w:val="22"/>
        </w:rPr>
        <w:t>provided</w:t>
      </w:r>
      <w:r>
        <w:rPr>
          <w:rFonts w:ascii="Times New Roman;serif" w:hAnsi="Times New Roman;serif"/>
          <w:b w:val="false"/>
          <w:sz w:val="22"/>
        </w:rPr>
        <w:t>, that Consolidated Net Income of the Company shall be increased by the amount of dividends or other distributions or other payments actually paid in cash (or to the extent converted into cash) or Cash Equivalents to the Company or a Restricted Subsidiary thereof in respect of such period, to the extent not already included therein;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(7) effects of adjustments (including the effects of such adjustments pushed down to the Company and its Restricted Subsidiaries) in the inventory, property and equipment, software, goodwill, other intangible assets, in-process research and development, deferred revenue, debt line items and other non-cash charges in such Person’s consolidated financial statements pursuant to IFRS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(8) any income (loss) from the early extinguishment or conversion of (a) Indebtedness, (b) Hedging Obligations or (c) other derivative instruments shall be excluded;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(9)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IFRS, and the amortization of intangibles arising pursuant to IFRS shall be excluded;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(10) (i) 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any cash charges associated with the rollover, acceleration or payout of Equity Interests by management of the Company or any of its direct or indirect parent companies in connection with the Transactions and (iv) the amount of any expense required to be recorded as compensation expense related to contingent transaction consideration shall be excluded;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any fees, expenses (including any transaction or retention bonus or similar payment) or charges incurred during such period, or any amortization thereof for such period, in connection with any acquisition, non-recurring costs to acquire equipment to the extent not capitalized in accordance with IFRS, Investment (including Investments in the form of Recruitment Notes and associated fees and expenses paid to recruiters in connection therewith), recapitalization, asset disposition, non-competition agreement, issuance, incurrence or repayment of Indebtedness (including such fees, expenses or charges related to the offering of the Notes and the Senior Credit Facilities), issuance of Equity Interests, refinancing transaction or amendment or modification of or waiver or consent relating to any debt instrument (including the Notes and the Senior Credit Facilities) and including, in each case, without limitation, the Transaction Costs and any such transaction consummated prior to the Completion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IFRS 3), shall be excluded;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(12) accruals and reserves that are established or adjusted as a result of the Transactions or an Investment permitted under this Indenture in accordance with IFRS (including any adjustment of estimated payouts on earn-outs), or changes as a result of the adoption or modification of accounting policies during such period shall be excluded;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(13) any expenses, charges, lost profits or losses that are covered by indemnification, insurance or other reimbursement provisions in connection with the Transactions, any investment, acquisition or any sale, conveyance, transfer or other disposition of assets permitted under this Indenture, to the extent actually reimbursed, or, so long as the Company has made a determination that a reasonable basis exists for indemnification, insurance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(14) to the extent covered by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(15) any net pension costs or other post</w:t>
        <w:noBreakHyphen/>
        <w:t>employment benefit costs representing amortization of unrecognized prior service costs, actuarial losses, including amortization of such amounts arising in prior periods, amortization of the unrecognized net obligation (and loss or cost) and any other non</w:t>
        <w:noBreakHyphen/>
        <w:t>cash items of a similar nature, shall be excluded;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(16) any Transaction Costs shall be excluded;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(17) any income (loss) from Investments recorded using the equity method of accounting (but including any cash dividends or distributions actually received by the Company or any Restricted Subsidiary in respect of such investment) shall be excluded;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(18) the following items shall be excluded: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any non-cash gain or loss (after any offset) attributable to the mark to market movement in the valuation of Hedging Obligations or other derivative instruments pursuant to IFRS 9 or mark to market movement of other financial instruments pursuant to IFRS 9 shall be excluded; </w:t>
      </w:r>
      <w:r>
        <w:rPr>
          <w:rFonts w:ascii="Times New Roman;serif" w:hAnsi="Times New Roman;serif"/>
          <w:b w:val="false"/>
          <w:i/>
          <w:sz w:val="22"/>
        </w:rPr>
        <w:t>provided</w:t>
      </w:r>
      <w:r>
        <w:rPr>
          <w:rFonts w:ascii="Times New Roman;serif" w:hAnsi="Times New Roman;serif"/>
          <w:b w:val="false"/>
          <w:sz w:val="22"/>
        </w:rPr>
        <w:t>, that any cash payments or receipts relating to transactions realized in a given period shall be taken into account in such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any non-cash gain or loss (after any offset) from currency translation and transaction gains or losses including those related to currency remeasurements of Indebtedness (including any net gain or loss resulting from hedging agreements for currency exchange risk and revaluations of intercompany balances) any other monetary assets and liabilities; and</w:t>
      </w:r>
    </w:p>
    <w:p>
      <w:pPr>
        <w:pStyle w:val="TextBody"/>
        <w:bidi w:val="0"/>
        <w:spacing w:before="0" w:after="240"/>
        <w:jc w:val="left"/>
        <w:rPr>
          <w:rFonts w:ascii="Times New Roman" w:hAnsi="Times New Roman"/>
          <w:sz w:val="20"/>
        </w:rPr>
      </w:pPr>
      <w:r>
        <w:rPr>
          <w:rFonts w:ascii="Times New Roman;serif" w:hAnsi="Times New Roman;serif"/>
          <w:b w:val="false"/>
          <w:sz w:val="22"/>
        </w:rPr>
        <w:t>(19) any non-cash expenses, accruals or reserves related to adjustments to historical tax exposures (</w:t>
      </w:r>
      <w:r>
        <w:rPr>
          <w:rFonts w:ascii="Times New Roman;serif" w:hAnsi="Times New Roman;serif"/>
          <w:b w:val="false"/>
          <w:i/>
          <w:sz w:val="22"/>
        </w:rPr>
        <w:t>provided</w:t>
      </w:r>
      <w:r>
        <w:rPr>
          <w:rFonts w:ascii="Times New Roman;serif" w:hAnsi="Times New Roman;serif"/>
          <w:b w:val="false"/>
          <w:sz w:val="22"/>
        </w:rPr>
        <w:t>, in each case, that the cash payment in respect thereof in such future period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shall be subtracted from Consolidated Net Income for the period in which such cash payment was made) shall be excluded.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the foregoing, for the purpose of Section 4.07 hereof only (other than clause (3)(d) of Section 4.07(a)), there shall be excluded from Consolidated Net Income any income arising from any sale or other disposition of Restricted Investments made by the Company and its Restricted Subsidiaries, any repurchases and redemptions of Restricted Investments from the Company and its Restricted Subsidiaries, any repayments of loans and advances which constitute Restricted Investments by the Company or any of its Restricted Subsidiaries, any sale or other disposition of the stock of an Unrestricted Subsidiary or any distribution or dividend from an Unrestricted Subsidiary, in each case only to the extent such amounts increase the amount of Restricted Payments permitted under clause (3)(d) of Section 4.07(a) hereof.</w:t>
      </w:r>
    </w:p>
    <w:p>
      <w:pPr>
        <w:pStyle w:val="TextBody"/>
        <w:bidi w:val="0"/>
        <w:spacing w:before="0" w:after="240"/>
        <w:jc w:val="left"/>
        <w:rPr/>
      </w:pPr>
      <w:r>
        <w:rPr/>
        <w:t>“</w:t>
      </w:r>
      <w:r>
        <w:rPr>
          <w:rFonts w:ascii="Times New Roman;serif" w:hAnsi="Times New Roman;serif"/>
          <w:b w:val="false"/>
          <w:sz w:val="22"/>
          <w:u w:val="single"/>
        </w:rPr>
        <w:t>Consolidated Senior Secured First Lien Indebtedness</w:t>
      </w:r>
      <w:r>
        <w:rPr>
          <w:rFonts w:ascii="Times New Roman" w:hAnsi="Times New Roman"/>
          <w:sz w:val="20"/>
        </w:rPr>
        <w:t xml:space="preserve">” </w:t>
      </w:r>
      <w:r>
        <w:rPr>
          <w:rFonts w:ascii="Times New Roman;serif" w:hAnsi="Times New Roman;serif"/>
          <w:b w:val="false"/>
          <w:sz w:val="22"/>
        </w:rPr>
        <w:t>means, as of any date of determination, the aggregate amount of Consolidated Total Indebtedness of the Company and the Restricted Subsidiaries outstanding on such date that is not subordinated in right of payment to the Secured Obligations and that is secured by a Lien on the Collateral on an equal priority basis with Liens on the Collateral securing the Secured Obligations (including, for avoidance of doubt, the Secured Obligations), determined on a consolidated basis in accordance with IFRS.</w:t>
      </w:r>
    </w:p>
    <w:p>
      <w:pPr>
        <w:pStyle w:val="TextBody"/>
        <w:bidi w:val="0"/>
        <w:spacing w:before="0" w:after="240"/>
        <w:jc w:val="left"/>
        <w:rPr/>
      </w:pPr>
      <w:r>
        <w:rPr/>
        <w:t>“</w:t>
      </w:r>
      <w:r>
        <w:rPr>
          <w:rFonts w:ascii="Times New Roman;serif" w:hAnsi="Times New Roman;serif"/>
          <w:b w:val="false"/>
          <w:sz w:val="22"/>
          <w:u w:val="single"/>
        </w:rPr>
        <w:t>Consolidated Senior Secured Indebtedness</w:t>
      </w:r>
      <w:r>
        <w:rPr>
          <w:rFonts w:ascii="Times New Roman" w:hAnsi="Times New Roman"/>
          <w:sz w:val="20"/>
        </w:rPr>
        <w:t xml:space="preserve">” </w:t>
      </w:r>
      <w:r>
        <w:rPr>
          <w:rFonts w:ascii="Times New Roman;serif" w:hAnsi="Times New Roman;serif"/>
          <w:b w:val="false"/>
          <w:sz w:val="22"/>
        </w:rPr>
        <w:t>means, as of any date of determination, the aggregate amount of Consolidated Total Indebtedness of the Company and the Restricted Subsidiaries outstanding on such date that is not subordinated in right of payment to the Secured Obligations and that is secured by a Lien on the Collateral, determined on a consolidated basis in accordance with IFRS.</w:t>
      </w:r>
    </w:p>
    <w:p>
      <w:pPr>
        <w:pStyle w:val="TextBody"/>
        <w:bidi w:val="0"/>
        <w:spacing w:before="0" w:after="240"/>
        <w:jc w:val="left"/>
        <w:rPr/>
      </w:pPr>
      <w:r>
        <w:rPr/>
        <w:t>“</w:t>
      </w:r>
      <w:r>
        <w:rPr>
          <w:rFonts w:ascii="Times New Roman;serif" w:hAnsi="Times New Roman;serif"/>
          <w:b w:val="false"/>
          <w:sz w:val="22"/>
          <w:u w:val="single"/>
        </w:rPr>
        <w:t>Consolidated Total Indebtedness</w:t>
      </w:r>
      <w:r>
        <w:rPr>
          <w:rFonts w:ascii="Times New Roman" w:hAnsi="Times New Roman"/>
          <w:sz w:val="20"/>
        </w:rPr>
        <w:t xml:space="preserve">” </w:t>
      </w:r>
      <w:r>
        <w:rPr>
          <w:rFonts w:ascii="Times New Roman;serif" w:hAnsi="Times New Roman;serif"/>
          <w:b w:val="false"/>
          <w:sz w:val="22"/>
        </w:rPr>
        <w:t xml:space="preserve">means, as of any date of determination, the aggregate amount of Indebtedness of the Company and its Restricted Subsidiaries outstanding on such date, determined on a consolidated basis in accordance with IFRS (but excluding the effects of any discounting of Indebtedness resulting from the application of the acquisition method accounting in connection with the Transactions or any Permitted Acquisition (or other Investment not prohibited hereunder)) and consisting only of Indebtedness for borrowed money, drawn obligations under letters of credit that have not been reimbursed after two (2) Business Days, Capitalized Lease Obligations and debt obligations evidenced by promissory notes or similar instruments, but excluding any obligations under or in respect of Receivables Facilities and excluding outstanding revolving loans used to finance seasonal working capital needs of the Company and its Subsidiaries (as reasonably determined by the Company in its reasonable discretion), minus the aggregate amount of cash and Cash Equivalents (in each case, free and clear of all liens, other than Permitted Liens), excluding cash and Cash Equivalents that are listed as “restricted” on the consolidated balance sheet of the Company and its Restricted Subsidiaries as of such date, but including cash and Cash Equivalents subject to a Permitted Lien (which may also secure other Indebtedness secured by a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or junior lien on the Collateral along with the Secured Obligations).</w:t>
      </w:r>
    </w:p>
    <w:p>
      <w:pPr>
        <w:pStyle w:val="TextBody"/>
        <w:bidi w:val="0"/>
        <w:spacing w:before="0" w:after="240"/>
        <w:jc w:val="left"/>
        <w:rPr/>
      </w:pPr>
      <w:r>
        <w:rPr/>
        <w:t>“</w:t>
      </w:r>
      <w:r>
        <w:rPr>
          <w:rFonts w:ascii="Times New Roman;serif" w:hAnsi="Times New Roman;serif"/>
          <w:b w:val="false"/>
          <w:sz w:val="22"/>
          <w:u w:val="single"/>
        </w:rPr>
        <w:t>Contingent Obligations</w:t>
      </w:r>
      <w:r>
        <w:rPr>
          <w:rFonts w:ascii="Times New Roman" w:hAnsi="Times New Roman"/>
          <w:sz w:val="20"/>
        </w:rPr>
        <w:t xml:space="preserve">” </w:t>
      </w:r>
      <w:r>
        <w:rPr>
          <w:rFonts w:ascii="Times New Roman;serif" w:hAnsi="Times New Roman;serif"/>
          <w:b w:val="false"/>
          <w:sz w:val="22"/>
        </w:rPr>
        <w:t>means, with respect to any Person, any obligation of such Person guaranteeing any leases, dividends or other obligations that do not constitute Indebtedness (“primary obligations”) of any other Person (the “primary obligor”) in any manner, whether directly or indirectly, including, without limitation, any obligation of such Person, whether or not contingent,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(1) to purchase any such primary obligation or any property constituting direct or indirect security therefor,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to advance or supply funds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for the purchase or payment of any such primary obligation,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to maintain working capital or equity capital of the primary obligor or otherwise to maintain the net worth or solvency of the primary obligor,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240"/>
        <w:jc w:val="left"/>
        <w:rPr/>
      </w:pPr>
      <w:r>
        <w:rPr/>
        <w:t>“</w:t>
      </w:r>
      <w:r>
        <w:rPr>
          <w:rFonts w:ascii="Times New Roman;serif" w:hAnsi="Times New Roman;serif"/>
          <w:b w:val="false"/>
          <w:sz w:val="22"/>
          <w:u w:val="single"/>
        </w:rPr>
        <w:t>Controlled Investment Affiliate</w:t>
      </w:r>
      <w:r>
        <w:rPr>
          <w:rFonts w:ascii="Times New Roman" w:hAnsi="Times New Roman"/>
          <w:sz w:val="20"/>
        </w:rPr>
        <w:t xml:space="preserve">” </w:t>
      </w:r>
      <w:r>
        <w:rPr>
          <w:rFonts w:ascii="Times New Roman;serif" w:hAnsi="Times New Roman;serif"/>
          <w:b w:val="false"/>
          <w:sz w:val="22"/>
        </w:rPr>
        <w:t>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Company and/or other companies.</w:t>
      </w:r>
    </w:p>
    <w:p>
      <w:pPr>
        <w:pStyle w:val="TextBody"/>
        <w:bidi w:val="0"/>
        <w:spacing w:before="0" w:after="240"/>
        <w:jc w:val="left"/>
        <w:rPr/>
      </w:pPr>
      <w:r>
        <w:rPr/>
        <w:t>“</w:t>
      </w:r>
      <w:r>
        <w:rPr>
          <w:rFonts w:ascii="Times New Roman;serif" w:hAnsi="Times New Roman;serif"/>
          <w:b w:val="false"/>
          <w:sz w:val="22"/>
          <w:u w:val="single"/>
        </w:rPr>
        <w:t>Corporate Trust Office</w:t>
      </w:r>
      <w:r>
        <w:rPr>
          <w:rFonts w:ascii="Times New Roman" w:hAnsi="Times New Roman"/>
          <w:sz w:val="20"/>
        </w:rPr>
        <w:t xml:space="preserve">” </w:t>
      </w:r>
      <w:r>
        <w:rPr>
          <w:rFonts w:ascii="Times New Roman;serif" w:hAnsi="Times New Roman;serif"/>
          <w:b w:val="false"/>
          <w:sz w:val="22"/>
        </w:rPr>
        <w:t>shall be at the address of the Trustee or the Notes Collateral Agent, as applicable, specified in Section 12.02 hereof or such other address as to which the Trustee or Notes Collateral Agent, respectively, may give notice to the Holders and the Issuer.</w:t>
      </w:r>
    </w:p>
    <w:p>
      <w:pPr>
        <w:pStyle w:val="TextBody"/>
        <w:bidi w:val="0"/>
        <w:spacing w:before="0" w:after="240"/>
        <w:jc w:val="left"/>
        <w:rPr/>
      </w:pPr>
      <w:r>
        <w:rPr/>
        <w:t>“</w:t>
      </w:r>
      <w:r>
        <w:rPr>
          <w:rFonts w:ascii="Times New Roman;serif" w:hAnsi="Times New Roman;serif"/>
          <w:b w:val="false"/>
          <w:sz w:val="22"/>
          <w:u w:val="single"/>
        </w:rPr>
        <w:t>Credit Facilities</w:t>
      </w:r>
      <w:r>
        <w:rPr>
          <w:rFonts w:ascii="Times New Roman" w:hAnsi="Times New Roman"/>
          <w:sz w:val="20"/>
        </w:rPr>
        <w:t xml:space="preserve">” </w:t>
      </w:r>
      <w:r>
        <w:rPr>
          <w:rFonts w:ascii="Times New Roman;serif" w:hAnsi="Times New Roman;serif"/>
          <w:b w:val="false"/>
          <w:sz w:val="22"/>
        </w:rPr>
        <w:t>means, with respect to the Company or any of its Restricted Subsidiaries, (a) one or more debt facilities or securities, including the Senior Credit Facilities, or other financing arrangements (including, without limitation, commercial paper facilities or indentures) providing for revolving credit loans, term loans, letters of credit or other long-term indebtedness, including any notes, securities, mortgages, guarantees, collateral documents, instruments and agreements executed in connection therewith, and (b)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(including Additional Notes under this Indenture) that increases the amount permitted to be borrowed thereunder or alters the maturity thereof (</w:t>
      </w:r>
      <w:r>
        <w:rPr>
          <w:rFonts w:ascii="Times New Roman;serif" w:hAnsi="Times New Roman;serif"/>
          <w:b w:val="false"/>
          <w:i/>
          <w:sz w:val="22"/>
        </w:rPr>
        <w:t>provided</w:t>
      </w:r>
      <w:r>
        <w:rPr>
          <w:rFonts w:ascii="Times New Roman;serif" w:hAnsi="Times New Roman;serif"/>
          <w:b w:val="false"/>
          <w:sz w:val="22"/>
        </w:rPr>
        <w:t>, that such increase in borrowings is permitted under Section 4.09 hereof) or adds Restricted Subsidiaries as additional borrowers or guarantors thereunder and whether by the same or any other agent, lender or group of lenders.</w:t>
      </w:r>
    </w:p>
    <w:p>
      <w:pPr>
        <w:pStyle w:val="TextBody"/>
        <w:bidi w:val="0"/>
        <w:spacing w:before="0" w:after="240"/>
        <w:jc w:val="left"/>
        <w:rPr/>
      </w:pPr>
      <w:r>
        <w:rPr/>
        <w:t>“</w:t>
      </w:r>
      <w:r>
        <w:rPr>
          <w:rFonts w:ascii="Times New Roman;serif" w:hAnsi="Times New Roman;serif"/>
          <w:b w:val="false"/>
          <w:sz w:val="22"/>
          <w:u w:val="single"/>
        </w:rPr>
        <w:t>Custodian</w:t>
      </w:r>
      <w:r>
        <w:rPr>
          <w:rFonts w:ascii="Times New Roman" w:hAnsi="Times New Roman"/>
          <w:sz w:val="20"/>
        </w:rPr>
        <w:t xml:space="preserve">” </w:t>
      </w:r>
      <w:r>
        <w:rPr>
          <w:rFonts w:ascii="Times New Roman;serif" w:hAnsi="Times New Roman;serif"/>
          <w:b w:val="false"/>
          <w:sz w:val="22"/>
        </w:rPr>
        <w:t>means the Trustee, as custodian for the Depositary with respect to the Notes in global form, or any successor entity thereto.</w:t>
      </w:r>
    </w:p>
    <w:p>
      <w:pPr>
        <w:pStyle w:val="TextBody"/>
        <w:bidi w:val="0"/>
        <w:spacing w:before="0" w:after="240"/>
        <w:jc w:val="left"/>
        <w:rPr/>
      </w:pPr>
      <w:r>
        <w:rPr/>
        <w:t>“</w:t>
      </w:r>
      <w:r>
        <w:rPr>
          <w:rFonts w:ascii="Times New Roman;serif" w:hAnsi="Times New Roman;serif"/>
          <w:b w:val="false"/>
          <w:sz w:val="22"/>
          <w:u w:val="single"/>
        </w:rPr>
        <w:t>Customary Intercreditor Agreement</w:t>
      </w:r>
      <w:r>
        <w:rPr>
          <w:rFonts w:ascii="Times New Roman" w:hAnsi="Times New Roman"/>
          <w:sz w:val="20"/>
        </w:rPr>
        <w:t xml:space="preserve">” </w:t>
      </w:r>
      <w:r>
        <w:rPr>
          <w:rFonts w:ascii="Times New Roman;serif" w:hAnsi="Times New Roman;serif"/>
          <w:b w:val="false"/>
          <w:sz w:val="22"/>
        </w:rPr>
        <w:t>has the meaning set forth in the Senior Credit Facilities.</w:t>
      </w:r>
    </w:p>
    <w:p>
      <w:pPr>
        <w:pStyle w:val="TextBody"/>
        <w:bidi w:val="0"/>
        <w:spacing w:before="0" w:after="240"/>
        <w:jc w:val="left"/>
        <w:rPr/>
      </w:pPr>
      <w:r>
        <w:rPr/>
        <w:t>“</w:t>
      </w:r>
      <w:r>
        <w:rPr>
          <w:rFonts w:ascii="Times New Roman;serif" w:hAnsi="Times New Roman;serif"/>
          <w:b w:val="false"/>
          <w:sz w:val="22"/>
          <w:u w:val="single"/>
        </w:rPr>
        <w:t>Declined Excess Proceeds</w:t>
      </w:r>
      <w:r>
        <w:rPr>
          <w:rFonts w:ascii="Times New Roman" w:hAnsi="Times New Roman"/>
          <w:sz w:val="20"/>
        </w:rPr>
        <w:t xml:space="preserve">” </w:t>
      </w:r>
      <w:r>
        <w:rPr>
          <w:rFonts w:ascii="Times New Roman;serif" w:hAnsi="Times New Roman;serif"/>
          <w:b w:val="false"/>
          <w:sz w:val="22"/>
        </w:rPr>
        <w:t>means the amount, if any, of Excess Proceeds declined by Holders of Notes in connection with any Asset Sale Offer.</w:t>
      </w:r>
    </w:p>
    <w:p>
      <w:pPr>
        <w:pStyle w:val="TextBody"/>
        <w:bidi w:val="0"/>
        <w:spacing w:before="0" w:after="240"/>
        <w:jc w:val="left"/>
        <w:rPr/>
      </w:pPr>
      <w:r>
        <w:rPr/>
        <w:t>“</w:t>
      </w:r>
      <w:r>
        <w:rPr>
          <w:rFonts w:ascii="Times New Roman;serif" w:hAnsi="Times New Roman;serif"/>
          <w:b w:val="false"/>
          <w:sz w:val="22"/>
          <w:u w:val="single"/>
        </w:rPr>
        <w:t>Default</w:t>
      </w:r>
      <w:r>
        <w:rPr>
          <w:rFonts w:ascii="Times New Roman" w:hAnsi="Times New Roman"/>
          <w:sz w:val="20"/>
        </w:rPr>
        <w:t xml:space="preserve">” </w:t>
      </w:r>
      <w:r>
        <w:rPr>
          <w:rFonts w:ascii="Times New Roman;serif" w:hAnsi="Times New Roman;serif"/>
          <w:b w:val="false"/>
          <w:sz w:val="22"/>
        </w:rPr>
        <w:t>means any event that is, or with the passage of time or the giving of notice or both would be, an Event of Default.</w:t>
      </w:r>
    </w:p>
    <w:p>
      <w:pPr>
        <w:pStyle w:val="TextBody"/>
        <w:bidi w:val="0"/>
        <w:spacing w:before="0" w:after="240"/>
        <w:jc w:val="left"/>
        <w:rPr/>
      </w:pPr>
      <w:r>
        <w:rPr/>
        <w:t>“</w:t>
      </w:r>
      <w:r>
        <w:rPr>
          <w:rFonts w:ascii="Times New Roman;serif" w:hAnsi="Times New Roman;serif"/>
          <w:b w:val="false"/>
          <w:sz w:val="22"/>
          <w:u w:val="single"/>
        </w:rPr>
        <w:t>Definitive Note</w:t>
      </w:r>
      <w:r>
        <w:rPr>
          <w:rFonts w:ascii="Times New Roman" w:hAnsi="Times New Roman"/>
          <w:sz w:val="20"/>
        </w:rPr>
        <w:t xml:space="preserve">” </w:t>
      </w:r>
      <w:r>
        <w:rPr>
          <w:rFonts w:ascii="Times New Roman;serif" w:hAnsi="Times New Roman;serif"/>
          <w:b w:val="false"/>
          <w:sz w:val="22"/>
        </w:rPr>
        <w:t xml:space="preserve">means a certificated Note registered in the name of the Holder thereof and issued in accordance with Section 2.06(c) hereof,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except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that such Note shall not bear the Global Note Legend and shall not have the “Schedule of Exchanges of Interests in the Global Note” attached thereto.</w:t>
      </w:r>
    </w:p>
    <w:p>
      <w:pPr>
        <w:pStyle w:val="TextBody"/>
        <w:bidi w:val="0"/>
        <w:spacing w:before="0" w:after="240"/>
        <w:jc w:val="left"/>
        <w:rPr/>
      </w:pPr>
      <w:r>
        <w:rPr/>
        <w:t>“</w:t>
      </w:r>
      <w:r>
        <w:rPr>
          <w:rFonts w:ascii="Times New Roman;serif" w:hAnsi="Times New Roman;serif"/>
          <w:b w:val="false"/>
          <w:sz w:val="22"/>
          <w:u w:val="single"/>
        </w:rPr>
        <w:t>Depositary</w:t>
      </w:r>
      <w:r>
        <w:rPr>
          <w:rFonts w:ascii="Times New Roman" w:hAnsi="Times New Roman"/>
          <w:sz w:val="20"/>
        </w:rPr>
        <w:t xml:space="preserve">” </w:t>
      </w:r>
      <w:r>
        <w:rPr>
          <w:rFonts w:ascii="Times New Roman;serif" w:hAnsi="Times New Roman;serif"/>
          <w:b w:val="false"/>
          <w:sz w:val="22"/>
        </w:rPr>
        <w:t>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pStyle w:val="TextBody"/>
        <w:bidi w:val="0"/>
        <w:spacing w:before="0" w:after="240"/>
        <w:jc w:val="left"/>
        <w:rPr/>
      </w:pPr>
      <w:r>
        <w:rPr/>
        <w:t>“</w:t>
      </w:r>
      <w:r>
        <w:rPr>
          <w:rFonts w:ascii="Times New Roman;serif" w:hAnsi="Times New Roman;serif"/>
          <w:b w:val="false"/>
          <w:sz w:val="22"/>
          <w:u w:val="single"/>
        </w:rPr>
        <w:t>Designated Non-cash Consideration</w:t>
      </w:r>
      <w:r>
        <w:rPr>
          <w:rFonts w:ascii="Times New Roman" w:hAnsi="Times New Roman"/>
          <w:sz w:val="20"/>
        </w:rPr>
        <w:t xml:space="preserve">” </w:t>
      </w:r>
      <w:r>
        <w:rPr>
          <w:rFonts w:ascii="Times New Roman;serif" w:hAnsi="Times New Roman;serif"/>
          <w:b w:val="false"/>
          <w:sz w:val="22"/>
        </w:rPr>
        <w:t>means the fair market value of non-cash consideration received by the Company or a Restricted Subsidiary in connection with an Asset Sale that is so designated as Designated Non-cash Consideration by the Company, less the amount of cash or Cash Equivalents received in connection with a subsequent sale, redemption or repurchase of or collection or payment on such Designated Non-cash Consideration.</w:t>
      </w:r>
    </w:p>
    <w:p>
      <w:pPr>
        <w:pStyle w:val="TextBody"/>
        <w:bidi w:val="0"/>
        <w:spacing w:before="0" w:after="240"/>
        <w:jc w:val="left"/>
        <w:rPr/>
      </w:pPr>
      <w:r>
        <w:rPr/>
        <w:t>“</w:t>
      </w:r>
      <w:r>
        <w:rPr>
          <w:rFonts w:ascii="Times New Roman;serif" w:hAnsi="Times New Roman;serif"/>
          <w:b w:val="false"/>
          <w:sz w:val="22"/>
          <w:u w:val="single"/>
        </w:rPr>
        <w:t>Designated Preferred Stock</w:t>
      </w:r>
      <w:r>
        <w:rPr>
          <w:rFonts w:ascii="Times New Roman" w:hAnsi="Times New Roman"/>
          <w:sz w:val="20"/>
        </w:rPr>
        <w:t xml:space="preserve">” </w:t>
      </w:r>
      <w:r>
        <w:rPr>
          <w:rFonts w:ascii="Times New Roman;serif" w:hAnsi="Times New Roman;serif"/>
          <w:b w:val="false"/>
          <w:sz w:val="22"/>
        </w:rPr>
        <w:t>means Preferred Stock of the Company or any direct or indirect parent company thereof (in each case other than Disqualified Stock) that is issued for cash (other than to a Restricted Subsidiary or an employee stock ownership plan or trust established by the Company or any of its Subsidiaries) and is so designated as Designated Preferred Stock by the Company or the applicable parent corporation thereof, as the case may be, on the issuance date thereof, the cash proceeds of which are excluded from the calculation set forth in clause (3) of Section 4.07(a) hereof.</w:t>
      </w:r>
    </w:p>
    <w:p>
      <w:pPr>
        <w:pStyle w:val="TextBody"/>
        <w:bidi w:val="0"/>
        <w:spacing w:before="0" w:after="240"/>
        <w:jc w:val="left"/>
        <w:rPr/>
      </w:pPr>
      <w:r>
        <w:rPr/>
        <w:t>“</w:t>
      </w:r>
      <w:r>
        <w:rPr>
          <w:rFonts w:ascii="Times New Roman;serif" w:hAnsi="Times New Roman;serif"/>
          <w:b w:val="false"/>
          <w:sz w:val="22"/>
          <w:u w:val="single"/>
        </w:rPr>
        <w:t>Disinterested Director</w:t>
      </w:r>
      <w:r>
        <w:rPr>
          <w:rFonts w:ascii="Times New Roman" w:hAnsi="Times New Roman"/>
          <w:sz w:val="20"/>
        </w:rPr>
        <w:t xml:space="preserve">” </w:t>
      </w:r>
      <w:r>
        <w:rPr>
          <w:rFonts w:ascii="Times New Roman;serif" w:hAnsi="Times New Roman;serif"/>
          <w:b w:val="false"/>
          <w:sz w:val="22"/>
        </w:rPr>
        <w:t>means, with respect to any Affiliate Transaction, a member of the board of directors of the Company having no material direct or indirect financial interest in or with respect to such Affiliate Transaction. A member of the board of directors of the Company shall be deemed not to have such a financial interest by reason of such member’s holding Capital Stock of the Company or any options, warrants or other rights in respect of such Capital Stock.</w:t>
      </w:r>
    </w:p>
    <w:p>
      <w:pPr>
        <w:pStyle w:val="TextBody"/>
        <w:bidi w:val="0"/>
        <w:spacing w:before="0" w:after="240"/>
        <w:jc w:val="left"/>
        <w:rPr/>
      </w:pPr>
      <w:r>
        <w:rPr/>
        <w:t>“</w:t>
      </w:r>
      <w:r>
        <w:rPr>
          <w:rFonts w:ascii="Times New Roman;serif" w:hAnsi="Times New Roman;serif"/>
          <w:b w:val="false"/>
          <w:sz w:val="22"/>
          <w:u w:val="single"/>
        </w:rPr>
        <w:t>Disposed EBITDA</w:t>
      </w:r>
      <w:r>
        <w:rPr>
          <w:rFonts w:ascii="Times New Roman" w:hAnsi="Times New Roman"/>
          <w:sz w:val="20"/>
        </w:rPr>
        <w:t xml:space="preserve">” </w:t>
      </w:r>
      <w:r>
        <w:rPr>
          <w:rFonts w:ascii="Times New Roman;serif" w:hAnsi="Times New Roman;serif"/>
          <w:b w:val="false"/>
          <w:sz w:val="22"/>
        </w:rPr>
        <w:t>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Company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pStyle w:val="TextBody"/>
        <w:bidi w:val="0"/>
        <w:spacing w:before="0" w:after="240"/>
        <w:jc w:val="left"/>
        <w:rPr/>
      </w:pPr>
      <w:r>
        <w:rPr/>
        <w:t>“</w:t>
      </w:r>
      <w:r>
        <w:rPr>
          <w:rFonts w:ascii="Times New Roman;serif" w:hAnsi="Times New Roman;serif"/>
          <w:b w:val="false"/>
          <w:sz w:val="22"/>
          <w:u w:val="single"/>
        </w:rPr>
        <w:t>Disqualified Stock</w:t>
      </w:r>
      <w:r>
        <w:rPr>
          <w:rFonts w:ascii="Times New Roman" w:hAnsi="Times New Roman"/>
          <w:sz w:val="20"/>
        </w:rPr>
        <w:t xml:space="preserve">” </w:t>
      </w:r>
      <w:r>
        <w:rPr>
          <w:rFonts w:ascii="Times New Roman;serif" w:hAnsi="Times New Roman;serif"/>
          <w:b w:val="false"/>
          <w:sz w:val="22"/>
        </w:rPr>
        <w:t xml:space="preserve">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outstanding;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any Capital Stock held by any future, current or former employee, director, officer, manager or consultant (or their respective Controlled Investment Affiliates (excluding the Investors (but not excluding any future, current or former employee, director, officer, manager or consultant)) or Immediate Family Members), of the Company, any of its Subsidiaries, any of their direct or indirect parent companies or any other entity in which the Company or a Restricted Subsidiary has an Investment and is designated in good faith as an “affiliate” by the board of directors of the Company or a Restricted Subsidiary (or the compensation committee thereof), in each case pursuant to any stock subscription or shareholders’ agreement, management equity plan or stock option plan or any other management or employee benefit plan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agreement shall not constitute Disqualified Stock solely because it may be required to be repurchased by the Company or its Subsidiaries or in order to satisfy applicable statutory or regulatory obligations. Notwithstanding the preceding sentence, any Capital Stock that would constitute Disqualified Stock solely because the holders of the Capital Stock have the right to require the Company or a Subsidiary to repurchase such Capital Stock upon the occurrence of a change of control or an asset sale shall not constitute Disqualified Stock if the terms of such Capital Stock (and all such securities into which it is convertible or for which it is ratable or exchangeable) provide that the Company or such Subsidiary may not repurchase or redeem any such Capital Stock (and all such securities into which it is convertible or for which it is ratable or exchangeable) pursuant to such provisions unless such repurchase or redemption complies with the terms of this Indenture. The amount of Disqualified Stock deemed to be outstanding at any time for purposes of this Indenture shall be the maximum amount that the Company and its Restricted Subsidiaries may become obligated to pay upon the maturity of, or pursuant to any mandatory redemption provisions of, such Disqualified Stock, exclusive of accrued dividends.</w:t>
      </w:r>
    </w:p>
    <w:p>
      <w:pPr>
        <w:pStyle w:val="TextBody"/>
        <w:bidi w:val="0"/>
        <w:spacing w:before="0" w:after="240"/>
        <w:jc w:val="left"/>
        <w:rPr/>
      </w:pPr>
      <w:r>
        <w:rPr/>
        <w:t>“</w:t>
      </w:r>
      <w:r>
        <w:rPr>
          <w:rFonts w:ascii="Times New Roman;serif" w:hAnsi="Times New Roman;serif"/>
          <w:b w:val="false"/>
          <w:sz w:val="22"/>
          <w:u w:val="single"/>
        </w:rPr>
        <w:t>Domestic Foreign Holdco</w:t>
      </w:r>
      <w:r>
        <w:rPr>
          <w:rFonts w:ascii="Times New Roman" w:hAnsi="Times New Roman"/>
          <w:sz w:val="20"/>
        </w:rPr>
        <w:t xml:space="preserve">” </w:t>
      </w:r>
      <w:r>
        <w:rPr>
          <w:rFonts w:ascii="Times New Roman;serif" w:hAnsi="Times New Roman;serif"/>
          <w:b w:val="false"/>
          <w:sz w:val="22"/>
        </w:rPr>
        <w:t>means any Subsidiary that is not a CFC, substantially all of whose assets (directly and/or indirectly through one or more Subsidiaries) are capital stock (and, if applicable, debt) of one or more Subsidiaries that are (1) CFCs that are direct or indirect Subsidiaries of a Domestic Subsidiary and/or (2) other Domestic Foreign Holdcos.</w:t>
      </w:r>
    </w:p>
    <w:p>
      <w:pPr>
        <w:pStyle w:val="TextBody"/>
        <w:bidi w:val="0"/>
        <w:spacing w:before="0" w:after="240"/>
        <w:jc w:val="left"/>
        <w:rPr/>
      </w:pPr>
      <w:r>
        <w:rPr/>
        <w:t>“</w:t>
      </w:r>
      <w:r>
        <w:rPr>
          <w:rFonts w:ascii="Times New Roman;serif" w:hAnsi="Times New Roman;serif"/>
          <w:b w:val="false"/>
          <w:sz w:val="22"/>
          <w:u w:val="single"/>
        </w:rPr>
        <w:t>Domestic Subsidiary</w:t>
      </w:r>
      <w:r>
        <w:rPr>
          <w:rFonts w:ascii="Times New Roman" w:hAnsi="Times New Roman"/>
          <w:sz w:val="20"/>
        </w:rPr>
        <w:t xml:space="preserve">” </w:t>
      </w:r>
      <w:r>
        <w:rPr>
          <w:rFonts w:ascii="Times New Roman;serif" w:hAnsi="Times New Roman;serif"/>
          <w:b w:val="false"/>
          <w:sz w:val="22"/>
        </w:rPr>
        <w:t>means with respect to any Person, any Restricted Subsidiary of such Person other than a Foreign Subsidiary.</w:t>
      </w:r>
    </w:p>
    <w:p>
      <w:pPr>
        <w:pStyle w:val="TextBody"/>
        <w:bidi w:val="0"/>
        <w:spacing w:before="0" w:after="240"/>
        <w:jc w:val="left"/>
        <w:rPr/>
      </w:pPr>
      <w:r>
        <w:rPr/>
        <w:t>“</w:t>
      </w:r>
      <w:r>
        <w:rPr>
          <w:rFonts w:ascii="Times New Roman;serif" w:hAnsi="Times New Roman;serif"/>
          <w:b w:val="false"/>
          <w:sz w:val="22"/>
          <w:u w:val="single"/>
        </w:rPr>
        <w:t>EMU</w:t>
      </w:r>
      <w:r>
        <w:rPr>
          <w:rFonts w:ascii="Times New Roman" w:hAnsi="Times New Roman"/>
          <w:sz w:val="20"/>
        </w:rPr>
        <w:t xml:space="preserve">” </w:t>
      </w:r>
      <w:r>
        <w:rPr>
          <w:rFonts w:ascii="Times New Roman;serif" w:hAnsi="Times New Roman;serif"/>
          <w:b w:val="false"/>
          <w:sz w:val="22"/>
        </w:rPr>
        <w:t>means economic and monetary union as contemplated in the Treaty on European Union.</w:t>
      </w:r>
    </w:p>
    <w:p>
      <w:pPr>
        <w:pStyle w:val="TextBody"/>
        <w:bidi w:val="0"/>
        <w:spacing w:before="0" w:after="240"/>
        <w:jc w:val="left"/>
        <w:rPr/>
      </w:pPr>
      <w:r>
        <w:rPr/>
        <w:t>“</w:t>
      </w:r>
      <w:r>
        <w:rPr>
          <w:rFonts w:ascii="Times New Roman;serif" w:hAnsi="Times New Roman;serif"/>
          <w:b w:val="false"/>
          <w:sz w:val="22"/>
          <w:u w:val="single"/>
        </w:rPr>
        <w:t>Equity Interests</w:t>
      </w:r>
      <w:r>
        <w:rPr>
          <w:rFonts w:ascii="Times New Roman" w:hAnsi="Times New Roman"/>
          <w:sz w:val="20"/>
        </w:rPr>
        <w:t xml:space="preserve">” </w:t>
      </w:r>
      <w:r>
        <w:rPr>
          <w:rFonts w:ascii="Times New Roman;serif" w:hAnsi="Times New Roman;serif"/>
          <w:b w:val="false"/>
          <w:sz w:val="22"/>
        </w:rPr>
        <w:t>means Capital Stock and all warrants, options or other rights to acquire Capital Stock, but excluding any debt security that is convertible into, or exchangeable for, Capital Stock.</w:t>
      </w:r>
    </w:p>
    <w:p>
      <w:pPr>
        <w:pStyle w:val="TextBody"/>
        <w:bidi w:val="0"/>
        <w:spacing w:before="0" w:after="240"/>
        <w:jc w:val="left"/>
        <w:rPr/>
      </w:pPr>
      <w:r>
        <w:rPr/>
        <w:t>“</w:t>
      </w:r>
      <w:r>
        <w:rPr>
          <w:rFonts w:ascii="Times New Roman;serif" w:hAnsi="Times New Roman;serif"/>
          <w:b w:val="false"/>
          <w:sz w:val="22"/>
          <w:u w:val="single"/>
        </w:rPr>
        <w:t>Equity Offering</w:t>
      </w:r>
      <w:r>
        <w:rPr>
          <w:rFonts w:ascii="Times New Roman" w:hAnsi="Times New Roman"/>
          <w:sz w:val="20"/>
        </w:rPr>
        <w:t xml:space="preserve">” </w:t>
      </w:r>
      <w:r>
        <w:rPr>
          <w:rFonts w:ascii="Times New Roman;serif" w:hAnsi="Times New Roman;serif"/>
          <w:b w:val="false"/>
          <w:sz w:val="22"/>
        </w:rPr>
        <w:t>means any public or private sale of common stock or Preferred Stock of the Company or any of its direct or indirect parent companies (excluding Disqualified Stock), other than: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public offerings with respect to the Company’s or any direct or indirect parent company’s common stock registered on Form S-8;</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issuances to any Subsidiary of the Company;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any such public or private sale that constitutes an Excluded Contribution or a Contributed Holdings Investment.</w:t>
      </w:r>
    </w:p>
    <w:p>
      <w:pPr>
        <w:pStyle w:val="TextBody"/>
        <w:bidi w:val="0"/>
        <w:spacing w:before="0" w:after="240"/>
        <w:jc w:val="left"/>
        <w:rPr/>
      </w:pPr>
      <w:r>
        <w:rPr/>
        <w:t>“</w:t>
      </w:r>
      <w:r>
        <w:rPr>
          <w:rFonts w:ascii="Times New Roman;serif" w:hAnsi="Times New Roman;serif"/>
          <w:b w:val="false"/>
          <w:sz w:val="22"/>
          <w:u w:val="single"/>
        </w:rPr>
        <w:t>Escrow Account</w:t>
      </w:r>
      <w:r>
        <w:rPr>
          <w:rFonts w:ascii="Times New Roman" w:hAnsi="Times New Roman"/>
          <w:sz w:val="20"/>
        </w:rPr>
        <w:t xml:space="preserve">” </w:t>
      </w:r>
      <w:r>
        <w:rPr>
          <w:rFonts w:ascii="Times New Roman;serif" w:hAnsi="Times New Roman;serif"/>
          <w:b w:val="false"/>
          <w:sz w:val="22"/>
        </w:rPr>
        <w:t>has the meaning given such term in the Escrow Agreement.</w:t>
      </w:r>
    </w:p>
    <w:p>
      <w:pPr>
        <w:pStyle w:val="TextBody"/>
        <w:bidi w:val="0"/>
        <w:spacing w:before="0" w:after="240"/>
        <w:jc w:val="left"/>
        <w:rPr/>
      </w:pPr>
      <w:r>
        <w:rPr/>
        <w:t>“</w:t>
      </w:r>
      <w:r>
        <w:rPr>
          <w:rFonts w:ascii="Times New Roman;serif" w:hAnsi="Times New Roman;serif"/>
          <w:b w:val="false"/>
          <w:sz w:val="22"/>
          <w:u w:val="single"/>
        </w:rPr>
        <w:t>Escrow Account Pledge Agreement</w:t>
      </w:r>
      <w:r>
        <w:rPr>
          <w:rFonts w:ascii="Times New Roman" w:hAnsi="Times New Roman"/>
          <w:sz w:val="20"/>
        </w:rPr>
        <w:t xml:space="preserve">” </w:t>
      </w:r>
      <w:r>
        <w:rPr>
          <w:rFonts w:ascii="Times New Roman;serif" w:hAnsi="Times New Roman;serif"/>
          <w:b w:val="false"/>
          <w:sz w:val="22"/>
        </w:rPr>
        <w:t>means that certain escrow account pledge agreement, dated as of the date hereof, by and among the Luxembourg Issuer and the Trustee.</w:t>
      </w:r>
    </w:p>
    <w:p>
      <w:pPr>
        <w:pStyle w:val="TextBody"/>
        <w:bidi w:val="0"/>
        <w:spacing w:before="0" w:after="240"/>
        <w:jc w:val="left"/>
        <w:rPr/>
      </w:pPr>
      <w:r>
        <w:rPr/>
        <w:t>“</w:t>
      </w:r>
      <w:r>
        <w:rPr>
          <w:rFonts w:ascii="Times New Roman;serif" w:hAnsi="Times New Roman;serif"/>
          <w:b w:val="false"/>
          <w:sz w:val="22"/>
          <w:u w:val="single"/>
        </w:rPr>
        <w:t>Escrow Agreement</w:t>
      </w:r>
      <w:r>
        <w:rPr>
          <w:rFonts w:ascii="Times New Roman" w:hAnsi="Times New Roman"/>
          <w:sz w:val="20"/>
        </w:rPr>
        <w:t xml:space="preserve">” </w:t>
      </w:r>
      <w:r>
        <w:rPr>
          <w:rFonts w:ascii="Times New Roman;serif" w:hAnsi="Times New Roman;serif"/>
          <w:b w:val="false"/>
          <w:sz w:val="22"/>
        </w:rPr>
        <w:t>means that certain escrow agreement (consisting of the Standard Terms and Conditions, the Escrow Agreement Commercial Terms and the Security Procedures), dated as of the date hereof, by and among the Luxembourg Issuer, the Trustee and Barclays Bank PLC, as escrow agent.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Escrow Redemption Notice Instruction</w:t>
      </w:r>
      <w:r>
        <w:rPr>
          <w:rFonts w:ascii="Times New Roman" w:hAnsi="Times New Roman"/>
          <w:sz w:val="20"/>
        </w:rPr>
        <w:t xml:space="preserve">” </w:t>
      </w:r>
      <w:r>
        <w:rPr>
          <w:rFonts w:ascii="Times New Roman;serif" w:hAnsi="Times New Roman;serif"/>
          <w:b w:val="false"/>
          <w:sz w:val="22"/>
        </w:rPr>
        <w:t>shall have the meaning given such term in the Escrow Agreement.</w:t>
      </w:r>
    </w:p>
    <w:p>
      <w:pPr>
        <w:pStyle w:val="TextBody"/>
        <w:bidi w:val="0"/>
        <w:spacing w:before="0" w:after="240"/>
        <w:jc w:val="left"/>
        <w:rPr/>
      </w:pPr>
      <w:r>
        <w:rPr/>
        <w:t>“</w:t>
      </w:r>
      <w:r>
        <w:rPr>
          <w:rFonts w:ascii="Times New Roman;serif" w:hAnsi="Times New Roman;serif"/>
          <w:b w:val="false"/>
          <w:sz w:val="22"/>
          <w:u w:val="single"/>
        </w:rPr>
        <w:t>Escrow Release Request Instruction</w:t>
      </w:r>
      <w:r>
        <w:rPr>
          <w:rFonts w:ascii="Times New Roman" w:hAnsi="Times New Roman"/>
          <w:sz w:val="20"/>
        </w:rPr>
        <w:t xml:space="preserve">” </w:t>
      </w:r>
      <w:r>
        <w:rPr>
          <w:rFonts w:ascii="Times New Roman;serif" w:hAnsi="Times New Roman;serif"/>
          <w:b w:val="false"/>
          <w:sz w:val="22"/>
        </w:rPr>
        <w:t>shall have the meaning given such term in the Escrow Agreement.</w:t>
      </w:r>
    </w:p>
    <w:p>
      <w:pPr>
        <w:pStyle w:val="TextBody"/>
        <w:bidi w:val="0"/>
        <w:spacing w:before="0" w:after="240"/>
        <w:jc w:val="left"/>
        <w:rPr/>
      </w:pPr>
      <w:r>
        <w:rPr/>
        <w:t>“</w:t>
      </w:r>
      <w:r>
        <w:rPr>
          <w:rFonts w:ascii="Times New Roman;serif" w:hAnsi="Times New Roman;serif"/>
          <w:b w:val="false"/>
          <w:sz w:val="22"/>
          <w:u w:val="single"/>
        </w:rPr>
        <w:t>euro</w:t>
      </w:r>
      <w:r>
        <w:rPr>
          <w:rFonts w:ascii="Times New Roman" w:hAnsi="Times New Roman"/>
          <w:sz w:val="20"/>
        </w:rPr>
        <w:t xml:space="preserve">” </w:t>
      </w:r>
      <w:r>
        <w:rPr>
          <w:rFonts w:ascii="Times New Roman;serif" w:hAnsi="Times New Roman;serif"/>
          <w:b w:val="false"/>
          <w:sz w:val="22"/>
        </w:rPr>
        <w:t>means the single currency of participating member states of the EMU.</w:t>
      </w:r>
    </w:p>
    <w:p>
      <w:pPr>
        <w:pStyle w:val="TextBody"/>
        <w:bidi w:val="0"/>
        <w:spacing w:before="0" w:after="240"/>
        <w:jc w:val="left"/>
        <w:rPr/>
      </w:pPr>
      <w:r>
        <w:rPr/>
        <w:t>“</w:t>
      </w:r>
      <w:r>
        <w:rPr>
          <w:rFonts w:ascii="Times New Roman;serif" w:hAnsi="Times New Roman;serif"/>
          <w:b w:val="false"/>
          <w:sz w:val="22"/>
          <w:u w:val="single"/>
        </w:rPr>
        <w:t>Euroclear</w:t>
      </w:r>
      <w:r>
        <w:rPr>
          <w:rFonts w:ascii="Times New Roman" w:hAnsi="Times New Roman"/>
          <w:sz w:val="20"/>
        </w:rPr>
        <w:t xml:space="preserve">” </w:t>
      </w:r>
      <w:r>
        <w:rPr>
          <w:rFonts w:ascii="Times New Roman;serif" w:hAnsi="Times New Roman;serif"/>
          <w:b w:val="false"/>
          <w:sz w:val="22"/>
        </w:rPr>
        <w:t>means Euroclear Bank SA/NV and its successors, as operator of the Euroclear System.</w:t>
      </w:r>
    </w:p>
    <w:p>
      <w:pPr>
        <w:pStyle w:val="TextBody"/>
        <w:bidi w:val="0"/>
        <w:spacing w:before="0" w:after="240"/>
        <w:jc w:val="left"/>
        <w:rPr/>
      </w:pPr>
      <w:r>
        <w:rPr/>
        <w:t>“</w:t>
      </w:r>
      <w:r>
        <w:rPr>
          <w:rFonts w:ascii="Times New Roman;serif" w:hAnsi="Times New Roman;serif"/>
          <w:b w:val="false"/>
          <w:sz w:val="22"/>
          <w:u w:val="single"/>
        </w:rPr>
        <w:t>European Union</w:t>
      </w:r>
      <w:r>
        <w:rPr>
          <w:rFonts w:ascii="Times New Roman" w:hAnsi="Times New Roman"/>
          <w:sz w:val="20"/>
        </w:rPr>
        <w:t xml:space="preserve">” </w:t>
      </w:r>
      <w:r>
        <w:rPr>
          <w:rFonts w:ascii="Times New Roman;serif" w:hAnsi="Times New Roman;serif"/>
          <w:b w:val="false"/>
          <w:sz w:val="22"/>
        </w:rPr>
        <w:t>means all members of the European Union as of January 1, 2004.</w:t>
      </w:r>
    </w:p>
    <w:p>
      <w:pPr>
        <w:pStyle w:val="TextBody"/>
        <w:bidi w:val="0"/>
        <w:spacing w:before="0" w:after="240"/>
        <w:jc w:val="left"/>
        <w:rPr/>
      </w:pPr>
      <w:r>
        <w:rPr/>
        <w:t>“</w:t>
      </w:r>
      <w:r>
        <w:rPr>
          <w:rFonts w:ascii="Times New Roman;serif" w:hAnsi="Times New Roman;serif"/>
          <w:b w:val="false"/>
          <w:sz w:val="22"/>
          <w:u w:val="single"/>
        </w:rPr>
        <w:t>Exchange Act</w:t>
      </w:r>
      <w:r>
        <w:rPr>
          <w:rFonts w:ascii="Times New Roman" w:hAnsi="Times New Roman"/>
          <w:sz w:val="20"/>
        </w:rPr>
        <w:t xml:space="preserve">” </w:t>
      </w:r>
      <w:r>
        <w:rPr>
          <w:rFonts w:ascii="Times New Roman;serif" w:hAnsi="Times New Roman;serif"/>
          <w:b w:val="false"/>
          <w:sz w:val="22"/>
        </w:rPr>
        <w:t>means the Securities Exchange Act of 1934, as amended, and the rules and regulations of the SEC promulgated thereunder.</w:t>
      </w:r>
    </w:p>
    <w:p>
      <w:pPr>
        <w:pStyle w:val="TextBody"/>
        <w:bidi w:val="0"/>
        <w:spacing w:before="0" w:after="240"/>
        <w:jc w:val="left"/>
        <w:rPr/>
      </w:pPr>
      <w:r>
        <w:rPr/>
        <w:t>“</w:t>
      </w:r>
      <w:r>
        <w:rPr>
          <w:rFonts w:ascii="Times New Roman;serif" w:hAnsi="Times New Roman;serif"/>
          <w:b w:val="false"/>
          <w:sz w:val="22"/>
          <w:u w:val="single"/>
        </w:rPr>
        <w:t>Exchange Rate</w:t>
      </w:r>
      <w:r>
        <w:rPr>
          <w:rFonts w:ascii="Times New Roman" w:hAnsi="Times New Roman"/>
          <w:sz w:val="20"/>
        </w:rPr>
        <w:t xml:space="preserve">” </w:t>
      </w:r>
      <w:r>
        <w:rPr>
          <w:rFonts w:ascii="Times New Roman;serif" w:hAnsi="Times New Roman;serif"/>
          <w:b w:val="false"/>
          <w:sz w:val="22"/>
        </w:rPr>
        <w:t>means, on any day, the rate at which the currency other than the Required Currency may be exchanged into the Required Currency at approximately 11:00 a.m., New York City time, on such date on the Bloomberg Key Cross Currency Rates Page for the relevant currency. To the extent that such rate does not appear on any Bloomberg Key Cross Currency Rate Page, the Exchange Rate shall be determined by the Company in good faith.</w:t>
      </w:r>
    </w:p>
    <w:p>
      <w:pPr>
        <w:pStyle w:val="TextBody"/>
        <w:bidi w:val="0"/>
        <w:spacing w:before="0" w:after="240"/>
        <w:jc w:val="left"/>
        <w:rPr/>
      </w:pPr>
      <w:r>
        <w:rPr/>
        <w:t>“</w:t>
      </w:r>
      <w:r>
        <w:rPr>
          <w:rFonts w:ascii="Times New Roman;serif" w:hAnsi="Times New Roman;serif"/>
          <w:b w:val="false"/>
          <w:sz w:val="22"/>
          <w:u w:val="single"/>
        </w:rPr>
        <w:t>Excluded Assets</w:t>
      </w:r>
      <w:r>
        <w:rPr>
          <w:rFonts w:ascii="Times New Roman" w:hAnsi="Times New Roman"/>
          <w:sz w:val="20"/>
        </w:rPr>
        <w:t xml:space="preserve">” </w:t>
      </w:r>
      <w:r>
        <w:rPr>
          <w:rFonts w:ascii="Times New Roman;serif" w:hAnsi="Times New Roman;serif"/>
          <w:b w:val="false"/>
          <w:sz w:val="22"/>
        </w:rPr>
        <w:t>means (I) in relation to any Issuer or Guarantor organized in the United States, any state thereof or the District of Columbia, (a) any fee-owned real property and all leasehold (including ground lease) interests in real property (including requirements to deliver landlord lien waivers, estoppels and collateral access letters), (b) motor vehicles and other assets subject to certificates of title except to the extent a security interest therein may be perfected by the filing of a UCC-1 financing statement, (c) letter-of-credit rights (except to the extent a security interest therein can be perfected with the filing of a UCC-1 financing statement), (d) commercial tort claims with a value of less than $75.0 million, and commercial tort claims for which (and only for so long as) no complaint or counterclaim has been filed in a court of competent jurisdiction, (e) Excluded Equity Interests, (f) any lease, license, sublicense, contract, other agreement, or any property subject to a purchase money security interest or similar arrangement not prohibited by this Indenture, to the extent and for so long as, the grant of a security interest therein (i) would require the consent of a third party other than any Issuer or Guarantor (unless such consent has been received), or (ii) violates or invalidates, constitutes a breach of or a default under, or creates a right of termination in favor of any other party thereto (other than any Issuer or Guarantor) to, such lease, contract, license, sublicense, other agreement or document, in each case of (i) or (ii) after giving effect to the applicable anti-assignment provisions of the Uniform Commercial Code of any applicable jurisdiction, (g) any asset of a Subsidiary subject to a Lien permitted by clause (8) of the definition of the term “Permitted Liens”, in each case if, to the extent and for so long as the grant of a Lien on such asset to secure the Secured Obligations is prohibited by any agreement permitted under this Indenture pursuant to which such Lien has been created so long as such prohibition is not created in contemplation of the transactions described in clause (8) of the definition of the term “Permitted Liens” (after giving effect to the applicable anti-assignment provisions in the Uniform Commercial Code of any applicable jurisdiction), (h) any (i)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(ii) any other intellectual property in any jurisdiction where the grant, attachment or enforcement of a Lien thereon would cause the invalidation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abandonment, or result in the voiding, of such intellectual property under applicable law, (i) any asset of a Subsidiary if, to the extent and for so long as the grant of a Lien on such asset to secure the Secured Obligations is (i) prohibited by any requirements of law, any permitted contractual obligation disclosed in writing to the Notes Collateral Agent and binding on such asset on the Issue Date (or, if later, the date of acquisition of such asset, or the date a Person that owns such assets becomes a Guarantor, so long as any such prohibition is not created in contemplation of such acquisition or of such Person becoming a Guarantor) or any permitted agreement with any Governmental Authority binding on such asset (in each case, after giving effect to the applicable anti-assignment provisions in the Uniform Commercial Code of any applicable jurisdiction) or (ii) would require the consent, approval, license or authorization from any Governmental Authority or regulatory authority, unless such consent, approval, license or authorization has been received (after giving effect to the applicable anti-assignment provisions in the Uniform Commercial Code of any applicable jurisdiction), (j) margin stock (within the meaning of Regulation U of the Board of Governors, as in effect from time to time), (k) Receivables Assets, (l) any deposit account or securities account that is used solely as a pension fund, escrow (including, without limitation, any escrow accounts for the benefit of customers), trust, or similar account, in each case, for the benefit of third parties, (m) assets to the extent a security interest in such assets would result in material adverse tax consequences to the Issuer (or, if applicable, the common parent of the Issuer’s consolidated group for applicable income tax purposes) and its Subsidiaries as reasonably determined by the Issuer in consultation with the Senior Credit Facilities Collateral Agent with respect to the corresponding requirement in the Senior Credit Facilities (n) any assets with respect to which, in the reasonable judgment of the Issuers and the Senior Credit Facilities Collateral Agent with respect to the corresponding requirement in the Senior Credit Facilities (as agreed to in writing), the cost, burden, difficulty or other consequences (including adverse tax consequences) of pledging such assets or perfecting a security interest therein shall be excessive in view of the benefits to be obtained by the lenders therefrom and (o) cash and cash equivalents, deposit accounts, commodities accounts and securities accounts (including securities entitlements and related assets) except to the extent constituting proceeds of Collateral; </w:t>
      </w:r>
      <w:r>
        <w:rPr>
          <w:rFonts w:ascii="Times New Roman;serif" w:hAnsi="Times New Roman;serif"/>
          <w:b w:val="false"/>
          <w:i/>
          <w:sz w:val="22"/>
        </w:rPr>
        <w:t>provided</w:t>
      </w:r>
      <w:r>
        <w:rPr>
          <w:rFonts w:ascii="Times New Roman;serif" w:hAnsi="Times New Roman;serif"/>
          <w:b w:val="false"/>
          <w:sz w:val="22"/>
        </w:rPr>
        <w:t xml:space="preserve">, however, that Excluded Assets shall not include any proceeds, substitutions or replacements of any Excluded Assets referred to in clauses (a) through (o) (unless such proceeds, substitutions or replacements would independently constitute Excluded Assets referred to in clauses (a) through (o)), (II) in relation to the relevant Issuer or Guarantor, any other excluded assets defined or described in any other Collateral Documents, as reasonably agreed between the Senior Credit Facilities Collateral Agent with respect to the corresponding requirement in the Senior Credit Facilities and the Company and (III) in relation to any Issuer or Guarantor organized in any jurisdiction other than the United States, any state thereof or the District of Columbia, any assets of, held by or relating to, such Issuer or Guarantor, which, in each case, do not fall within the assets expressly contemplated under the definition of Overriding Principle (as defined in the Agreed Security Principles) or are otherwise excluded in accordance with the Agreed Security Principles. Notwithstanding anything to the contrary herein (but subject to the Agreed Security Principles in the case of any Issuer or Guarantor organized in any jurisdiction other than the United States, any state thereof or the District of Columbia), the Collateral shall include (and Excluded Assets shall not include) all Satellite Collateral; </w:t>
      </w:r>
      <w:r>
        <w:rPr>
          <w:rFonts w:ascii="Times New Roman;serif" w:hAnsi="Times New Roman;serif"/>
          <w:b w:val="false"/>
          <w:i/>
          <w:sz w:val="22"/>
        </w:rPr>
        <w:t>provided</w:t>
      </w:r>
      <w:r>
        <w:rPr>
          <w:rFonts w:ascii="Times New Roman;serif" w:hAnsi="Times New Roman;serif"/>
          <w:b w:val="false"/>
          <w:sz w:val="22"/>
        </w:rPr>
        <w:t>, that the Collateral shall not include (and Excluded Assets shall include) any Satellite Collateral to the extent granting a security therein is contractually or legally prohibited, prevented by public policy or national security concern or requires governmental (including regulatory) consent, approval, license or authorization from any Governmental Authority.</w:t>
      </w:r>
    </w:p>
    <w:p>
      <w:pPr>
        <w:pStyle w:val="TextBody"/>
        <w:bidi w:val="0"/>
        <w:spacing w:before="0" w:after="240"/>
        <w:jc w:val="left"/>
        <w:rPr/>
      </w:pPr>
      <w:r>
        <w:rPr/>
        <w:t>“</w:t>
      </w:r>
      <w:r>
        <w:rPr>
          <w:rFonts w:ascii="Times New Roman;serif" w:hAnsi="Times New Roman;serif"/>
          <w:b w:val="false"/>
          <w:sz w:val="22"/>
          <w:u w:val="single"/>
        </w:rPr>
        <w:t>Excluded Contribution</w:t>
      </w:r>
      <w:r>
        <w:rPr>
          <w:rFonts w:ascii="Times New Roman" w:hAnsi="Times New Roman"/>
          <w:sz w:val="20"/>
        </w:rPr>
        <w:t xml:space="preserve">” </w:t>
      </w:r>
      <w:r>
        <w:rPr>
          <w:rFonts w:ascii="Times New Roman;serif" w:hAnsi="Times New Roman;serif"/>
          <w:b w:val="false"/>
          <w:sz w:val="22"/>
        </w:rPr>
        <w:t>means net cash proceeds, marketable securities or Qualified Proceeds received by the Company from:</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contributions to its common equity capital,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(2) the sale (other than to a Subsidiary of the Company or to any management equity plan or stock option plan or any other management or employee benefit plan or agreement of the Company) of Capital Stock (other than Disqualified Stock and Designated Preferred Stock) of the Company,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each case designated as Excluded Contributions, which are excluded from the calculation set forth in clause (3) of Section 4.07(a) hereof.</w:t>
      </w:r>
    </w:p>
    <w:p>
      <w:pPr>
        <w:pStyle w:val="TextBody"/>
        <w:bidi w:val="0"/>
        <w:spacing w:before="0" w:after="240"/>
        <w:jc w:val="left"/>
        <w:rPr/>
      </w:pPr>
      <w:r>
        <w:rPr/>
        <w:t>“</w:t>
      </w:r>
      <w:r>
        <w:rPr>
          <w:rFonts w:ascii="Times New Roman;serif" w:hAnsi="Times New Roman;serif"/>
          <w:b w:val="false"/>
          <w:sz w:val="22"/>
          <w:u w:val="single"/>
        </w:rPr>
        <w:t>Excluded Equity Interests</w:t>
      </w:r>
      <w:r>
        <w:rPr>
          <w:rFonts w:ascii="Times New Roman" w:hAnsi="Times New Roman"/>
          <w:sz w:val="20"/>
        </w:rPr>
        <w:t xml:space="preserve">” </w:t>
      </w:r>
      <w:r>
        <w:rPr>
          <w:rFonts w:ascii="Times New Roman;serif" w:hAnsi="Times New Roman;serif"/>
          <w:b w:val="false"/>
          <w:sz w:val="22"/>
        </w:rPr>
        <w:t>shall mean, in relation to any Issuer or Guarantor organized in the United States, any state thereof or the District of Columbia, (a) any of the outstanding voting Equity Interests or other voting ownership interests of any Subsidiary that is a CFC or Domestic Foreign Holdco in excess of 65.0% of all the voting Equity Interests or other voting ownership interests of such CFC or Domestic Foreign Holdco designated as having voting power, (b) any equity or other voting ownership interests in any Subsidiary that is not a first tier Subsidiary of any Issuer or a Guarantor, (c) any Equity Interests to the extent the pledge thereof would be prohibited or limited by any applicable requirement of law existing on the date hereof or on the date such Equity Interests are acquired by any Issuer or other Grantor or on the date the issuer of such Equity Interests is created other than to the extent that any such prohibition would be rendered ineffective pursuant to the applicable anti-assignment provisions in the Uniform Commercial Code of any applicable jurisdiction, (d) the Equity Interests of a Subsidiary (other than a Wholly Owned Subsidiary) the pledge of which would violate such Subsidiary’s organizational or joint venture documents that is binding on or relating to such Equity Interests after giving effect to the applicable anti-assignment provisions in the Uniform Commercial Code of any applicable jurisdiction, (e) the Equity Interests of any Unrestricted Subsidiaries and (f) the Equity Interests of any broker dealer or trust companies.</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Excluded Subsidiary</w:t>
      </w:r>
      <w:r>
        <w:rPr>
          <w:rFonts w:ascii="Times New Roman" w:hAnsi="Times New Roman"/>
          <w:sz w:val="20"/>
        </w:rPr>
        <w:t xml:space="preserve">” </w:t>
      </w:r>
      <w:r>
        <w:rPr>
          <w:rFonts w:ascii="Times New Roman;serif" w:hAnsi="Times New Roman;serif"/>
          <w:b w:val="false"/>
          <w:sz w:val="22"/>
        </w:rPr>
        <w:t>has the meaning set forth in Section 1.01 of the Senior Credit Facilities Agreement, as applied mutatis mutandis with respect to the Notes in good faith by the Issuers.</w:t>
      </w:r>
    </w:p>
    <w:p>
      <w:pPr>
        <w:pStyle w:val="TextBody"/>
        <w:bidi w:val="0"/>
        <w:spacing w:before="0" w:after="240"/>
        <w:jc w:val="left"/>
        <w:rPr/>
      </w:pPr>
      <w:r>
        <w:rPr/>
        <w:t>“</w:t>
      </w:r>
      <w:r>
        <w:rPr>
          <w:rFonts w:ascii="Times New Roman;serif" w:hAnsi="Times New Roman;serif"/>
          <w:b w:val="false"/>
          <w:sz w:val="22"/>
          <w:u w:val="single"/>
        </w:rPr>
        <w:t>fair market value</w:t>
      </w:r>
      <w:r>
        <w:rPr>
          <w:rFonts w:ascii="Times New Roman" w:hAnsi="Times New Roman"/>
          <w:sz w:val="20"/>
        </w:rPr>
        <w:t xml:space="preserve">” </w:t>
      </w:r>
      <w:r>
        <w:rPr>
          <w:rFonts w:ascii="Times New Roman;serif" w:hAnsi="Times New Roman;serif"/>
          <w:b w:val="false"/>
          <w:sz w:val="22"/>
        </w:rPr>
        <w:t>means, with respect to any asset or liability, the fair market value of such asset or liability as determined by the Company in good faith.</w:t>
      </w:r>
    </w:p>
    <w:p>
      <w:pPr>
        <w:pStyle w:val="TextBody"/>
        <w:bidi w:val="0"/>
        <w:spacing w:before="0" w:after="240"/>
        <w:jc w:val="left"/>
        <w:rPr/>
      </w:pPr>
      <w:r>
        <w:rPr/>
        <w:t>“</w:t>
      </w:r>
      <w:r>
        <w:rPr>
          <w:rFonts w:ascii="Times New Roman;serif" w:hAnsi="Times New Roman;serif"/>
          <w:b w:val="false"/>
          <w:sz w:val="22"/>
          <w:u w:val="single"/>
        </w:rPr>
        <w:t>Fitch</w:t>
      </w:r>
      <w:r>
        <w:rPr>
          <w:rFonts w:ascii="Times New Roman" w:hAnsi="Times New Roman"/>
          <w:sz w:val="20"/>
        </w:rPr>
        <w:t xml:space="preserve">” </w:t>
      </w:r>
      <w:r>
        <w:rPr>
          <w:rFonts w:ascii="Times New Roman;serif" w:hAnsi="Times New Roman;serif"/>
          <w:b w:val="false"/>
          <w:sz w:val="22"/>
        </w:rPr>
        <w:t>means Fitch, Inc., or any successor to its rating agency business.</w:t>
      </w:r>
    </w:p>
    <w:p>
      <w:pPr>
        <w:pStyle w:val="TextBody"/>
        <w:bidi w:val="0"/>
        <w:spacing w:before="0" w:after="240"/>
        <w:jc w:val="left"/>
        <w:rPr/>
      </w:pPr>
      <w:r>
        <w:rPr/>
        <w:t>“</w:t>
      </w:r>
      <w:r>
        <w:rPr>
          <w:rFonts w:ascii="Times New Roman;serif" w:hAnsi="Times New Roman;serif"/>
          <w:b w:val="false"/>
          <w:sz w:val="22"/>
          <w:u w:val="single"/>
        </w:rPr>
        <w:t>Fixed Charge Coverage Ratio</w:t>
      </w:r>
      <w:r>
        <w:rPr>
          <w:rFonts w:ascii="Times New Roman" w:hAnsi="Times New Roman"/>
          <w:sz w:val="20"/>
        </w:rPr>
        <w:t xml:space="preserve">” </w:t>
      </w:r>
      <w:r>
        <w:rPr>
          <w:rFonts w:ascii="Times New Roman;serif" w:hAnsi="Times New Roman;serif"/>
          <w:b w:val="false"/>
          <w:sz w:val="22"/>
        </w:rPr>
        <w:t>means, with respect to any Person for any period, the ratio of Consolidated EBITDA of such Person for such period to the Fixed Charges of such Person for such period. In the event that the Company or any Restricted Subsidiary incurs, assumes, guarantees, redeems (or gives irrevocable notice of redemption for), repays, retires or extinguishes any Indebtedness (other than Indebtedness incurred or repaid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serif" w:hAnsi="Times New Roman;serif"/>
          <w:b w:val="false"/>
          <w:sz w:val="22"/>
          <w:u w:val="single"/>
        </w:rPr>
        <w:t>Fixed Charge Coverage Ratio Calculation Date</w:t>
      </w:r>
      <w:r>
        <w:rPr>
          <w:rFonts w:ascii="Times New Roman" w:hAnsi="Times New Roman"/>
          <w:sz w:val="20"/>
        </w:rPr>
        <w:t>”</w:t>
      </w:r>
      <w:r>
        <w:rPr>
          <w:rFonts w:ascii="Times New Roman;serif" w:hAnsi="Times New Roman;serif"/>
          <w:b w:val="false"/>
          <w:sz w:val="22"/>
        </w:rPr>
        <w:t xml:space="preserve">), then the Fixed Charge Coverage Ratio shall be calculated giving </w:t>
      </w:r>
      <w:r>
        <w:rPr>
          <w:rFonts w:ascii="Times New Roman;serif" w:hAnsi="Times New Roman;serif"/>
          <w:b w:val="false"/>
          <w:sz w:val="22"/>
          <w:u w:val="single"/>
        </w:rPr>
        <w:t>pro</w:t>
      </w:r>
      <w:r>
        <w:rPr>
          <w:rFonts w:ascii="Times New Roman" w:hAnsi="Times New Roman"/>
          <w:sz w:val="20"/>
        </w:rPr>
        <w:t xml:space="preserve"> </w:t>
      </w:r>
      <w:r>
        <w:rPr>
          <w:rFonts w:ascii="Times New Roman;serif" w:hAnsi="Times New Roman;serif"/>
          <w:b w:val="false"/>
          <w:sz w:val="22"/>
          <w:u w:val="single"/>
        </w:rPr>
        <w:t>forma</w:t>
      </w:r>
      <w:r>
        <w:rPr>
          <w:rFonts w:ascii="Times New Roman" w:hAnsi="Times New Roman"/>
          <w:sz w:val="20"/>
        </w:rPr>
        <w:t xml:space="preserve"> </w:t>
      </w:r>
      <w:r>
        <w:rPr>
          <w:rFonts w:ascii="Times New Roman;serif" w:hAnsi="Times New Roman;serif"/>
          <w:b w:val="false"/>
          <w:sz w:val="22"/>
        </w:rPr>
        <w:t>effect to such incurrence, assumption, guarantee, redemption (including as contemplated by any such irrevocable notice of redemption), repayment, retirement or extinguishment of Indebtedness, or such issuance or redemption of Disqualified Stock or Preferred Stock, as if the same had occurred at the beginning of the applicable four-quarter period.</w:t>
      </w:r>
    </w:p>
    <w:p>
      <w:pPr>
        <w:pStyle w:val="TextBody"/>
        <w:bidi w:val="0"/>
        <w:spacing w:before="0" w:after="240"/>
        <w:jc w:val="left"/>
        <w:rPr>
          <w:rFonts w:ascii="Times New Roman" w:hAnsi="Times New Roman"/>
          <w:sz w:val="20"/>
        </w:rPr>
      </w:pPr>
      <w:r>
        <w:rPr>
          <w:rFonts w:ascii="Times New Roman;serif" w:hAnsi="Times New Roman;serif"/>
          <w:b w:val="false"/>
          <w:sz w:val="22"/>
        </w:rPr>
        <w:t>Notwithstanding anything to the contrary herein, in the event an item of Indebtedness (or any portion thereof) is incurred or issued, any Lien is incurred or other transaction is undertaken in reliance on a ratio basket based on the Fixed Charge Coverage Ratio, Senior Secured First Lien Net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Leverage Ratio, Senior Secured Net Leverage Ratio or Total Net Leverage Ratio, such ratio(s) shall be calculated with respect to such incurrence, issuance or other transaction without giving effect to amounts being utilized under any other basket (other than a ratio basket based on the Fixed Charge Coverage Ratio, Senior Secured First Lien Net Leverage Ratio, Senior Secured Net Leverage Ratio or Total Net Leverage Ratio) on the same date. Each item of Indebtedness that is incurred or issued, each Lien incurred and each other transaction undertaken will be deemed to have been incurred, issued or taken first, to the extent available, pursuant to the relevant Fixed Charge Coverage Ratio, Senior Secured First Lien Net Leverage Ratio, Senior Secured Net Leverage Ratio or Total Net Leverage Ratio test.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anything to the contrary herein, in the event an item of Indebtedness (or any portion thereof) is incurred or issued, any Lien is incurred or other transaction is undertaken in reliance on a ratio basket based on a Fixed Charge Coverage Ratio, Senior Secured First Lien Net Leverage Ratio, Senior Secured Net Leverage Ratio or Total Net Leverage Ratio, such ratio(s) shall be calculated without regard to the incurrence of any Indebtedness under any revolving facility or letter of credit facility (1) immediately prior to or in connection therewith or (2) used to finance working capital needs of the Company and its 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This Indenture provides that any calculation or measure that is determined with reference to the Company’s financial statements (including Consolidated EBITDA, Consolidated Interest Expense, Consolidated Net Income, Fixed Charges, Fixed Charge Coverage Ratio, Senior Secured First Lien Net Leverage Ratio, Senior Secured Net Leverage Ratio and Total Net Leverage Ratio) may be determined with reference to the financial statements of a parent entity instead, so long as such parent entity does not hold any material assets other than, directly or indirectly, the Capital Stock of the Company.</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For purposes of making the computation referred to in the paragraph above, Investments, acquisitions, dispositions, mergers, consolidations and disposed operations (as determined in accordance with IFRS) that have been made by the Company or any of its Restricted Subsidiaries during the four-quarter reference period or subsequent to such reference period and on or prior to or simultaneously with the Fixed Charge Coverage Ratio Calculation Date shall be calculated on a </w:t>
      </w:r>
      <w:r>
        <w:rPr>
          <w:rFonts w:ascii="Times New Roman;serif" w:hAnsi="Times New Roman;serif"/>
          <w:b w:val="false"/>
          <w:sz w:val="22"/>
          <w:u w:val="single"/>
        </w:rPr>
        <w:t>pro</w:t>
      </w:r>
      <w:r>
        <w:rPr>
          <w:rFonts w:ascii="Times New Roman" w:hAnsi="Times New Roman"/>
          <w:sz w:val="20"/>
        </w:rPr>
        <w:t xml:space="preserve"> </w:t>
      </w:r>
      <w:r>
        <w:rPr>
          <w:rFonts w:ascii="Times New Roman;serif" w:hAnsi="Times New Roman;serif"/>
          <w:b w:val="false"/>
          <w:sz w:val="22"/>
          <w:u w:val="single"/>
        </w:rPr>
        <w:t>forma</w:t>
      </w:r>
      <w:r>
        <w:rPr>
          <w:rFonts w:ascii="Times New Roman" w:hAnsi="Times New Roman"/>
          <w:sz w:val="20"/>
        </w:rPr>
        <w:t xml:space="preserve"> </w:t>
      </w:r>
      <w:r>
        <w:rPr>
          <w:rFonts w:ascii="Times New Roman;serif" w:hAnsi="Times New Roman;serif"/>
          <w:b w:val="false"/>
          <w:sz w:val="22"/>
        </w:rPr>
        <w:t xml:space="preserve">basis assuming that all such Investments, acquisitions, dispositions, mergers, consolidations and disposed operations (and the change in any associated fixed charge obligations and the change in Consolidated EBITDA resulting therefrom) had occurred on the first day of the four-quarter reference period; </w:t>
      </w:r>
      <w:r>
        <w:rPr>
          <w:rFonts w:ascii="Times New Roman;serif" w:hAnsi="Times New Roman;serif"/>
          <w:b w:val="false"/>
          <w:i/>
          <w:sz w:val="22"/>
        </w:rPr>
        <w:t>provided</w:t>
      </w:r>
      <w:r>
        <w:rPr>
          <w:rFonts w:ascii="Times New Roman;serif" w:hAnsi="Times New Roman;serif"/>
          <w:b w:val="false"/>
          <w:sz w:val="22"/>
        </w:rPr>
        <w:t xml:space="preserve">, that at the election of the Company, no such pro forma adjustment to Consolidated EBITDA shall be required in respect of any such transaction to the extent the aggregate consideration in connection therewith was less than $375.0 million for the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operation that would have required adjustment pursuant to this definition, then the Fixed Charge Coverage Ratio shall be calculated giving </w:t>
      </w:r>
      <w:r>
        <w:rPr>
          <w:rFonts w:ascii="Times New Roman;serif" w:hAnsi="Times New Roman;serif"/>
          <w:b w:val="false"/>
          <w:sz w:val="22"/>
          <w:u w:val="single"/>
        </w:rPr>
        <w:t>pro</w:t>
      </w:r>
      <w:r>
        <w:rPr>
          <w:rFonts w:ascii="Times New Roman" w:hAnsi="Times New Roman"/>
          <w:sz w:val="20"/>
        </w:rPr>
        <w:t xml:space="preserve"> </w:t>
      </w:r>
      <w:r>
        <w:rPr>
          <w:rFonts w:ascii="Times New Roman;serif" w:hAnsi="Times New Roman;serif"/>
          <w:b w:val="false"/>
          <w:sz w:val="22"/>
          <w:u w:val="single"/>
        </w:rPr>
        <w:t>forma</w:t>
      </w:r>
      <w:r>
        <w:rPr>
          <w:rFonts w:ascii="Times New Roman" w:hAnsi="Times New Roman"/>
          <w:sz w:val="20"/>
        </w:rPr>
        <w:t xml:space="preserve"> </w:t>
      </w:r>
      <w:r>
        <w:rPr>
          <w:rFonts w:ascii="Times New Roman;serif" w:hAnsi="Times New Roman;serif"/>
          <w:b w:val="false"/>
          <w:sz w:val="22"/>
        </w:rPr>
        <w:t>effect thereto for such period as if such Investment, acquisition, disposition, merger, consolidation or disposed operation had occurred at the beginning of the applicable four-quarter period (subject to the threshold specified in the previous sentence).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For purposes of this definition, whenever </w:t>
      </w:r>
      <w:r>
        <w:rPr>
          <w:rFonts w:ascii="Times New Roman;serif" w:hAnsi="Times New Roman;serif"/>
          <w:b w:val="false"/>
          <w:sz w:val="22"/>
          <w:u w:val="single"/>
        </w:rPr>
        <w:t>pro forma</w:t>
      </w:r>
      <w:r>
        <w:rPr>
          <w:rFonts w:ascii="Times New Roman" w:hAnsi="Times New Roman"/>
          <w:sz w:val="20"/>
        </w:rPr>
        <w:t xml:space="preserve"> </w:t>
      </w:r>
      <w:r>
        <w:rPr>
          <w:rFonts w:ascii="Times New Roman;serif" w:hAnsi="Times New Roman;serif"/>
          <w:b w:val="false"/>
          <w:sz w:val="22"/>
        </w:rPr>
        <w:t xml:space="preserve">effect is to be given to a transaction, the </w:t>
      </w:r>
      <w:r>
        <w:rPr>
          <w:rFonts w:ascii="Times New Roman;serif" w:hAnsi="Times New Roman;serif"/>
          <w:b w:val="false"/>
          <w:sz w:val="22"/>
          <w:u w:val="single"/>
        </w:rPr>
        <w:t>pro forma</w:t>
      </w:r>
      <w:r>
        <w:rPr>
          <w:rFonts w:ascii="Times New Roman" w:hAnsi="Times New Roman"/>
          <w:sz w:val="20"/>
        </w:rPr>
        <w:t xml:space="preserve"> </w:t>
      </w:r>
      <w:r>
        <w:rPr>
          <w:rFonts w:ascii="Times New Roman;serif" w:hAnsi="Times New Roman;serif"/>
          <w:b w:val="false"/>
          <w:sz w:val="22"/>
        </w:rPr>
        <w:t xml:space="preserve">calculations shall be made in good faith by the Company (and may include, for the avoidance of doubt, reasonably identifiable and factually supportable cost savings, operating improvements, synergies, revenue enhancements and operating expense reductions resulting from such transactions that have been or are expected to be realized). If any Indebtedness bears a floating rate of interest and is being given </w:t>
      </w:r>
      <w:r>
        <w:rPr>
          <w:rFonts w:ascii="Times New Roman;serif" w:hAnsi="Times New Roman;serif"/>
          <w:b w:val="false"/>
          <w:sz w:val="22"/>
          <w:u w:val="single"/>
        </w:rPr>
        <w:t>pro forma</w:t>
      </w:r>
      <w:r>
        <w:rPr>
          <w:rFonts w:ascii="Times New Roman" w:hAnsi="Times New Roman"/>
          <w:sz w:val="20"/>
        </w:rPr>
        <w:t xml:space="preserve"> </w:t>
      </w:r>
      <w:r>
        <w:rPr>
          <w:rFonts w:ascii="Times New Roman;serif" w:hAnsi="Times New Roman;serif"/>
          <w:b w:val="false"/>
          <w:sz w:val="22"/>
        </w:rPr>
        <w:t>effect, the interest on such Indebtedness shall be calculated as if the rate in effect on the Fixed Charge Coverage Ratio Calculation Date had been the applicable rate for the entire period (taking into account any Hedging Obligations applicable to such Indebtedness). Interest 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Capitalized Lease Obligation shall be deemed to accrue at an interest rate reasonably determined by the Company to be the rate of interest implicit in such Capitalized Lease Obligation in accordance with IFRS. For purposes of making the computation referred to above, interest on any Indebtedness under a revolving credit facility computed on a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Company may designate.</w:t>
      </w:r>
    </w:p>
    <w:p>
      <w:pPr>
        <w:pStyle w:val="TextBody"/>
        <w:bidi w:val="0"/>
        <w:spacing w:before="0" w:after="240"/>
        <w:jc w:val="left"/>
        <w:rPr/>
      </w:pPr>
      <w:r>
        <w:rPr/>
        <w:t>“</w:t>
      </w:r>
      <w:r>
        <w:rPr>
          <w:rFonts w:ascii="Times New Roman;serif" w:hAnsi="Times New Roman;serif"/>
          <w:b w:val="false"/>
          <w:sz w:val="22"/>
          <w:u w:val="single"/>
        </w:rPr>
        <w:t>Fixed Charges</w:t>
      </w:r>
      <w:r>
        <w:rPr>
          <w:rFonts w:ascii="Times New Roman" w:hAnsi="Times New Roman"/>
          <w:sz w:val="20"/>
        </w:rPr>
        <w:t xml:space="preserve">” </w:t>
      </w:r>
      <w:r>
        <w:rPr>
          <w:rFonts w:ascii="Times New Roman;serif" w:hAnsi="Times New Roman;serif"/>
          <w:b w:val="false"/>
          <w:sz w:val="22"/>
        </w:rPr>
        <w:t>means, with respect to any Person for any period, the sum, without duplication, 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Consolidated Interest Expense of such Person for such period;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all cash dividends or other distributions paid (excluding items eliminated in consolidation) on any series of Preferred Stock of any Restricted Subsidiary during such period;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all cash dividends or other distributions paid (excluding items eliminated in consolidation) on any series of Disqualified Stock during such period.</w:t>
      </w:r>
    </w:p>
    <w:p>
      <w:pPr>
        <w:pStyle w:val="TextBody"/>
        <w:bidi w:val="0"/>
        <w:spacing w:before="0" w:after="240"/>
        <w:jc w:val="left"/>
        <w:rPr/>
      </w:pPr>
      <w:r>
        <w:rPr/>
        <w:t>“</w:t>
      </w:r>
      <w:r>
        <w:rPr>
          <w:rFonts w:ascii="Times New Roman;serif" w:hAnsi="Times New Roman;serif"/>
          <w:b w:val="false"/>
          <w:sz w:val="22"/>
          <w:u w:val="single"/>
        </w:rPr>
        <w:t>Foreign Subsidiary</w:t>
      </w:r>
      <w:r>
        <w:rPr>
          <w:rFonts w:ascii="Times New Roman" w:hAnsi="Times New Roman"/>
          <w:sz w:val="20"/>
        </w:rPr>
        <w:t xml:space="preserve">” </w:t>
      </w:r>
      <w:r>
        <w:rPr>
          <w:rFonts w:ascii="Times New Roman;serif" w:hAnsi="Times New Roman;serif"/>
          <w:b w:val="false"/>
          <w:sz w:val="22"/>
        </w:rPr>
        <w:t>means, with respect to any Person, any Restricted Subsidiary of such Person that is not organized or existing under the laws of the United States, any state thereof, the District of Columbia, or any territory thereof and any Restricted Subsidiary of such Foreign Subsidiary.</w:t>
      </w:r>
    </w:p>
    <w:p>
      <w:pPr>
        <w:pStyle w:val="TextBody"/>
        <w:bidi w:val="0"/>
        <w:spacing w:before="0" w:after="240"/>
        <w:jc w:val="left"/>
        <w:rPr/>
      </w:pPr>
      <w:r>
        <w:rPr/>
        <w:t>“</w:t>
      </w:r>
      <w:r>
        <w:rPr>
          <w:rFonts w:ascii="Times New Roman;serif" w:hAnsi="Times New Roman;serif"/>
          <w:b w:val="false"/>
          <w:sz w:val="22"/>
          <w:u w:val="single"/>
        </w:rPr>
        <w:t>Global Note Legend</w:t>
      </w:r>
      <w:r>
        <w:rPr>
          <w:rFonts w:ascii="Times New Roman" w:hAnsi="Times New Roman"/>
          <w:sz w:val="20"/>
        </w:rPr>
        <w:t xml:space="preserve">” </w:t>
      </w:r>
      <w:r>
        <w:rPr>
          <w:rFonts w:ascii="Times New Roman;serif" w:hAnsi="Times New Roman;serif"/>
          <w:b w:val="false"/>
          <w:sz w:val="22"/>
        </w:rPr>
        <w:t>means the legend set forth in Section 2.06(g)(ii) hereof, which is required to be placed on all Global Notes issued under this Indenture.</w:t>
      </w:r>
    </w:p>
    <w:p>
      <w:pPr>
        <w:pStyle w:val="TextBody"/>
        <w:bidi w:val="0"/>
        <w:spacing w:before="0" w:after="240"/>
        <w:jc w:val="left"/>
        <w:rPr/>
      </w:pPr>
      <w:r>
        <w:rPr/>
        <w:t>“</w:t>
      </w:r>
      <w:r>
        <w:rPr>
          <w:rFonts w:ascii="Times New Roman;serif" w:hAnsi="Times New Roman;serif"/>
          <w:b w:val="false"/>
          <w:sz w:val="22"/>
          <w:u w:val="single"/>
        </w:rPr>
        <w:t>Global Notes</w:t>
      </w:r>
      <w:r>
        <w:rPr>
          <w:rFonts w:ascii="Times New Roman" w:hAnsi="Times New Roman"/>
          <w:sz w:val="20"/>
        </w:rPr>
        <w:t xml:space="preserve">” </w:t>
      </w:r>
      <w:r>
        <w:rPr>
          <w:rFonts w:ascii="Times New Roman;serif" w:hAnsi="Times New Roman;serif"/>
          <w:b w:val="false"/>
          <w:sz w:val="22"/>
        </w:rPr>
        <w:t xml:space="preserve">means, individually and collectively, each of the Restricted Global Notes and the Unrestricted Global Notes,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issued in accordance with Section 2.01, 2.06(b) or 2.06(d) hereof.</w:t>
      </w:r>
    </w:p>
    <w:p>
      <w:pPr>
        <w:pStyle w:val="TextBody"/>
        <w:bidi w:val="0"/>
        <w:spacing w:before="0" w:after="240"/>
        <w:jc w:val="left"/>
        <w:rPr/>
      </w:pPr>
      <w:r>
        <w:rPr/>
        <w:t>“</w:t>
      </w:r>
      <w:r>
        <w:rPr>
          <w:rFonts w:ascii="Times New Roman;serif" w:hAnsi="Times New Roman;serif"/>
          <w:b w:val="false"/>
          <w:sz w:val="22"/>
          <w:u w:val="single"/>
        </w:rPr>
        <w:t>Government Securities</w:t>
      </w:r>
      <w:r>
        <w:rPr>
          <w:rFonts w:ascii="Times New Roman" w:hAnsi="Times New Roman"/>
          <w:sz w:val="20"/>
        </w:rPr>
        <w:t xml:space="preserve">” </w:t>
      </w:r>
      <w:r>
        <w:rPr>
          <w:rFonts w:ascii="Times New Roman;serif" w:hAnsi="Times New Roman;serif"/>
          <w:b w:val="false"/>
          <w:sz w:val="22"/>
        </w:rPr>
        <w:t>means securities that are: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direct obligations of the United States of America for the timely payment of which its full faith and credit is pledged;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obligations of a Person controlled or supervised by and acting as an agency or instrumentality of the United States of America the timely payment of which is unconditionally guaranteed as a full faith and credit obligation by the United States of America,</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which, in either case, are not callable or redeemable at the option of the Company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serif" w:hAnsi="Times New Roman;serif"/>
          <w:b w:val="false"/>
          <w:i/>
          <w:sz w:val="22"/>
        </w:rPr>
        <w:t>provided</w:t>
      </w:r>
      <w:r>
        <w:rPr>
          <w:rFonts w:ascii="Times New Roman;serif" w:hAnsi="Times New Roman;serif"/>
          <w:b w:val="false"/>
          <w:sz w:val="22"/>
        </w:rPr>
        <w:t>,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Governmental Authority</w:t>
      </w:r>
      <w:r>
        <w:rPr>
          <w:rFonts w:ascii="Times New Roman" w:hAnsi="Times New Roman"/>
          <w:sz w:val="20"/>
        </w:rPr>
        <w:t xml:space="preserve">” </w:t>
      </w:r>
      <w:r>
        <w:rPr>
          <w:rFonts w:ascii="Times New Roman;serif" w:hAnsi="Times New Roman;serif"/>
          <w:b w:val="false"/>
          <w:sz w:val="22"/>
        </w:rPr>
        <w:t>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pStyle w:val="TextBody"/>
        <w:bidi w:val="0"/>
        <w:spacing w:before="0" w:after="240"/>
        <w:jc w:val="left"/>
        <w:rPr/>
      </w:pPr>
      <w:r>
        <w:rPr/>
        <w:t>“</w:t>
      </w:r>
      <w:r>
        <w:rPr>
          <w:rFonts w:ascii="Times New Roman;serif" w:hAnsi="Times New Roman;serif"/>
          <w:b w:val="false"/>
          <w:sz w:val="22"/>
          <w:u w:val="single"/>
        </w:rPr>
        <w:t>Grantors</w:t>
      </w:r>
      <w:r>
        <w:rPr>
          <w:rFonts w:ascii="Times New Roman" w:hAnsi="Times New Roman"/>
          <w:sz w:val="20"/>
        </w:rPr>
        <w:t xml:space="preserve">” </w:t>
      </w:r>
      <w:r>
        <w:rPr>
          <w:rFonts w:ascii="Times New Roman;serif" w:hAnsi="Times New Roman;serif"/>
          <w:b w:val="false"/>
          <w:sz w:val="22"/>
        </w:rPr>
        <w:t>means the Luxembourg Issuer, the U.S. Issuer, the Guarantors and any future Guarantor that becomes a party to the Notes Security Agreement.</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guarantee</w:t>
      </w:r>
      <w:r>
        <w:rPr>
          <w:rFonts w:ascii="Times New Roman" w:hAnsi="Times New Roman"/>
          <w:sz w:val="20"/>
        </w:rPr>
        <w:t xml:space="preserve">” </w:t>
      </w:r>
      <w:r>
        <w:rPr>
          <w:rFonts w:ascii="Times New Roman;serif" w:hAnsi="Times New Roman;serif"/>
          <w:b w:val="false"/>
          <w:sz w:val="22"/>
        </w:rPr>
        <w:t>means a guarantee (other than by endorsement of negotiable instruments for collection in the ordinary course of business), direct or indirect, in any manner (including letters of credit and reimbursement agreements in respect thereof), of all or any part of any Indebtedness or other monetary obligations.</w:t>
      </w:r>
    </w:p>
    <w:p>
      <w:pPr>
        <w:pStyle w:val="TextBody"/>
        <w:bidi w:val="0"/>
        <w:spacing w:before="0" w:after="240"/>
        <w:jc w:val="left"/>
        <w:rPr/>
      </w:pPr>
      <w:r>
        <w:rPr/>
        <w:t>“</w:t>
      </w:r>
      <w:r>
        <w:rPr>
          <w:rFonts w:ascii="Times New Roman;serif" w:hAnsi="Times New Roman;serif"/>
          <w:b w:val="false"/>
          <w:sz w:val="22"/>
          <w:u w:val="single"/>
        </w:rPr>
        <w:t>Guarantee</w:t>
      </w:r>
      <w:r>
        <w:rPr>
          <w:rFonts w:ascii="Times New Roman" w:hAnsi="Times New Roman"/>
          <w:sz w:val="20"/>
        </w:rPr>
        <w:t xml:space="preserve">” </w:t>
      </w:r>
      <w:r>
        <w:rPr>
          <w:rFonts w:ascii="Times New Roman;serif" w:hAnsi="Times New Roman;serif"/>
          <w:b w:val="false"/>
          <w:sz w:val="22"/>
        </w:rPr>
        <w:t>means the guarantee by any Guarantor of the Issuer’s Obligations under this Indenture.</w:t>
      </w:r>
    </w:p>
    <w:p>
      <w:pPr>
        <w:pStyle w:val="TextBody"/>
        <w:bidi w:val="0"/>
        <w:spacing w:before="0" w:after="240"/>
        <w:jc w:val="left"/>
        <w:rPr/>
      </w:pPr>
      <w:r>
        <w:rPr/>
        <w:t>“</w:t>
      </w:r>
      <w:r>
        <w:rPr>
          <w:rFonts w:ascii="Times New Roman;serif" w:hAnsi="Times New Roman;serif"/>
          <w:b w:val="false"/>
          <w:sz w:val="22"/>
          <w:u w:val="single"/>
        </w:rPr>
        <w:t>Guarantor</w:t>
      </w:r>
      <w:r>
        <w:rPr>
          <w:rFonts w:ascii="Times New Roman" w:hAnsi="Times New Roman"/>
          <w:sz w:val="20"/>
        </w:rPr>
        <w:t xml:space="preserve">” </w:t>
      </w:r>
      <w:r>
        <w:rPr>
          <w:rFonts w:ascii="Times New Roman;serif" w:hAnsi="Times New Roman;serif"/>
          <w:b w:val="false"/>
          <w:sz w:val="22"/>
        </w:rPr>
        <w:t>means Holdings, the Company and each Restricted Subsidiary that Guarantees the Notes in accordance with the terms of this Indenture.</w:t>
      </w:r>
    </w:p>
    <w:p>
      <w:pPr>
        <w:pStyle w:val="TextBody"/>
        <w:bidi w:val="0"/>
        <w:spacing w:before="0" w:after="240"/>
        <w:jc w:val="left"/>
        <w:rPr/>
      </w:pPr>
      <w:r>
        <w:rPr/>
        <w:t>“</w:t>
      </w:r>
      <w:r>
        <w:rPr>
          <w:rFonts w:ascii="Times New Roman;serif" w:hAnsi="Times New Roman;serif"/>
          <w:b w:val="false"/>
          <w:sz w:val="22"/>
          <w:u w:val="single"/>
        </w:rPr>
        <w:t>Hedging Obligations</w:t>
      </w:r>
      <w:r>
        <w:rPr>
          <w:rFonts w:ascii="Times New Roman" w:hAnsi="Times New Roman"/>
          <w:sz w:val="20"/>
        </w:rPr>
        <w:t xml:space="preserve">” </w:t>
      </w:r>
      <w:r>
        <w:rPr>
          <w:rFonts w:ascii="Times New Roman;serif" w:hAnsi="Times New Roman;serif"/>
          <w:b w:val="false"/>
          <w:sz w:val="22"/>
        </w:rPr>
        <w:t>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or currency risks either generally or under specific contingencies.</w:t>
      </w:r>
    </w:p>
    <w:p>
      <w:pPr>
        <w:pStyle w:val="TextBody"/>
        <w:bidi w:val="0"/>
        <w:spacing w:before="0" w:after="240"/>
        <w:jc w:val="left"/>
        <w:rPr/>
      </w:pPr>
      <w:r>
        <w:rPr/>
        <w:t>“</w:t>
      </w:r>
      <w:r>
        <w:rPr>
          <w:rFonts w:ascii="Times New Roman;serif" w:hAnsi="Times New Roman;serif"/>
          <w:b w:val="false"/>
          <w:sz w:val="22"/>
          <w:u w:val="single"/>
        </w:rPr>
        <w:t>Holder</w:t>
      </w:r>
      <w:r>
        <w:rPr>
          <w:rFonts w:ascii="Times New Roman" w:hAnsi="Times New Roman"/>
          <w:sz w:val="20"/>
        </w:rPr>
        <w:t xml:space="preserve">” </w:t>
      </w:r>
      <w:r>
        <w:rPr>
          <w:rFonts w:ascii="Times New Roman;serif" w:hAnsi="Times New Roman;serif"/>
          <w:b w:val="false"/>
          <w:sz w:val="22"/>
        </w:rPr>
        <w:t>means the Person in whose name a Note is registered on the Registrar’s books.</w:t>
      </w:r>
    </w:p>
    <w:p>
      <w:pPr>
        <w:pStyle w:val="TextBody"/>
        <w:bidi w:val="0"/>
        <w:spacing w:before="0" w:after="240"/>
        <w:jc w:val="left"/>
        <w:rPr/>
      </w:pPr>
      <w:r>
        <w:rPr/>
        <w:t>“</w:t>
      </w:r>
      <w:r>
        <w:rPr>
          <w:rFonts w:ascii="Times New Roman;serif" w:hAnsi="Times New Roman;serif"/>
          <w:b w:val="false"/>
          <w:sz w:val="22"/>
          <w:u w:val="single"/>
        </w:rPr>
        <w:t>Holdings</w:t>
      </w:r>
      <w:r>
        <w:rPr>
          <w:rFonts w:ascii="Times New Roman" w:hAnsi="Times New Roman"/>
          <w:sz w:val="20"/>
        </w:rPr>
        <w:t xml:space="preserve">” </w:t>
      </w:r>
      <w:r>
        <w:rPr>
          <w:rFonts w:ascii="Times New Roman;serif" w:hAnsi="Times New Roman;serif"/>
          <w:b w:val="false"/>
          <w:sz w:val="22"/>
        </w:rPr>
        <w:t>means Connect Midco Limited, a private limited liability company incorporated under the laws of Guernsey.</w:t>
      </w:r>
    </w:p>
    <w:p>
      <w:pPr>
        <w:pStyle w:val="TextBody"/>
        <w:bidi w:val="0"/>
        <w:spacing w:before="0" w:after="240"/>
        <w:jc w:val="left"/>
        <w:rPr/>
      </w:pPr>
      <w:r>
        <w:rPr/>
        <w:t>“</w:t>
      </w:r>
      <w:r>
        <w:rPr>
          <w:rFonts w:ascii="Times New Roman;serif" w:hAnsi="Times New Roman;serif"/>
          <w:b w:val="false"/>
          <w:sz w:val="22"/>
          <w:u w:val="single"/>
        </w:rPr>
        <w:t>IFRS</w:t>
      </w:r>
      <w:r>
        <w:rPr>
          <w:rFonts w:ascii="Times New Roman" w:hAnsi="Times New Roman"/>
          <w:sz w:val="20"/>
        </w:rPr>
        <w:t xml:space="preserve">” </w:t>
      </w:r>
      <w:r>
        <w:rPr>
          <w:rFonts w:ascii="Times New Roman;serif" w:hAnsi="Times New Roman;serif"/>
          <w:b w:val="false"/>
          <w:sz w:val="22"/>
        </w:rPr>
        <w:t xml:space="preserve">means the International Financial Reporting Standards of the International Accounting Standards Board, as adopted by the European Union. At any time after the Issue Date, the Company may elect to apply IFRS accounting principles in lieu of IFRS and, upon any such election, references herein to IFRS shall thereafter be construed to mean IFRS (except as otherwise provided in this Indenture); </w:t>
      </w:r>
      <w:r>
        <w:rPr>
          <w:rFonts w:ascii="Times New Roman;serif" w:hAnsi="Times New Roman;serif"/>
          <w:b w:val="false"/>
          <w:i/>
          <w:sz w:val="22"/>
        </w:rPr>
        <w:t>provided</w:t>
      </w:r>
      <w:r>
        <w:rPr>
          <w:rFonts w:ascii="Times New Roman;serif" w:hAnsi="Times New Roman;serif"/>
          <w:b w:val="false"/>
          <w:sz w:val="22"/>
        </w:rPr>
        <w:t xml:space="preserve">, that any such election, once made, shall be irrevocable; </w:t>
      </w:r>
      <w:r>
        <w:rPr>
          <w:rFonts w:ascii="Times New Roman;serif" w:hAnsi="Times New Roman;serif"/>
          <w:b w:val="false"/>
          <w:i/>
          <w:sz w:val="22"/>
        </w:rPr>
        <w:t>provided, further</w:t>
      </w:r>
      <w:r>
        <w:rPr>
          <w:rFonts w:ascii="Times New Roman;serif" w:hAnsi="Times New Roman;serif"/>
          <w:b w:val="false"/>
          <w:sz w:val="22"/>
        </w:rPr>
        <w:t>, any calculation or determination in this Indenture that requires the application of IFRS for periods that include fiscal quarters ended prior to the Company’s election to apply IFRS shall remain as previously calculated or determined in accordance with IFRS. The Company shall give notice of any such election made in accordance with this definition to the Trustee. For the avoidance of doubt, solely making an election (without any other action) referred to in this definition will not be treated as an incurrence of Indebtedness. If there occurs a change in IFRS, as the case may be, and such change would cause a change in the method of calculation of any standards, terms or measures (including all computations of amounts and ratios) used in this Indenture (an “</w:t>
      </w:r>
      <w:r>
        <w:rPr>
          <w:rFonts w:ascii="Times New Roman;serif" w:hAnsi="Times New Roman;serif"/>
          <w:b w:val="false"/>
          <w:sz w:val="22"/>
          <w:u w:val="single"/>
        </w:rPr>
        <w:t>Accounting Change</w:t>
      </w:r>
      <w:r>
        <w:rPr>
          <w:rFonts w:ascii="Times New Roman" w:hAnsi="Times New Roman"/>
          <w:sz w:val="20"/>
        </w:rPr>
        <w:t>”</w:t>
      </w:r>
      <w:r>
        <w:rPr>
          <w:rFonts w:ascii="Times New Roman;serif" w:hAnsi="Times New Roman;serif"/>
          <w:b w:val="false"/>
          <w:sz w:val="22"/>
        </w:rPr>
        <w:t>), then the Company may elect that such standards, terms or measures shall be calculated as if such Accounting Change had not occurred.</w:t>
      </w:r>
    </w:p>
    <w:p>
      <w:pPr>
        <w:pStyle w:val="TextBody"/>
        <w:bidi w:val="0"/>
        <w:spacing w:before="0" w:after="240"/>
        <w:jc w:val="left"/>
        <w:rPr/>
      </w:pPr>
      <w:r>
        <w:rPr/>
        <w:t>“</w:t>
      </w:r>
      <w:r>
        <w:rPr>
          <w:rFonts w:ascii="Times New Roman;serif" w:hAnsi="Times New Roman;serif"/>
          <w:b w:val="false"/>
          <w:sz w:val="22"/>
          <w:u w:val="single"/>
        </w:rPr>
        <w:t>Immaterial Subsidiary</w:t>
      </w:r>
      <w:r>
        <w:rPr>
          <w:rFonts w:ascii="Times New Roman" w:hAnsi="Times New Roman"/>
          <w:sz w:val="20"/>
        </w:rPr>
        <w:t xml:space="preserve">” </w:t>
      </w:r>
      <w:r>
        <w:rPr>
          <w:rFonts w:ascii="Times New Roman;serif" w:hAnsi="Times New Roman;serif"/>
          <w:b w:val="false"/>
          <w:sz w:val="22"/>
        </w:rPr>
        <w:t>means, at any date of determination, each Restricted Subsidiary other than the Issuers that (i) has not guaranteed any other Indebtedness of either of the Issuers or any Guarantor and (ii) has Total Assets and revenues of less than 5.0% of Total Assets and, together with all other Immaterial Subsidiaries (as determined in accordance with IFRS), has Total Assets and revenues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less than 10.0% of Total Assets, in each case, measured at the end of the most recent Test Period revenues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pStyle w:val="TextBody"/>
        <w:bidi w:val="0"/>
        <w:spacing w:before="0" w:after="240"/>
        <w:jc w:val="left"/>
        <w:rPr/>
      </w:pPr>
      <w:r>
        <w:rPr/>
        <w:t>“</w:t>
      </w:r>
      <w:r>
        <w:rPr>
          <w:rFonts w:ascii="Times New Roman;serif" w:hAnsi="Times New Roman;serif"/>
          <w:b w:val="false"/>
          <w:sz w:val="22"/>
          <w:u w:val="single"/>
        </w:rPr>
        <w:t>Immediate Family Members</w:t>
      </w:r>
      <w:r>
        <w:rPr>
          <w:rFonts w:ascii="Times New Roman" w:hAnsi="Times New Roman"/>
          <w:sz w:val="20"/>
        </w:rPr>
        <w:t xml:space="preserve">” </w:t>
      </w:r>
      <w:r>
        <w:rPr>
          <w:rFonts w:ascii="Times New Roman;serif" w:hAnsi="Times New Roman;serif"/>
          <w:b w:val="false"/>
          <w:sz w:val="22"/>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240"/>
        <w:jc w:val="left"/>
        <w:rPr/>
      </w:pPr>
      <w:r>
        <w:rPr/>
        <w:t>“</w:t>
      </w:r>
      <w:r>
        <w:rPr>
          <w:rFonts w:ascii="Times New Roman;serif" w:hAnsi="Times New Roman;serif"/>
          <w:b w:val="false"/>
          <w:sz w:val="22"/>
          <w:u w:val="single"/>
        </w:rPr>
        <w:t>Indebtedness</w:t>
      </w:r>
      <w:r>
        <w:rPr>
          <w:rFonts w:ascii="Times New Roman" w:hAnsi="Times New Roman"/>
          <w:sz w:val="20"/>
        </w:rPr>
        <w:t xml:space="preserve">” </w:t>
      </w:r>
      <w:r>
        <w:rPr>
          <w:rFonts w:ascii="Times New Roman;serif" w:hAnsi="Times New Roman;serif"/>
          <w:b w:val="false"/>
          <w:sz w:val="22"/>
        </w:rPr>
        <w:t>means, with respect to any Person, without duplication: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any indebtedness (including principal and premium) of such Person, whether or not contingent: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in respect of borrowed money;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evidenced by bonds, notes, debentures or similar instruments or letters of credit or bankers’ acceptances (or, without duplication, reimbursement agreements in respect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(c) representing the balance deferred and unpaid of the purchase price of any property (including Capitalized Lease Obligations), except (i) 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IFRS and any purchase price holdbacks in respect of a portion of the purchase price of an asset to satisfy warranty or other unperformed obligations of the seller;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(d) representing any Hedging Obligations;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if and to the extent that any of the foregoing Indebtedness (other than letters of credit and Hedging Obligations) would appear as a liability upon a balance sheet (excluding the footnotes thereto) of such Person prepared in accordance with IFRS;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to the extent not otherwise included, the obligations of the type referred to in clause (1) of a third Person secured by a Lien on any asset owned by such first Person, whether or not such Indebtedness is assumed by such first Person;</w:t>
      </w:r>
      <w:r>
        <w:rPr>
          <w:rFonts w:ascii="Times New Roman" w:hAnsi="Times New Roman"/>
          <w:sz w:val="20"/>
        </w:rPr>
        <w:t xml:space="preserve">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the amount of Indebtedness of any Person for purposes of this clause (3) shall be deemed to be equal to the lesser of (i) the aggregate unpaid amount of such Indebtedness and (ii) the fair market value of the property encumbered thereby as determined by such Person in good faith;</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notwithstanding the foregoing, Indebtedness shall be deemed not to include (a) Contingent Obligations incurred in the ordinary course of business, (b) obligations under or in respect of Receivables Facilities, (c) Indebtedness of any parent of the Company appearing on the balance sheet of the Company, or solely by reason of push down accounting under IFRS, (d) intercompany liabilities arising from their cash management, tax, and accounting operations, (e) intercompany loans, advances or Indebtedness having a term not exceeding 364 days (inclusive of any rollover or extensions of terms) and made in the ordinary course of business, (f) obligations under any satellite manufacturing contract or Satellite Purchase Agreement (including any contingent in-orbit incentive payments or other contingent deferred payments earned by a manufacturer during the life of a Satellite under such satellite manufacturing contract or Satellite Purchase Agreement, and including any Guarantee for any such indebtedness), (g) obligations under satellite capacity or bandwidth arrangements (whether or not classified and accounted for as a capitalized lease for financial reporting purposes in accordance with IFRS), (h) obligations to make progress or incentive payments (including any in-orbit incentive payments) or other deferred payments earned during the life of a Satellite under any satellite manufacturing contract or obligations under any contract of launch services with respect to a Satellite, (i) obligations to make payments to one or more insurers under any policies of insurance with respect to a Satellite, including payments in respect of premiums and any requirement to remit to such insurer(s) a portion of the future revenues generated by a Satellite with respect to which a claim has been paid for a loss under such insurance or other salvage rights of such insurer(s), in each case in accordance with the terms of the insurance policies relating thereto or (j) 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Section 5.01 hereof.</w:t>
      </w:r>
    </w:p>
    <w:p>
      <w:pPr>
        <w:pStyle w:val="TextBody"/>
        <w:bidi w:val="0"/>
        <w:spacing w:before="0" w:after="240"/>
        <w:jc w:val="left"/>
        <w:rPr/>
      </w:pPr>
      <w:r>
        <w:rPr/>
        <w:t>“</w:t>
      </w:r>
      <w:r>
        <w:rPr>
          <w:rFonts w:ascii="Times New Roman;serif" w:hAnsi="Times New Roman;serif"/>
          <w:b w:val="false"/>
          <w:sz w:val="22"/>
          <w:u w:val="single"/>
        </w:rPr>
        <w:t>Indenture</w:t>
      </w:r>
      <w:r>
        <w:rPr>
          <w:rFonts w:ascii="Times New Roman" w:hAnsi="Times New Roman"/>
          <w:sz w:val="20"/>
        </w:rPr>
        <w:t xml:space="preserve">” </w:t>
      </w:r>
      <w:r>
        <w:rPr>
          <w:rFonts w:ascii="Times New Roman;serif" w:hAnsi="Times New Roman;serif"/>
          <w:b w:val="false"/>
          <w:sz w:val="22"/>
        </w:rPr>
        <w:t>means this Indenture, as amended or supplemented from time to time.</w:t>
      </w:r>
    </w:p>
    <w:p>
      <w:pPr>
        <w:pStyle w:val="TextBody"/>
        <w:bidi w:val="0"/>
        <w:spacing w:before="0" w:after="240"/>
        <w:jc w:val="left"/>
        <w:rPr/>
      </w:pPr>
      <w:r>
        <w:rPr/>
        <w:t>“</w:t>
      </w:r>
      <w:r>
        <w:rPr>
          <w:rFonts w:ascii="Times New Roman;serif" w:hAnsi="Times New Roman;serif"/>
          <w:b w:val="false"/>
          <w:sz w:val="22"/>
          <w:u w:val="single"/>
        </w:rPr>
        <w:t>Independent Financial Advisor</w:t>
      </w:r>
      <w:r>
        <w:rPr>
          <w:rFonts w:ascii="Times New Roman" w:hAnsi="Times New Roman"/>
          <w:sz w:val="20"/>
        </w:rPr>
        <w:t xml:space="preserve">” </w:t>
      </w:r>
      <w:r>
        <w:rPr>
          <w:rFonts w:ascii="Times New Roman;serif" w:hAnsi="Times New Roman;serif"/>
          <w:b w:val="false"/>
          <w:sz w:val="22"/>
        </w:rPr>
        <w:t>means an accounting, appraisal, investment banking firm or consultant to Persons engaged in Similar Businesses of nationally recognized standing that is, in the good faith judgment of the Company, qualified to perform the task for which it has been engaged.</w:t>
      </w:r>
    </w:p>
    <w:p>
      <w:pPr>
        <w:pStyle w:val="TextBody"/>
        <w:bidi w:val="0"/>
        <w:spacing w:before="0" w:after="240"/>
        <w:jc w:val="left"/>
        <w:rPr/>
      </w:pPr>
      <w:r>
        <w:rPr/>
        <w:t>“</w:t>
      </w:r>
      <w:r>
        <w:rPr>
          <w:rFonts w:ascii="Times New Roman;serif" w:hAnsi="Times New Roman;serif"/>
          <w:b w:val="false"/>
          <w:sz w:val="22"/>
          <w:u w:val="single"/>
        </w:rPr>
        <w:t>Indirect Participant</w:t>
      </w:r>
      <w:r>
        <w:rPr>
          <w:rFonts w:ascii="Times New Roman" w:hAnsi="Times New Roman"/>
          <w:sz w:val="20"/>
        </w:rPr>
        <w:t xml:space="preserve">” </w:t>
      </w:r>
      <w:r>
        <w:rPr>
          <w:rFonts w:ascii="Times New Roman;serif" w:hAnsi="Times New Roman;serif"/>
          <w:b w:val="false"/>
          <w:sz w:val="22"/>
        </w:rPr>
        <w:t>means a Person who holds a beneficial interest in a Global Note through a Participant.</w:t>
      </w:r>
    </w:p>
    <w:p>
      <w:pPr>
        <w:pStyle w:val="TextBody"/>
        <w:bidi w:val="0"/>
        <w:spacing w:before="0" w:after="240"/>
        <w:jc w:val="left"/>
        <w:rPr/>
      </w:pPr>
      <w:r>
        <w:rPr/>
        <w:t>“</w:t>
      </w:r>
      <w:r>
        <w:rPr>
          <w:rFonts w:ascii="Times New Roman;serif" w:hAnsi="Times New Roman;serif"/>
          <w:b w:val="false"/>
          <w:sz w:val="22"/>
          <w:u w:val="single"/>
        </w:rPr>
        <w:t>Initial Notes</w:t>
      </w:r>
      <w:r>
        <w:rPr>
          <w:rFonts w:ascii="Times New Roman" w:hAnsi="Times New Roman"/>
          <w:sz w:val="20"/>
        </w:rPr>
        <w:t xml:space="preserve">” </w:t>
      </w:r>
      <w:r>
        <w:rPr>
          <w:rFonts w:ascii="Times New Roman;serif" w:hAnsi="Times New Roman;serif"/>
          <w:b w:val="false"/>
          <w:sz w:val="22"/>
        </w:rPr>
        <w:t>has the meaning set forth in the recitals hereto.</w:t>
      </w:r>
    </w:p>
    <w:p>
      <w:pPr>
        <w:pStyle w:val="TextBody"/>
        <w:bidi w:val="0"/>
        <w:spacing w:before="0" w:after="240"/>
        <w:jc w:val="left"/>
        <w:rPr/>
      </w:pPr>
      <w:r>
        <w:rPr/>
        <w:t>“</w:t>
      </w:r>
      <w:r>
        <w:rPr>
          <w:rFonts w:ascii="Times New Roman;serif" w:hAnsi="Times New Roman;serif"/>
          <w:b w:val="false"/>
          <w:sz w:val="22"/>
          <w:u w:val="single"/>
        </w:rPr>
        <w:t>Initial Purchasers</w:t>
      </w:r>
      <w:r>
        <w:rPr>
          <w:rFonts w:ascii="Times New Roman" w:hAnsi="Times New Roman"/>
          <w:sz w:val="20"/>
        </w:rPr>
        <w:t xml:space="preserve">” </w:t>
      </w:r>
      <w:r>
        <w:rPr>
          <w:rFonts w:ascii="Times New Roman;serif" w:hAnsi="Times New Roman;serif"/>
          <w:b w:val="false"/>
          <w:sz w:val="22"/>
        </w:rPr>
        <w:t>means the persons named as initial purchasers in the Purchase Agreement, dated as of September 23, 2019.</w:t>
      </w:r>
    </w:p>
    <w:p>
      <w:pPr>
        <w:pStyle w:val="TextBody"/>
        <w:bidi w:val="0"/>
        <w:spacing w:before="0" w:after="240"/>
        <w:jc w:val="left"/>
        <w:rPr/>
      </w:pPr>
      <w:r>
        <w:rPr/>
        <w:t>“</w:t>
      </w:r>
      <w:r>
        <w:rPr>
          <w:rFonts w:ascii="Times New Roman;serif" w:hAnsi="Times New Roman;serif"/>
          <w:b w:val="false"/>
          <w:sz w:val="22"/>
          <w:u w:val="single"/>
        </w:rPr>
        <w:t>Intercreditor Agreements</w:t>
      </w:r>
      <w:r>
        <w:rPr>
          <w:rFonts w:ascii="Times New Roman" w:hAnsi="Times New Roman"/>
          <w:sz w:val="20"/>
        </w:rPr>
        <w:t xml:space="preserve">” </w:t>
      </w:r>
      <w:r>
        <w:rPr>
          <w:rFonts w:ascii="Times New Roman;serif" w:hAnsi="Times New Roman;serif"/>
          <w:b w:val="false"/>
          <w:sz w:val="22"/>
        </w:rPr>
        <w:t>means, collectively, the Pari Passu Intercreditor Agreement and the Second Lien Intercreditor Agreement (if applicable).</w:t>
      </w:r>
    </w:p>
    <w:p>
      <w:pPr>
        <w:pStyle w:val="TextBody"/>
        <w:bidi w:val="0"/>
        <w:spacing w:before="0" w:after="240"/>
        <w:jc w:val="left"/>
        <w:rPr/>
      </w:pPr>
      <w:r>
        <w:rPr/>
        <w:t>“</w:t>
      </w:r>
      <w:r>
        <w:rPr>
          <w:rFonts w:ascii="Times New Roman;serif" w:hAnsi="Times New Roman;serif"/>
          <w:b w:val="false"/>
          <w:sz w:val="22"/>
          <w:u w:val="single"/>
        </w:rPr>
        <w:t>Interest Payment Date</w:t>
      </w:r>
      <w:r>
        <w:rPr>
          <w:rFonts w:ascii="Times New Roman" w:hAnsi="Times New Roman"/>
          <w:sz w:val="20"/>
        </w:rPr>
        <w:t xml:space="preserve">” </w:t>
      </w:r>
      <w:r>
        <w:rPr>
          <w:rFonts w:ascii="Times New Roman;serif" w:hAnsi="Times New Roman;serif"/>
          <w:b w:val="false"/>
          <w:sz w:val="22"/>
        </w:rPr>
        <w:t>means April 1 and October 1 of each year to stated maturity.</w:t>
      </w:r>
    </w:p>
    <w:p>
      <w:pPr>
        <w:pStyle w:val="TextBody"/>
        <w:bidi w:val="0"/>
        <w:spacing w:before="0" w:after="240"/>
        <w:jc w:val="left"/>
        <w:rPr/>
      </w:pPr>
      <w:r>
        <w:rPr/>
        <w:t>“</w:t>
      </w:r>
      <w:r>
        <w:rPr>
          <w:rFonts w:ascii="Times New Roman;serif" w:hAnsi="Times New Roman;serif"/>
          <w:b w:val="false"/>
          <w:sz w:val="22"/>
          <w:u w:val="single"/>
        </w:rPr>
        <w:t>Interest Payment Request Instruction</w:t>
      </w:r>
      <w:r>
        <w:rPr>
          <w:rFonts w:ascii="Times New Roman" w:hAnsi="Times New Roman"/>
          <w:sz w:val="20"/>
        </w:rPr>
        <w:t xml:space="preserve">” </w:t>
      </w:r>
      <w:r>
        <w:rPr>
          <w:rFonts w:ascii="Times New Roman;serif" w:hAnsi="Times New Roman;serif"/>
          <w:b w:val="false"/>
          <w:sz w:val="22"/>
        </w:rPr>
        <w:t>shall have the meaning given such term in the Escrow Agreement.</w:t>
      </w:r>
    </w:p>
    <w:p>
      <w:pPr>
        <w:pStyle w:val="TextBody"/>
        <w:bidi w:val="0"/>
        <w:spacing w:before="0" w:after="240"/>
        <w:jc w:val="left"/>
        <w:rPr/>
      </w:pPr>
      <w:r>
        <w:rPr/>
        <w:t>“</w:t>
      </w:r>
      <w:r>
        <w:rPr>
          <w:rFonts w:ascii="Times New Roman;serif" w:hAnsi="Times New Roman;serif"/>
          <w:b w:val="false"/>
          <w:sz w:val="22"/>
          <w:u w:val="single"/>
        </w:rPr>
        <w:t>Investment Grade Rating</w:t>
      </w:r>
      <w:r>
        <w:rPr>
          <w:rFonts w:ascii="Times New Roman" w:hAnsi="Times New Roman"/>
          <w:sz w:val="20"/>
        </w:rPr>
        <w:t xml:space="preserve">” </w:t>
      </w:r>
      <w:r>
        <w:rPr>
          <w:rFonts w:ascii="Times New Roman;serif" w:hAnsi="Times New Roman;serif"/>
          <w:b w:val="false"/>
          <w:sz w:val="22"/>
        </w:rPr>
        <w:t>means a rating equal to or higher than (x) Baa3 (or the equivalent) by Moody’s, (y) BBB- (or the equivalent) by S&amp;P or (z) a rating of BBB- (or the equivalent) by Fitch, as applicable, or if the Notes are not then rated by Moody’s, S&amp;P or Fitch, an equivalent rating by any other Rating Agency.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Investment Grade Securities</w:t>
      </w:r>
      <w:r>
        <w:rPr>
          <w:rFonts w:ascii="Times New Roman" w:hAnsi="Times New Roman"/>
          <w:sz w:val="20"/>
        </w:rPr>
        <w:t xml:space="preserve">” </w:t>
      </w:r>
      <w:r>
        <w:rPr>
          <w:rFonts w:ascii="Times New Roman;serif" w:hAnsi="Times New Roman;serif"/>
          <w:b w:val="false"/>
          <w:sz w:val="22"/>
        </w:rPr>
        <w:t>means: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securities issued or directly and fully guaranteed or insured by the United States government or any agency or instrumentality thereof (other than Cash Equivalents);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debt securities or debt instruments with an Investment Grade Rating, but excluding any debt securities or instruments constituting loans or advances among the Company and its Subsidiaries;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investments in any fund that invests exclusively in investments of the type described in clauses (1) and (2) which fund may also hold immaterial amounts of cash pending investment or distribution;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corresponding instruments in countries other than the United States of America customarily utilized for high quality investments.</w:t>
      </w:r>
    </w:p>
    <w:p>
      <w:pPr>
        <w:pStyle w:val="TextBody"/>
        <w:bidi w:val="0"/>
        <w:spacing w:before="0" w:after="240"/>
        <w:jc w:val="left"/>
        <w:rPr/>
      </w:pPr>
      <w:r>
        <w:rPr/>
        <w:t>“</w:t>
      </w:r>
      <w:r>
        <w:rPr>
          <w:rFonts w:ascii="Times New Roman;serif" w:hAnsi="Times New Roman;serif"/>
          <w:b w:val="false"/>
          <w:sz w:val="22"/>
          <w:u w:val="single"/>
        </w:rPr>
        <w:t>Investments</w:t>
      </w:r>
      <w:r>
        <w:rPr>
          <w:rFonts w:ascii="Times New Roman" w:hAnsi="Times New Roman"/>
          <w:sz w:val="20"/>
        </w:rPr>
        <w:t xml:space="preserve">” </w:t>
      </w:r>
      <w:r>
        <w:rPr>
          <w:rFonts w:ascii="Times New Roman;serif" w:hAnsi="Times New Roman;serif"/>
          <w:b w:val="false"/>
          <w:sz w:val="22"/>
        </w:rPr>
        <w:t xml:space="preserve">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the Company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IFRS to be classified on the balance sheet (excluding the footnotes) of the Company in the same manner as the other investments included in this definition to the extent such transactions involve the transfer of cash or other property;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that endorsements of negotiable instruments and documents in the ordinary course of business will not be deemed to be an Investment;</w:t>
      </w:r>
    </w:p>
    <w:p>
      <w:pPr>
        <w:pStyle w:val="TextBody"/>
        <w:bidi w:val="0"/>
        <w:spacing w:before="0" w:after="240"/>
        <w:jc w:val="left"/>
        <w:rPr>
          <w:rFonts w:ascii="Times New Roman" w:hAnsi="Times New Roman"/>
          <w:sz w:val="20"/>
        </w:rPr>
      </w:pPr>
      <w:r>
        <w:rPr>
          <w:rFonts w:ascii="Times New Roman;serif" w:hAnsi="Times New Roman;serif"/>
          <w:b w:val="false"/>
          <w:sz w:val="22"/>
        </w:rPr>
        <w:t>For purposes of the definition of “Unrestricted Subsidiary” and Section 4.07 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“Investments” shall include the portion (proportionate to the Company’s direct or indirect equity interest in such Subsidiary) of the fair market value of the net assets of a Subsidiary of the Company at the time that such Subsidiary is designated an Unrestricted Subsidiary;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upon a redesignation of such Subsidiary as a Restricted Subsidiary, the Company or the applicable Restricted Subsidiary shall be deemed to continue to have a permanent “Investment” in an Unrestricted Subsidiary in an amount (if positive) equal to:</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the Company “Investment” in such Subsidiary at the time of such redesignation; less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the portion (proportionate to the Company’s equity interest in such Subsidiary) of the fair market value of the net assets of such Subsidiary at the time of such redesignation;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any property transferred to or from an Unrestricted Subsidiary shall be valued at its fair market value at the time of such transfer, in each case as determined in good faith by the Company.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amount of any Investment outstanding at any time shall be the original cost of such Investment, reduced by any dividend, distribution, interest payment, return of capital, repayment or other amount received in cash or other property by the Company or a Restricted Subsidiary in respect of such Investment.</w:t>
      </w:r>
    </w:p>
    <w:p>
      <w:pPr>
        <w:pStyle w:val="TextBody"/>
        <w:bidi w:val="0"/>
        <w:spacing w:before="0" w:after="240"/>
        <w:jc w:val="left"/>
        <w:rPr/>
      </w:pPr>
      <w:r>
        <w:rPr/>
        <w:t>“</w:t>
      </w:r>
      <w:r>
        <w:rPr>
          <w:rFonts w:ascii="Times New Roman;serif" w:hAnsi="Times New Roman;serif"/>
          <w:b w:val="false"/>
          <w:sz w:val="22"/>
          <w:u w:val="single"/>
        </w:rPr>
        <w:t>Investors</w:t>
      </w:r>
      <w:r>
        <w:rPr>
          <w:rFonts w:ascii="Times New Roman" w:hAnsi="Times New Roman"/>
          <w:sz w:val="20"/>
        </w:rPr>
        <w:t xml:space="preserve">” </w:t>
      </w:r>
      <w:r>
        <w:rPr>
          <w:rFonts w:ascii="Times New Roman;serif" w:hAnsi="Times New Roman;serif"/>
          <w:b w:val="false"/>
          <w:sz w:val="22"/>
        </w:rPr>
        <w:t>means Apax Partners LLP, Warburg Pincus LLC, Canada Pension Plan Investment Board, Ontario Teachers’ Pension Plan Board and, if applicable, each of their respective Affiliates, including the funds, partnerships or other co-investment vehicles managed, advised or directly or indirectly controlled by them or each of their respective Affiliates but not including, however, any portfolio companies of any of the foregoing.</w:t>
      </w:r>
    </w:p>
    <w:p>
      <w:pPr>
        <w:pStyle w:val="TextBody"/>
        <w:bidi w:val="0"/>
        <w:spacing w:before="0" w:after="240"/>
        <w:jc w:val="left"/>
        <w:rPr/>
      </w:pPr>
      <w:r>
        <w:rPr/>
        <w:t>“</w:t>
      </w:r>
      <w:r>
        <w:rPr>
          <w:rFonts w:ascii="Times New Roman;serif" w:hAnsi="Times New Roman;serif"/>
          <w:b w:val="false"/>
          <w:sz w:val="22"/>
          <w:u w:val="single"/>
        </w:rPr>
        <w:t>IPO</w:t>
      </w:r>
      <w:r>
        <w:rPr>
          <w:rFonts w:ascii="Times New Roman" w:hAnsi="Times New Roman"/>
          <w:sz w:val="20"/>
        </w:rPr>
        <w:t xml:space="preserve">” </w:t>
      </w:r>
      <w:r>
        <w:rPr>
          <w:rFonts w:ascii="Times New Roman;serif" w:hAnsi="Times New Roman;serif"/>
          <w:b w:val="false"/>
          <w:sz w:val="22"/>
        </w:rPr>
        <w:t>means the initial underwritten public offering (other than a public offering pursuant to a registration statement on Form S-8) of common Equity Interests in the IPO Entity.</w:t>
      </w:r>
    </w:p>
    <w:p>
      <w:pPr>
        <w:pStyle w:val="TextBody"/>
        <w:bidi w:val="0"/>
        <w:spacing w:before="0" w:after="240"/>
        <w:jc w:val="left"/>
        <w:rPr/>
      </w:pPr>
      <w:r>
        <w:rPr/>
        <w:t>“</w:t>
      </w:r>
      <w:r>
        <w:rPr>
          <w:rFonts w:ascii="Times New Roman;serif" w:hAnsi="Times New Roman;serif"/>
          <w:b w:val="false"/>
          <w:sz w:val="22"/>
          <w:u w:val="single"/>
        </w:rPr>
        <w:t>IPO Entity</w:t>
      </w:r>
      <w:r>
        <w:rPr>
          <w:rFonts w:ascii="Times New Roman" w:hAnsi="Times New Roman"/>
          <w:sz w:val="20"/>
        </w:rPr>
        <w:t xml:space="preserve">” </w:t>
      </w:r>
      <w:r>
        <w:rPr>
          <w:rFonts w:ascii="Times New Roman;serif" w:hAnsi="Times New Roman;serif"/>
          <w:b w:val="false"/>
          <w:sz w:val="22"/>
        </w:rPr>
        <w:t xml:space="preserve">means at any time upon and after an IPO, the Company or any direct or indirect parent company of the Company, the Equity Interests of which were issued or otherwise sold pursuant to the IPO; </w:t>
      </w:r>
      <w:r>
        <w:rPr>
          <w:rFonts w:ascii="Times New Roman;serif" w:hAnsi="Times New Roman;serif"/>
          <w:b w:val="false"/>
          <w:i/>
          <w:sz w:val="22"/>
        </w:rPr>
        <w:t>provided</w:t>
      </w:r>
      <w:r>
        <w:rPr>
          <w:rFonts w:ascii="Times New Roman;serif" w:hAnsi="Times New Roman;serif"/>
          <w:b w:val="false"/>
          <w:sz w:val="22"/>
        </w:rPr>
        <w:t>, that, in the case of a direct or indirect parent company of the Company, immediately following the IPO, the Company is a Wholly Owned Subsidiary of such IPO Entity and such IPO Entity owns, directly or through its subsidiaries, substantially all the businesses and assets owned or conducted, directly or indirectly, by the Company immediately prior to the IPO.</w:t>
      </w:r>
    </w:p>
    <w:p>
      <w:pPr>
        <w:pStyle w:val="TextBody"/>
        <w:bidi w:val="0"/>
        <w:spacing w:before="0" w:after="240"/>
        <w:jc w:val="left"/>
        <w:rPr/>
      </w:pPr>
      <w:r>
        <w:rPr/>
        <w:t>“</w:t>
      </w:r>
      <w:r>
        <w:rPr>
          <w:rFonts w:ascii="Times New Roman;serif" w:hAnsi="Times New Roman;serif"/>
          <w:b w:val="false"/>
          <w:sz w:val="22"/>
          <w:u w:val="single"/>
        </w:rPr>
        <w:t>Issue Date</w:t>
      </w:r>
      <w:r>
        <w:rPr>
          <w:rFonts w:ascii="Times New Roman" w:hAnsi="Times New Roman"/>
          <w:sz w:val="20"/>
        </w:rPr>
        <w:t xml:space="preserve">” </w:t>
      </w:r>
      <w:r>
        <w:rPr>
          <w:rFonts w:ascii="Times New Roman;serif" w:hAnsi="Times New Roman;serif"/>
          <w:b w:val="false"/>
          <w:sz w:val="22"/>
        </w:rPr>
        <w:t>means October 7, 2019.</w:t>
      </w:r>
    </w:p>
    <w:p>
      <w:pPr>
        <w:pStyle w:val="TextBody"/>
        <w:bidi w:val="0"/>
        <w:spacing w:before="0" w:after="240"/>
        <w:jc w:val="left"/>
        <w:rPr/>
      </w:pPr>
      <w:r>
        <w:rPr/>
        <w:t>“</w:t>
      </w:r>
      <w:r>
        <w:rPr>
          <w:rFonts w:ascii="Times New Roman;serif" w:hAnsi="Times New Roman;serif"/>
          <w:b w:val="false"/>
          <w:sz w:val="22"/>
          <w:u w:val="single"/>
        </w:rPr>
        <w:t>Issuer Order</w:t>
      </w:r>
      <w:r>
        <w:rPr>
          <w:rFonts w:ascii="Times New Roman" w:hAnsi="Times New Roman"/>
          <w:sz w:val="20"/>
        </w:rPr>
        <w:t xml:space="preserve">” </w:t>
      </w:r>
      <w:r>
        <w:rPr>
          <w:rFonts w:ascii="Times New Roman;serif" w:hAnsi="Times New Roman;serif"/>
          <w:b w:val="false"/>
          <w:sz w:val="22"/>
        </w:rPr>
        <w:t>means a written request or order signed on behalf of each Issuer by an Officer of such Issuers and delivered to the Trustee.</w:t>
      </w:r>
    </w:p>
    <w:p>
      <w:pPr>
        <w:pStyle w:val="TextBody"/>
        <w:bidi w:val="0"/>
        <w:spacing w:before="0" w:after="240"/>
        <w:jc w:val="left"/>
        <w:rPr/>
      </w:pPr>
      <w:r>
        <w:rPr/>
        <w:t>“</w:t>
      </w:r>
      <w:r>
        <w:rPr>
          <w:rFonts w:ascii="Times New Roman;serif" w:hAnsi="Times New Roman;serif"/>
          <w:b w:val="false"/>
          <w:sz w:val="22"/>
          <w:u w:val="single"/>
        </w:rPr>
        <w:t>Issuers</w:t>
      </w:r>
      <w:r>
        <w:rPr>
          <w:rFonts w:ascii="Times New Roman" w:hAnsi="Times New Roman"/>
          <w:sz w:val="20"/>
        </w:rPr>
        <w:t xml:space="preserve">” </w:t>
      </w:r>
      <w:r>
        <w:rPr>
          <w:rFonts w:ascii="Times New Roman;serif" w:hAnsi="Times New Roman;serif"/>
          <w:b w:val="false"/>
          <w:sz w:val="22"/>
        </w:rPr>
        <w:t>has the meaning set forth in the preamble hereto until a successor replaces the applicable entity in accordance with the applicable provisions of this Indenture and, thereafter, includes such successor.</w:t>
      </w:r>
    </w:p>
    <w:p>
      <w:pPr>
        <w:pStyle w:val="TextBody"/>
        <w:bidi w:val="0"/>
        <w:spacing w:before="0" w:after="240"/>
        <w:jc w:val="left"/>
        <w:rPr/>
      </w:pPr>
      <w:r>
        <w:rPr/>
        <w:t>“</w:t>
      </w:r>
      <w:r>
        <w:rPr>
          <w:rFonts w:ascii="Times New Roman;serif" w:hAnsi="Times New Roman;serif"/>
          <w:b w:val="false"/>
          <w:sz w:val="22"/>
          <w:u w:val="single"/>
        </w:rPr>
        <w:t>Junior Lien Priority</w:t>
      </w:r>
      <w:r>
        <w:rPr>
          <w:rFonts w:ascii="Times New Roman" w:hAnsi="Times New Roman"/>
          <w:sz w:val="20"/>
        </w:rPr>
        <w:t xml:space="preserve">” </w:t>
      </w:r>
      <w:r>
        <w:rPr>
          <w:rFonts w:ascii="Times New Roman;serif" w:hAnsi="Times New Roman;serif"/>
          <w:b w:val="false"/>
          <w:sz w:val="22"/>
        </w:rPr>
        <w:t>means Indebtedness that is secured by a Lien on the Collateral that is junior in priority to the Liens on the Collateral securing the Obligations under the Notes and is subject to an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pStyle w:val="TextBody"/>
        <w:bidi w:val="0"/>
        <w:spacing w:before="0" w:after="240"/>
        <w:jc w:val="left"/>
        <w:rPr/>
      </w:pPr>
      <w:r>
        <w:rPr/>
        <w:t>“</w:t>
      </w:r>
      <w:r>
        <w:rPr>
          <w:rFonts w:ascii="Times New Roman;serif" w:hAnsi="Times New Roman;serif"/>
          <w:b w:val="false"/>
          <w:sz w:val="22"/>
          <w:u w:val="single"/>
        </w:rPr>
        <w:t>Legal Holiday</w:t>
      </w:r>
      <w:r>
        <w:rPr>
          <w:rFonts w:ascii="Times New Roman" w:hAnsi="Times New Roman"/>
          <w:sz w:val="20"/>
        </w:rPr>
        <w:t xml:space="preserve">” </w:t>
      </w:r>
      <w:r>
        <w:rPr>
          <w:rFonts w:ascii="Times New Roman;serif" w:hAnsi="Times New Roman;serif"/>
          <w:b w:val="false"/>
          <w:sz w:val="22"/>
        </w:rPr>
        <w:t>means a Saturday, a Sunday or a day on which commercial banking institutions are not required to be open in the State of New York or in the place of payments.</w:t>
      </w:r>
    </w:p>
    <w:p>
      <w:pPr>
        <w:pStyle w:val="TextBody"/>
        <w:bidi w:val="0"/>
        <w:spacing w:before="0" w:after="240"/>
        <w:jc w:val="left"/>
        <w:rPr/>
      </w:pPr>
      <w:r>
        <w:rPr/>
        <w:t>“</w:t>
      </w:r>
      <w:r>
        <w:rPr>
          <w:rFonts w:ascii="Times New Roman;serif" w:hAnsi="Times New Roman;serif"/>
          <w:b w:val="false"/>
          <w:sz w:val="22"/>
          <w:u w:val="single"/>
        </w:rPr>
        <w:t>Lien</w:t>
      </w:r>
      <w:r>
        <w:rPr>
          <w:rFonts w:ascii="Times New Roman" w:hAnsi="Times New Roman"/>
          <w:sz w:val="20"/>
        </w:rPr>
        <w:t xml:space="preserve">” </w:t>
      </w:r>
      <w:r>
        <w:rPr>
          <w:rFonts w:ascii="Times New Roman;serif" w:hAnsi="Times New Roman;serif"/>
          <w:b w:val="false"/>
          <w:sz w:val="22"/>
        </w:rPr>
        <w:t xml:space="preserve">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Times New Roman;serif" w:hAnsi="Times New Roman;serif"/>
          <w:b w:val="false"/>
          <w:i/>
          <w:sz w:val="22"/>
        </w:rPr>
        <w:t>provided</w:t>
      </w:r>
      <w:r>
        <w:rPr>
          <w:rFonts w:ascii="Times New Roman;serif" w:hAnsi="Times New Roman;serif"/>
          <w:b w:val="false"/>
          <w:sz w:val="22"/>
        </w:rPr>
        <w:t>, that in no event shall an operating lease be deemed to constitute a Lien.</w:t>
      </w:r>
    </w:p>
    <w:p>
      <w:pPr>
        <w:pStyle w:val="TextBody"/>
        <w:bidi w:val="0"/>
        <w:spacing w:before="0" w:after="240"/>
        <w:jc w:val="left"/>
        <w:rPr/>
      </w:pPr>
      <w:r>
        <w:rPr/>
        <w:t>“</w:t>
      </w:r>
      <w:r>
        <w:rPr>
          <w:rFonts w:ascii="Times New Roman;serif" w:hAnsi="Times New Roman;serif"/>
          <w:b w:val="false"/>
          <w:sz w:val="22"/>
          <w:u w:val="single"/>
        </w:rPr>
        <w:t>Limited Condition Transaction</w:t>
      </w:r>
      <w:r>
        <w:rPr>
          <w:rFonts w:ascii="Times New Roman" w:hAnsi="Times New Roman"/>
          <w:sz w:val="20"/>
        </w:rPr>
        <w:t xml:space="preserve">” </w:t>
      </w:r>
      <w:r>
        <w:rPr>
          <w:rFonts w:ascii="Times New Roman;serif" w:hAnsi="Times New Roman;serif"/>
          <w:b w:val="false"/>
          <w:sz w:val="22"/>
        </w:rPr>
        <w:t>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Indebtedness, Disqualified Stock or Preferred Stock requiring irrevocable notice in advance of such redemption, repurchase, defeasance, satisfaction and discharge or repayment, (3) any Restricted Payment requiring irrevocable notice in advance thereof and (4) any asset sale or a disposition excluded from the definition of “Asset Sale.”</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LTM EBITDA</w:t>
      </w:r>
      <w:r>
        <w:rPr>
          <w:rFonts w:ascii="Times New Roman" w:hAnsi="Times New Roman"/>
          <w:sz w:val="20"/>
        </w:rPr>
        <w:t xml:space="preserve">” </w:t>
      </w:r>
      <w:r>
        <w:rPr>
          <w:rFonts w:ascii="Times New Roman;serif" w:hAnsi="Times New Roman;serif"/>
          <w:b w:val="false"/>
          <w:sz w:val="22"/>
        </w:rPr>
        <w:t>means Consolidated EBITDA of the Company measured for the period of the most recent four consecutive fiscal quarters ending prior to the date of such determination for which consolidated financial statements are available (which may be internal financial statements), in each case with such pro forma adjustments giving effect to such Indebtedness, acquisition or Investment, as applicable, since the start of such four quarter period and as are consistent with the pro forma adjustments set forth in the definition of “Fixed Charge Coverage Ratio.”</w:t>
      </w:r>
    </w:p>
    <w:p>
      <w:pPr>
        <w:pStyle w:val="TextBody"/>
        <w:bidi w:val="0"/>
        <w:spacing w:before="0" w:after="240"/>
        <w:jc w:val="left"/>
        <w:rPr/>
      </w:pPr>
      <w:r>
        <w:rPr/>
        <w:t>“</w:t>
      </w:r>
      <w:r>
        <w:rPr>
          <w:rFonts w:ascii="Times New Roman;serif" w:hAnsi="Times New Roman;serif"/>
          <w:b w:val="false"/>
          <w:sz w:val="22"/>
          <w:u w:val="single"/>
        </w:rPr>
        <w:t>Management Investors</w:t>
      </w:r>
      <w:r>
        <w:rPr>
          <w:rFonts w:ascii="Times New Roman" w:hAnsi="Times New Roman"/>
          <w:sz w:val="20"/>
        </w:rPr>
        <w:t xml:space="preserve">” </w:t>
      </w:r>
      <w:r>
        <w:rPr>
          <w:rFonts w:ascii="Times New Roman;serif" w:hAnsi="Times New Roman;serif"/>
          <w:b w:val="false"/>
          <w:sz w:val="22"/>
        </w:rPr>
        <w:t>means the members of the board of directors, officers and employees of the Company and/or its Subsidiaries who are (directly or indirectly through one or more investment vehicles) investors in direct or indirect parent companies of the Company.</w:t>
      </w:r>
    </w:p>
    <w:p>
      <w:pPr>
        <w:pStyle w:val="TextBody"/>
        <w:bidi w:val="0"/>
        <w:spacing w:before="0" w:after="240"/>
        <w:jc w:val="left"/>
        <w:rPr/>
      </w:pPr>
      <w:r>
        <w:rPr/>
        <w:t>“</w:t>
      </w:r>
      <w:r>
        <w:rPr>
          <w:rFonts w:ascii="Times New Roman;serif" w:hAnsi="Times New Roman;serif"/>
          <w:b w:val="false"/>
          <w:sz w:val="22"/>
          <w:u w:val="single"/>
        </w:rPr>
        <w:t>Market Capitalization</w:t>
      </w:r>
      <w:r>
        <w:rPr>
          <w:rFonts w:ascii="Times New Roman" w:hAnsi="Times New Roman"/>
          <w:sz w:val="20"/>
        </w:rPr>
        <w:t xml:space="preserve">” </w:t>
      </w:r>
      <w:r>
        <w:rPr>
          <w:rFonts w:ascii="Times New Roman;serif" w:hAnsi="Times New Roman;serif"/>
          <w:b w:val="false"/>
          <w:sz w:val="22"/>
        </w:rPr>
        <w:t>means an amount equal to (i) the total number of issued and outstanding shares of common Capital Stock of the Company or any parent entity of the Company on the date of the declaration of a Restricted Payment permitted pursuant to clause (9) of Section 4.07(b) hereof multiplied by (ii) the arithmetic mean of the closing prices per share of such common Capital Stock on the principal securities exchange on which such common Capital Stock are traded for the 30 consecutive trading days immediately preceding the date of declaration of such Restricted Payment.</w:t>
      </w:r>
    </w:p>
    <w:p>
      <w:pPr>
        <w:pStyle w:val="TextBody"/>
        <w:bidi w:val="0"/>
        <w:spacing w:before="0" w:after="240"/>
        <w:jc w:val="left"/>
        <w:rPr/>
      </w:pPr>
      <w:r>
        <w:rPr/>
        <w:t>“</w:t>
      </w:r>
      <w:r>
        <w:rPr>
          <w:rFonts w:ascii="Times New Roman;serif" w:hAnsi="Times New Roman;serif"/>
          <w:b w:val="false"/>
          <w:sz w:val="22"/>
          <w:u w:val="single"/>
        </w:rPr>
        <w:t>Material Adverse Effect</w:t>
      </w:r>
      <w:r>
        <w:rPr>
          <w:rFonts w:ascii="Times New Roman" w:hAnsi="Times New Roman"/>
          <w:sz w:val="20"/>
        </w:rPr>
        <w:t xml:space="preserve">” </w:t>
      </w:r>
      <w:r>
        <w:rPr>
          <w:rFonts w:ascii="Times New Roman;serif" w:hAnsi="Times New Roman;serif"/>
          <w:b w:val="false"/>
          <w:sz w:val="22"/>
        </w:rPr>
        <w:t>means a circumstance or condition affecting the business, financial condition, or results of operations of the Company and its Subsidiaries, taken as a whole, that would reasonably be expected to have a materially adverse effect on (a) the ability of the Company to perform their payment obligations under the Notes or (b) the material rights and remedies of the Notes Collateral Agent and the Holders under the Notes.</w:t>
      </w:r>
    </w:p>
    <w:p>
      <w:pPr>
        <w:pStyle w:val="TextBody"/>
        <w:bidi w:val="0"/>
        <w:spacing w:before="0" w:after="240"/>
        <w:jc w:val="left"/>
        <w:rPr/>
      </w:pPr>
      <w:bookmarkStart w:id="52" w:name="dtdni454"/>
      <w:bookmarkEnd w:id="52"/>
      <w:r>
        <w:rPr/>
        <w:t>“</w:t>
      </w:r>
      <w:r>
        <w:rPr>
          <w:rFonts w:ascii="Times New Roman;serif" w:hAnsi="Times New Roman;serif"/>
          <w:b w:val="false"/>
          <w:sz w:val="22"/>
          <w:u w:val="single"/>
        </w:rPr>
        <w:t>Minority Business</w:t>
      </w:r>
      <w:r>
        <w:rPr>
          <w:rFonts w:ascii="Times New Roman" w:hAnsi="Times New Roman"/>
          <w:sz w:val="20"/>
        </w:rPr>
        <w:t xml:space="preserve">” </w:t>
      </w:r>
      <w:r>
        <w:rPr>
          <w:rFonts w:ascii="Times New Roman;serif" w:hAnsi="Times New Roman;serif"/>
          <w:b w:val="false"/>
          <w:sz w:val="22"/>
        </w:rPr>
        <w:t>means any business unit of the Company that represents less than 50.0% of the Consolidated EBITDA of the Company and its Restricted Subsidiaries for and as of the end of the last four fiscal quarters of the Company for which financial statements have been delivered pursuant to Section 4.03 hereof.</w:t>
      </w:r>
    </w:p>
    <w:p>
      <w:pPr>
        <w:pStyle w:val="TextBody"/>
        <w:bidi w:val="0"/>
        <w:spacing w:before="0" w:after="240"/>
        <w:jc w:val="left"/>
        <w:rPr/>
      </w:pPr>
      <w:bookmarkStart w:id="53" w:name="dtdni456"/>
      <w:bookmarkEnd w:id="53"/>
      <w:r>
        <w:rPr/>
        <w:t>“</w:t>
      </w:r>
      <w:r>
        <w:rPr>
          <w:rFonts w:ascii="Times New Roman;serif" w:hAnsi="Times New Roman;serif"/>
          <w:b w:val="false"/>
          <w:sz w:val="22"/>
          <w:u w:val="single"/>
        </w:rPr>
        <w:t>Minority Business Assets</w:t>
      </w:r>
      <w:r>
        <w:rPr>
          <w:rFonts w:ascii="Times New Roman" w:hAnsi="Times New Roman"/>
          <w:sz w:val="20"/>
        </w:rPr>
        <w:t xml:space="preserve">” </w:t>
      </w:r>
      <w:r>
        <w:rPr>
          <w:rFonts w:ascii="Times New Roman;serif" w:hAnsi="Times New Roman;serif"/>
          <w:b w:val="false"/>
          <w:sz w:val="22"/>
        </w:rPr>
        <w:t>means the assets of the Company and its Subsidiaries, including Capital Stock of Subsidiaries, that relate to or form part of a Minority Business.</w:t>
      </w:r>
    </w:p>
    <w:p>
      <w:pPr>
        <w:pStyle w:val="TextBody"/>
        <w:bidi w:val="0"/>
        <w:spacing w:before="0" w:after="240"/>
        <w:jc w:val="left"/>
        <w:rPr/>
      </w:pPr>
      <w:bookmarkStart w:id="54" w:name="dtdni457"/>
      <w:bookmarkEnd w:id="54"/>
      <w:r>
        <w:rPr/>
        <w:t>“</w:t>
      </w:r>
      <w:r>
        <w:rPr>
          <w:rFonts w:ascii="Times New Roman;serif" w:hAnsi="Times New Roman;serif"/>
          <w:b w:val="false"/>
          <w:sz w:val="22"/>
          <w:u w:val="single"/>
        </w:rPr>
        <w:t>Minority Business Disposition</w:t>
      </w:r>
      <w:r>
        <w:rPr>
          <w:rFonts w:ascii="Times New Roman" w:hAnsi="Times New Roman"/>
          <w:sz w:val="20"/>
        </w:rPr>
        <w:t xml:space="preserve">” </w:t>
      </w:r>
      <w:r>
        <w:rPr>
          <w:rFonts w:ascii="Times New Roman;serif" w:hAnsi="Times New Roman;serif"/>
          <w:b w:val="false"/>
          <w:sz w:val="22"/>
        </w:rPr>
        <w:t>means (i) any sale or other disposition of Capital Stock of any Minority Business Subsidiary (whether by issuance or sale of Capital Stock, merger, or otherwise) to one or more Persons (other than the Company or a Restricted Subsidiary) in any transaction or series of related transactions following the consummation of which such Minority Business Subsidiary is no longer a Restricted Subsidiary of the Company (excluding any Minority Business Offering) or (ii) any sale or other disposition of any assets of any Minority Business Subsidiary or other Minority Business Assets, including all or substantially all of the assets of any Minority Business Subsidiary, to one or more Persons (other than the Company or a Restricted Subsidiary) in any transaction or series of related transactions.</w:t>
      </w:r>
    </w:p>
    <w:p>
      <w:pPr>
        <w:pStyle w:val="TextBody"/>
        <w:bidi w:val="0"/>
        <w:spacing w:before="0" w:after="240"/>
        <w:jc w:val="left"/>
        <w:rPr/>
      </w:pPr>
      <w:bookmarkStart w:id="55" w:name="dtdni458"/>
      <w:bookmarkEnd w:id="55"/>
      <w:r>
        <w:rPr/>
        <w:t>“</w:t>
      </w:r>
      <w:r>
        <w:rPr>
          <w:rFonts w:ascii="Times New Roman;serif" w:hAnsi="Times New Roman;serif"/>
          <w:b w:val="false"/>
          <w:sz w:val="22"/>
          <w:u w:val="single"/>
        </w:rPr>
        <w:t>Minority Business Disposition Condition</w:t>
      </w:r>
      <w:r>
        <w:rPr>
          <w:rFonts w:ascii="Times New Roman" w:hAnsi="Times New Roman"/>
          <w:sz w:val="20"/>
        </w:rPr>
        <w:t xml:space="preserve">” </w:t>
      </w:r>
      <w:r>
        <w:rPr>
          <w:rFonts w:ascii="Times New Roman;serif" w:hAnsi="Times New Roman;serif"/>
          <w:b w:val="false"/>
          <w:sz w:val="22"/>
        </w:rPr>
        <w:t>means at any date of determination after giving effect to the Minority Business Disposition or Minority Business Offering, either (1) the Company could Incur at least $1.00 of Indebtedness pursuant to Section 4.09(a) hereof or (2) either (x) the Fixed Charge Coverage Ratio for the Company and its Restricted Subsidiaries would be equal to or greater than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such ratio or (y) the Total Net Leverage Ratio would be equal to or less than such ratio, in each case, for the Company and its Restricted Subsidiaries immediately prior to giving effect thereto.</w:t>
      </w:r>
    </w:p>
    <w:p>
      <w:pPr>
        <w:pStyle w:val="TextBody"/>
        <w:bidi w:val="0"/>
        <w:spacing w:before="0" w:after="240"/>
        <w:jc w:val="left"/>
        <w:rPr/>
      </w:pPr>
      <w:bookmarkStart w:id="56" w:name="dtdni460"/>
      <w:bookmarkEnd w:id="56"/>
      <w:r>
        <w:rPr/>
        <w:t>“</w:t>
      </w:r>
      <w:r>
        <w:rPr>
          <w:rFonts w:ascii="Times New Roman;serif" w:hAnsi="Times New Roman;serif"/>
          <w:b w:val="false"/>
          <w:sz w:val="22"/>
          <w:u w:val="single"/>
        </w:rPr>
        <w:t>Minority Business Offering</w:t>
      </w:r>
      <w:r>
        <w:rPr>
          <w:rFonts w:ascii="Times New Roman" w:hAnsi="Times New Roman"/>
          <w:sz w:val="20"/>
        </w:rPr>
        <w:t xml:space="preserve">” </w:t>
      </w:r>
      <w:r>
        <w:rPr>
          <w:rFonts w:ascii="Times New Roman;serif" w:hAnsi="Times New Roman;serif"/>
          <w:b w:val="false"/>
          <w:sz w:val="22"/>
        </w:rPr>
        <w:t>means a public offering of Capital Stock of any Minority Business Subsidiary pursuant to a registration statement filed with the SEC.</w:t>
      </w:r>
    </w:p>
    <w:p>
      <w:pPr>
        <w:pStyle w:val="TextBody"/>
        <w:bidi w:val="0"/>
        <w:spacing w:before="0" w:after="240"/>
        <w:jc w:val="left"/>
        <w:rPr/>
      </w:pPr>
      <w:bookmarkStart w:id="57" w:name="dtdni461"/>
      <w:bookmarkEnd w:id="57"/>
      <w:r>
        <w:rPr/>
        <w:t>“</w:t>
      </w:r>
      <w:r>
        <w:rPr>
          <w:rFonts w:ascii="Times New Roman;serif" w:hAnsi="Times New Roman;serif"/>
          <w:b w:val="false"/>
          <w:sz w:val="22"/>
          <w:u w:val="single"/>
        </w:rPr>
        <w:t>Minority Business Subsidiary</w:t>
      </w:r>
      <w:r>
        <w:rPr>
          <w:rFonts w:ascii="Times New Roman" w:hAnsi="Times New Roman"/>
          <w:sz w:val="20"/>
        </w:rPr>
        <w:t xml:space="preserve">” </w:t>
      </w:r>
      <w:r>
        <w:rPr>
          <w:rFonts w:ascii="Times New Roman;serif" w:hAnsi="Times New Roman;serif"/>
          <w:b w:val="false"/>
          <w:sz w:val="22"/>
        </w:rPr>
        <w:t>means any of the Company’s Subsidiaries and successors in interest thereto to the extent any of such Subsidiaries form part of the relevant Minority Business.</w:t>
      </w:r>
    </w:p>
    <w:p>
      <w:pPr>
        <w:pStyle w:val="TextBody"/>
        <w:bidi w:val="0"/>
        <w:spacing w:before="0" w:after="240"/>
        <w:jc w:val="left"/>
        <w:rPr/>
      </w:pPr>
      <w:r>
        <w:rPr/>
        <w:t>“</w:t>
      </w:r>
      <w:r>
        <w:rPr>
          <w:rFonts w:ascii="Times New Roman;serif" w:hAnsi="Times New Roman;serif"/>
          <w:b w:val="false"/>
          <w:sz w:val="22"/>
          <w:u w:val="single"/>
        </w:rPr>
        <w:t>Moody’s</w:t>
      </w:r>
      <w:r>
        <w:rPr>
          <w:rFonts w:ascii="Times New Roman" w:hAnsi="Times New Roman"/>
          <w:sz w:val="20"/>
        </w:rPr>
        <w:t xml:space="preserve">” </w:t>
      </w:r>
      <w:r>
        <w:rPr>
          <w:rFonts w:ascii="Times New Roman;serif" w:hAnsi="Times New Roman;serif"/>
          <w:b w:val="false"/>
          <w:sz w:val="22"/>
        </w:rPr>
        <w:t>means Moody’s Investors Service, Inc. and any successor to its rating agency business.</w:t>
      </w:r>
    </w:p>
    <w:p>
      <w:pPr>
        <w:pStyle w:val="TextBody"/>
        <w:bidi w:val="0"/>
        <w:spacing w:before="0" w:after="240"/>
        <w:jc w:val="left"/>
        <w:rPr/>
      </w:pPr>
      <w:r>
        <w:rPr/>
        <w:t>“</w:t>
      </w:r>
      <w:r>
        <w:rPr>
          <w:rFonts w:ascii="Times New Roman;serif" w:hAnsi="Times New Roman;serif"/>
          <w:b w:val="false"/>
          <w:sz w:val="22"/>
          <w:u w:val="single"/>
        </w:rPr>
        <w:t>Net Income</w:t>
      </w:r>
      <w:r>
        <w:rPr>
          <w:rFonts w:ascii="Times New Roman" w:hAnsi="Times New Roman"/>
          <w:sz w:val="20"/>
        </w:rPr>
        <w:t xml:space="preserve">” </w:t>
      </w:r>
      <w:r>
        <w:rPr>
          <w:rFonts w:ascii="Times New Roman;serif" w:hAnsi="Times New Roman;serif"/>
          <w:b w:val="false"/>
          <w:sz w:val="22"/>
        </w:rPr>
        <w:t>means, with respect to any Person, the net income (loss) of such Person, determined in accordance with IFRS and before any reduction in respect of Preferred Stock dividends.</w:t>
      </w:r>
    </w:p>
    <w:p>
      <w:pPr>
        <w:pStyle w:val="TextBody"/>
        <w:bidi w:val="0"/>
        <w:spacing w:before="0" w:after="240"/>
        <w:jc w:val="left"/>
        <w:rPr/>
      </w:pPr>
      <w:r>
        <w:rPr/>
        <w:t>“</w:t>
      </w:r>
      <w:r>
        <w:rPr>
          <w:rFonts w:ascii="Times New Roman;serif" w:hAnsi="Times New Roman;serif"/>
          <w:b w:val="false"/>
          <w:sz w:val="22"/>
          <w:u w:val="single"/>
        </w:rPr>
        <w:t>Net Proceeds</w:t>
      </w:r>
      <w:r>
        <w:rPr>
          <w:rFonts w:ascii="Times New Roman" w:hAnsi="Times New Roman"/>
          <w:sz w:val="20"/>
        </w:rPr>
        <w:t xml:space="preserve">” </w:t>
      </w:r>
      <w:r>
        <w:rPr>
          <w:rFonts w:ascii="Times New Roman;serif" w:hAnsi="Times New Roman;serif"/>
          <w:b w:val="false"/>
          <w:sz w:val="22"/>
        </w:rPr>
        <w:t xml:space="preserve">means the aggregate cash proceeds received by the Company or any of its Restricted Subsidiaries in respect of any Asset Sale, including any cash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payments made in order to obtain a necessary consent or required by applicable law, and brokerage and sales commissions, any relocation expenses incurred as a result thereof, other fees and expenses, including title and recordation expenses, taxes paid or estimated to be payable as a result thereof (after taking into account any available tax credits or deductions and any tax sharing arrangements), amounts required to be applied to the repayment of principal, premium, if any, and interest on Senior Indebtedness required (other than required by clause (1) of Section 4.10(b) hereof) to be paid as a result of such transaction and any deduction of appropriate amounts to be provided by the Company or any of its Restricted Subsidiaries as a reserve in accordance with IFRS against any liabilities associated with the asset disposed of in such transaction and retained by the Company or any of its Restricted Subsidiaries after such sale or other disposition thereof, including pension and other post-employment benefit liabilities and liabilities related to environmental matters or against any indemnification obligations associated with such transaction and of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portion of the Net Proceeds attributable to minority interests in a Restricted Subsidiary in connection with a disposition by, or of Capital Stock of, a Restricted Subsidiary that is not a Wholly Owned Subsidiary to the extent such Net Proceeds are not available for application by the Company.</w:t>
      </w:r>
    </w:p>
    <w:p>
      <w:pPr>
        <w:pStyle w:val="TextBody"/>
        <w:bidi w:val="0"/>
        <w:spacing w:before="0" w:after="240"/>
        <w:jc w:val="left"/>
        <w:rPr/>
      </w:pPr>
      <w:r>
        <w:rPr/>
        <w:t>“</w:t>
      </w:r>
      <w:r>
        <w:rPr>
          <w:rFonts w:ascii="Times New Roman;serif" w:hAnsi="Times New Roman;serif"/>
          <w:b w:val="false"/>
          <w:sz w:val="22"/>
          <w:u w:val="single"/>
        </w:rPr>
        <w:t>New Contracts</w:t>
      </w:r>
      <w:r>
        <w:rPr>
          <w:rFonts w:ascii="Times New Roman" w:hAnsi="Times New Roman"/>
          <w:sz w:val="20"/>
        </w:rPr>
        <w:t xml:space="preserve">” </w:t>
      </w:r>
      <w:r>
        <w:rPr>
          <w:rFonts w:ascii="Times New Roman;serif" w:hAnsi="Times New Roman;serif"/>
          <w:b w:val="false"/>
          <w:sz w:val="22"/>
        </w:rPr>
        <w:t>means executed agreements with new customers that have contracted with the Company and its Subsidiaries, for which pricing, volumes and margins from the covered product categories are readily identified.</w:t>
      </w:r>
    </w:p>
    <w:p>
      <w:pPr>
        <w:pStyle w:val="TextBody"/>
        <w:bidi w:val="0"/>
        <w:spacing w:before="0" w:after="240"/>
        <w:jc w:val="left"/>
        <w:rPr/>
      </w:pPr>
      <w:r>
        <w:rPr/>
        <w:t>“</w:t>
      </w:r>
      <w:r>
        <w:rPr>
          <w:rFonts w:ascii="Times New Roman;serif" w:hAnsi="Times New Roman;serif"/>
          <w:b w:val="false"/>
          <w:sz w:val="22"/>
          <w:u w:val="single"/>
        </w:rPr>
        <w:t>New Project</w:t>
      </w:r>
      <w:r>
        <w:rPr>
          <w:rFonts w:ascii="Times New Roman" w:hAnsi="Times New Roman"/>
          <w:sz w:val="20"/>
        </w:rPr>
        <w:t xml:space="preserve">” </w:t>
      </w:r>
      <w:r>
        <w:rPr>
          <w:rFonts w:ascii="Times New Roman;serif" w:hAnsi="Times New Roman;serif"/>
          <w:b w:val="false"/>
          <w:sz w:val="22"/>
        </w:rPr>
        <w:t>shall mean (1) each facility which is either a new facility, branch or office or an expansion, relocation, remodeling or substantial modernization of an existing facility, branch or office owned by the Company or its Subsidiaries which in fact commences operations and (2) each creation (in one or a series of related transactions) of a business unit to the extent such business unit commences operations or each expansion (in one or a series of related transactions) of business into a new market.</w:t>
      </w:r>
    </w:p>
    <w:p>
      <w:pPr>
        <w:pStyle w:val="TextBody"/>
        <w:bidi w:val="0"/>
        <w:spacing w:before="0" w:after="240"/>
        <w:jc w:val="left"/>
        <w:rPr/>
      </w:pPr>
      <w:r>
        <w:rPr/>
        <w:t>“</w:t>
      </w:r>
      <w:r>
        <w:rPr>
          <w:rFonts w:ascii="Times New Roman;serif" w:hAnsi="Times New Roman;serif"/>
          <w:b w:val="false"/>
          <w:sz w:val="22"/>
          <w:u w:val="single"/>
        </w:rPr>
        <w:t>Non-Guarantor Subsidiary</w:t>
      </w:r>
      <w:r>
        <w:rPr>
          <w:rFonts w:ascii="Times New Roman" w:hAnsi="Times New Roman"/>
          <w:sz w:val="20"/>
        </w:rPr>
        <w:t xml:space="preserve">” </w:t>
      </w:r>
      <w:r>
        <w:rPr>
          <w:rFonts w:ascii="Times New Roman;serif" w:hAnsi="Times New Roman;serif"/>
          <w:b w:val="false"/>
          <w:sz w:val="22"/>
        </w:rPr>
        <w:t>means any Restricted Subsidiary of the Company (other than the Issuers) that is not a Guarantor.</w:t>
      </w:r>
    </w:p>
    <w:p>
      <w:pPr>
        <w:pStyle w:val="TextBody"/>
        <w:bidi w:val="0"/>
        <w:spacing w:before="0" w:after="240"/>
        <w:jc w:val="left"/>
        <w:rPr/>
      </w:pPr>
      <w:r>
        <w:rPr/>
        <w:t>“</w:t>
      </w:r>
      <w:r>
        <w:rPr>
          <w:rFonts w:ascii="Times New Roman;serif" w:hAnsi="Times New Roman;serif"/>
          <w:b w:val="false"/>
          <w:sz w:val="22"/>
          <w:u w:val="single"/>
        </w:rPr>
        <w:t>Noteholder Secured Parties</w:t>
      </w:r>
      <w:r>
        <w:rPr>
          <w:rFonts w:ascii="Times New Roman" w:hAnsi="Times New Roman"/>
          <w:sz w:val="20"/>
        </w:rPr>
        <w:t xml:space="preserve">” </w:t>
      </w:r>
      <w:r>
        <w:rPr>
          <w:rFonts w:ascii="Times New Roman;serif" w:hAnsi="Times New Roman;serif"/>
          <w:b w:val="false"/>
          <w:sz w:val="22"/>
        </w:rPr>
        <w:t>means the Trustee, the Notes Collateral Agent and each Holder of Notes and each other holder of, or obligee in respect of, any Notes Obligations.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Notes</w:t>
      </w:r>
      <w:r>
        <w:rPr>
          <w:rFonts w:ascii="Times New Roman" w:hAnsi="Times New Roman"/>
          <w:sz w:val="20"/>
        </w:rPr>
        <w:t xml:space="preserve">” </w:t>
      </w:r>
      <w:r>
        <w:rPr>
          <w:rFonts w:ascii="Times New Roman;serif" w:hAnsi="Times New Roman;serif"/>
          <w:b w:val="false"/>
          <w:sz w:val="22"/>
        </w:rPr>
        <w:t>means the Initial Notes and more particularly means any Note authenticated and delivered under this Indenture. For all purposes of this Indenture, the term “Notes” shall also include any Additional Notes that may be issued under a supplemental indenture.</w:t>
      </w:r>
    </w:p>
    <w:p>
      <w:pPr>
        <w:pStyle w:val="TextBody"/>
        <w:bidi w:val="0"/>
        <w:spacing w:before="0" w:after="240"/>
        <w:jc w:val="left"/>
        <w:rPr/>
      </w:pPr>
      <w:r>
        <w:rPr/>
        <w:t>“</w:t>
      </w:r>
      <w:r>
        <w:rPr>
          <w:rFonts w:ascii="Times New Roman;serif" w:hAnsi="Times New Roman;serif"/>
          <w:b w:val="false"/>
          <w:sz w:val="22"/>
          <w:u w:val="single"/>
        </w:rPr>
        <w:t>Notes Collateral Agent</w:t>
      </w:r>
      <w:r>
        <w:rPr>
          <w:rFonts w:ascii="Times New Roman" w:hAnsi="Times New Roman"/>
          <w:sz w:val="20"/>
        </w:rPr>
        <w:t xml:space="preserve">” </w:t>
      </w:r>
      <w:r>
        <w:rPr>
          <w:rFonts w:ascii="Times New Roman;serif" w:hAnsi="Times New Roman;serif"/>
          <w:b w:val="false"/>
          <w:sz w:val="22"/>
        </w:rPr>
        <w:t>means Wilmington Trust, National Association, in its capacity as notes collateral agent, together with its successors and assigns in such capacity.</w:t>
      </w:r>
    </w:p>
    <w:p>
      <w:pPr>
        <w:pStyle w:val="TextBody"/>
        <w:bidi w:val="0"/>
        <w:spacing w:before="0" w:after="240"/>
        <w:jc w:val="left"/>
        <w:rPr/>
      </w:pPr>
      <w:r>
        <w:rPr/>
        <w:t>“</w:t>
      </w:r>
      <w:r>
        <w:rPr>
          <w:rFonts w:ascii="Times New Roman;serif" w:hAnsi="Times New Roman;serif"/>
          <w:b w:val="false"/>
          <w:sz w:val="22"/>
          <w:u w:val="single"/>
        </w:rPr>
        <w:t>Notes Documents</w:t>
      </w:r>
      <w:r>
        <w:rPr>
          <w:rFonts w:ascii="Times New Roman" w:hAnsi="Times New Roman"/>
          <w:sz w:val="20"/>
        </w:rPr>
        <w:t xml:space="preserve">” </w:t>
      </w:r>
      <w:r>
        <w:rPr>
          <w:rFonts w:ascii="Times New Roman;serif" w:hAnsi="Times New Roman;serif"/>
          <w:b w:val="false"/>
          <w:sz w:val="22"/>
        </w:rPr>
        <w:t>means the Notes (including Additional Notes), the Guarantees, the Collateral Documents, the Pari Passu Intercreditor Agreement, this Indenture, the Escrow Agreement and the Escrow Account Pledge Agreement.</w:t>
      </w:r>
    </w:p>
    <w:p>
      <w:pPr>
        <w:pStyle w:val="TextBody"/>
        <w:bidi w:val="0"/>
        <w:spacing w:before="0" w:after="240"/>
        <w:jc w:val="left"/>
        <w:rPr/>
      </w:pPr>
      <w:r>
        <w:rPr/>
        <w:t>“</w:t>
      </w:r>
      <w:r>
        <w:rPr>
          <w:rFonts w:ascii="Times New Roman;serif" w:hAnsi="Times New Roman;serif"/>
          <w:b w:val="false"/>
          <w:sz w:val="22"/>
          <w:u w:val="single"/>
        </w:rPr>
        <w:t>Notes Obligations</w:t>
      </w:r>
      <w:r>
        <w:rPr>
          <w:rFonts w:ascii="Times New Roman" w:hAnsi="Times New Roman"/>
          <w:sz w:val="20"/>
        </w:rPr>
        <w:t xml:space="preserve">” </w:t>
      </w:r>
      <w:r>
        <w:rPr>
          <w:rFonts w:ascii="Times New Roman;serif" w:hAnsi="Times New Roman;serif"/>
          <w:b w:val="false"/>
          <w:sz w:val="22"/>
        </w:rPr>
        <w:t>means any Indebtedness or other Obligations under this Indenture.</w:t>
      </w:r>
    </w:p>
    <w:p>
      <w:pPr>
        <w:pStyle w:val="TextBody"/>
        <w:bidi w:val="0"/>
        <w:spacing w:before="0" w:after="240"/>
        <w:jc w:val="left"/>
        <w:rPr/>
      </w:pPr>
      <w:r>
        <w:rPr/>
        <w:t>“</w:t>
      </w:r>
      <w:r>
        <w:rPr>
          <w:rFonts w:ascii="Times New Roman;serif" w:hAnsi="Times New Roman;serif"/>
          <w:b w:val="false"/>
          <w:sz w:val="22"/>
          <w:u w:val="single"/>
        </w:rPr>
        <w:t>Notes Security Agreement</w:t>
      </w:r>
      <w:r>
        <w:rPr>
          <w:rFonts w:ascii="Times New Roman" w:hAnsi="Times New Roman"/>
          <w:sz w:val="20"/>
        </w:rPr>
        <w:t xml:space="preserve">” </w:t>
      </w:r>
      <w:r>
        <w:rPr>
          <w:rFonts w:ascii="Times New Roman;serif" w:hAnsi="Times New Roman;serif"/>
          <w:b w:val="false"/>
          <w:sz w:val="22"/>
        </w:rPr>
        <w:t>means the security agreement, dated as of the Completion Date, among the Issuers, the other Grantors party thereto, the Notes Collateral Agent and the other parties thereto, as amended, restated, amended and restated, extended, supplemented or otherwise modified from time to time.</w:t>
      </w:r>
    </w:p>
    <w:p>
      <w:pPr>
        <w:pStyle w:val="TextBody"/>
        <w:bidi w:val="0"/>
        <w:spacing w:before="0" w:after="240"/>
        <w:jc w:val="left"/>
        <w:rPr/>
      </w:pPr>
      <w:r>
        <w:rPr/>
        <w:t>“</w:t>
      </w:r>
      <w:r>
        <w:rPr>
          <w:rFonts w:ascii="Times New Roman;serif" w:hAnsi="Times New Roman;serif"/>
          <w:b w:val="false"/>
          <w:sz w:val="22"/>
          <w:u w:val="single"/>
        </w:rPr>
        <w:t>Obligations</w:t>
      </w:r>
      <w:r>
        <w:rPr>
          <w:rFonts w:ascii="Times New Roman" w:hAnsi="Times New Roman"/>
          <w:sz w:val="20"/>
        </w:rPr>
        <w:t xml:space="preserve">” </w:t>
      </w:r>
      <w:r>
        <w:rPr>
          <w:rFonts w:ascii="Times New Roman;serif" w:hAnsi="Times New Roman;serif"/>
          <w:b w:val="false"/>
          <w:sz w:val="22"/>
        </w:rPr>
        <w:t>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pStyle w:val="TextBody"/>
        <w:bidi w:val="0"/>
        <w:spacing w:before="0" w:after="240"/>
        <w:jc w:val="left"/>
        <w:rPr/>
      </w:pPr>
      <w:r>
        <w:rPr/>
        <w:t>“</w:t>
      </w:r>
      <w:r>
        <w:rPr>
          <w:rFonts w:ascii="Times New Roman;serif" w:hAnsi="Times New Roman;serif"/>
          <w:b w:val="false"/>
          <w:sz w:val="22"/>
          <w:u w:val="single"/>
        </w:rPr>
        <w:t>Offering Memorandum</w:t>
      </w:r>
      <w:r>
        <w:rPr>
          <w:rFonts w:ascii="Times New Roman" w:hAnsi="Times New Roman"/>
          <w:sz w:val="20"/>
        </w:rPr>
        <w:t xml:space="preserve">” </w:t>
      </w:r>
      <w:r>
        <w:rPr>
          <w:rFonts w:ascii="Times New Roman;serif" w:hAnsi="Times New Roman;serif"/>
          <w:b w:val="false"/>
          <w:sz w:val="22"/>
        </w:rPr>
        <w:t>means the Offering Memorandum, dated September 23, 2019 relating to the offering of the Initial Notes.</w:t>
      </w:r>
    </w:p>
    <w:p>
      <w:pPr>
        <w:pStyle w:val="TextBody"/>
        <w:bidi w:val="0"/>
        <w:spacing w:before="0" w:after="240"/>
        <w:jc w:val="left"/>
        <w:rPr/>
      </w:pPr>
      <w:r>
        <w:rPr/>
        <w:t>“</w:t>
      </w:r>
      <w:r>
        <w:rPr>
          <w:rFonts w:ascii="Times New Roman;serif" w:hAnsi="Times New Roman;serif"/>
          <w:b w:val="false"/>
          <w:sz w:val="22"/>
          <w:u w:val="single"/>
        </w:rPr>
        <w:t>Officer</w:t>
      </w:r>
      <w:r>
        <w:rPr>
          <w:rFonts w:ascii="Times New Roman" w:hAnsi="Times New Roman"/>
          <w:sz w:val="20"/>
        </w:rPr>
        <w:t xml:space="preserve">” </w:t>
      </w:r>
      <w:r>
        <w:rPr>
          <w:rFonts w:ascii="Times New Roman;serif" w:hAnsi="Times New Roman;serif"/>
          <w:b w:val="false"/>
          <w:sz w:val="22"/>
        </w:rPr>
        <w:t>means the Chairman of the Board, the Chief Executive Officer, the President, any Executive Vice President, Senior Vice President or Vice President, the Treasurer or Assistant Treasurer, the Secretary or Assistant Secretary, or other similar officer, manager or member of the Board of Directors or Board of Managers of the Company, the Issuers or any other Person, as the case may be, and with respect to certain limited liability companies or partnerships that do not have officers, any manager, sole member, managing member or general partner thereof.</w:t>
      </w:r>
    </w:p>
    <w:p>
      <w:pPr>
        <w:pStyle w:val="TextBody"/>
        <w:bidi w:val="0"/>
        <w:spacing w:before="0" w:after="240"/>
        <w:jc w:val="left"/>
        <w:rPr/>
      </w:pPr>
      <w:r>
        <w:rPr/>
        <w:t>“</w:t>
      </w:r>
      <w:r>
        <w:rPr>
          <w:rFonts w:ascii="Times New Roman;serif" w:hAnsi="Times New Roman;serif"/>
          <w:b w:val="false"/>
          <w:sz w:val="22"/>
          <w:u w:val="single"/>
        </w:rPr>
        <w:t>Officer’s Certificate</w:t>
      </w:r>
      <w:r>
        <w:rPr>
          <w:rFonts w:ascii="Times New Roman" w:hAnsi="Times New Roman"/>
          <w:sz w:val="20"/>
        </w:rPr>
        <w:t xml:space="preserve">” </w:t>
      </w:r>
      <w:r>
        <w:rPr>
          <w:rFonts w:ascii="Times New Roman;serif" w:hAnsi="Times New Roman;serif"/>
          <w:b w:val="false"/>
          <w:sz w:val="22"/>
        </w:rPr>
        <w:t>means a certificate signed on behalf of the Company by an Officer of the Company, the Issuers or their respective Subsidiaries or on behalf of any other Person, as the case may be, of the Company, the Issuers or their respective Subsidiaries or such other Person, that meets the requirements set forth in this Indenture.</w:t>
      </w:r>
    </w:p>
    <w:p>
      <w:pPr>
        <w:pStyle w:val="TextBody"/>
        <w:bidi w:val="0"/>
        <w:spacing w:before="0" w:after="240"/>
        <w:jc w:val="left"/>
        <w:rPr/>
      </w:pPr>
      <w:r>
        <w:rPr/>
        <w:t>“</w:t>
      </w:r>
      <w:r>
        <w:rPr>
          <w:rFonts w:ascii="Times New Roman;serif" w:hAnsi="Times New Roman;serif"/>
          <w:b w:val="false"/>
          <w:sz w:val="22"/>
          <w:u w:val="single"/>
        </w:rPr>
        <w:t>Opinion of Counsel</w:t>
      </w:r>
      <w:r>
        <w:rPr>
          <w:rFonts w:ascii="Times New Roman" w:hAnsi="Times New Roman"/>
          <w:sz w:val="20"/>
        </w:rPr>
        <w:t xml:space="preserve">” </w:t>
      </w:r>
      <w:r>
        <w:rPr>
          <w:rFonts w:ascii="Times New Roman;serif" w:hAnsi="Times New Roman;serif"/>
          <w:b w:val="false"/>
          <w:sz w:val="22"/>
        </w:rPr>
        <w:t>means a written opinion from legal counsel. Such counsel may be an employee of or counsel to the Company, the Issuers or their Subsidiaries or the Trustee.</w:t>
      </w:r>
    </w:p>
    <w:p>
      <w:pPr>
        <w:pStyle w:val="TextBody"/>
        <w:bidi w:val="0"/>
        <w:spacing w:before="0" w:after="240"/>
        <w:jc w:val="left"/>
        <w:rPr/>
      </w:pPr>
      <w:r>
        <w:rPr/>
        <w:t>“</w:t>
      </w:r>
      <w:r>
        <w:rPr>
          <w:rFonts w:ascii="Times New Roman;serif" w:hAnsi="Times New Roman;serif"/>
          <w:b w:val="false"/>
          <w:sz w:val="22"/>
          <w:u w:val="single"/>
        </w:rPr>
        <w:t>Other Pari Passu Lien Obligations</w:t>
      </w:r>
      <w:r>
        <w:rPr>
          <w:rFonts w:ascii="Times New Roman" w:hAnsi="Times New Roman"/>
          <w:sz w:val="20"/>
        </w:rPr>
        <w:t xml:space="preserve">” </w:t>
      </w:r>
      <w:r>
        <w:rPr>
          <w:rFonts w:ascii="Times New Roman;serif" w:hAnsi="Times New Roman;serif"/>
          <w:b w:val="false"/>
          <w:sz w:val="22"/>
        </w:rPr>
        <w:t xml:space="preserve">means any Indebtedness or other Obligations (including Hedging Obligations) having Pari Passu Lien Priority relative to the Notes with respect to the Collateral; </w:t>
      </w:r>
      <w:r>
        <w:rPr>
          <w:rFonts w:ascii="Times New Roman;serif" w:hAnsi="Times New Roman;serif"/>
          <w:b w:val="false"/>
          <w:i/>
          <w:sz w:val="22"/>
        </w:rPr>
        <w:t>provided</w:t>
      </w:r>
      <w:r>
        <w:rPr>
          <w:rFonts w:ascii="Times New Roman;serif" w:hAnsi="Times New Roman;serif"/>
          <w:b w:val="false"/>
          <w:sz w:val="22"/>
        </w:rPr>
        <w:t>, that an authorized representative of the holders of such Indebtedness shall have executed a joinder to the Pari Passu Intercreditor Agreement.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Pari Passu Indebtedness</w:t>
      </w:r>
      <w:r>
        <w:rPr>
          <w:rFonts w:ascii="Times New Roman" w:hAnsi="Times New Roman"/>
          <w:sz w:val="20"/>
        </w:rPr>
        <w:t xml:space="preserve">” </w:t>
      </w:r>
      <w:r>
        <w:rPr>
          <w:rFonts w:ascii="Times New Roman;serif" w:hAnsi="Times New Roman;serif"/>
          <w:b w:val="false"/>
          <w:sz w:val="22"/>
        </w:rPr>
        <w:t xml:space="preserve">means any Indebtedness that is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in right of payment with the Notes.</w:t>
      </w:r>
    </w:p>
    <w:p>
      <w:pPr>
        <w:pStyle w:val="TextBody"/>
        <w:bidi w:val="0"/>
        <w:spacing w:before="0" w:after="240"/>
        <w:jc w:val="left"/>
        <w:rPr/>
      </w:pPr>
      <w:r>
        <w:rPr/>
        <w:t>“</w:t>
      </w:r>
      <w:r>
        <w:rPr>
          <w:rFonts w:ascii="Times New Roman;serif" w:hAnsi="Times New Roman;serif"/>
          <w:b w:val="false"/>
          <w:sz w:val="22"/>
          <w:u w:val="single"/>
        </w:rPr>
        <w:t>Pari Passu Intercreditor Agreement</w:t>
      </w:r>
      <w:r>
        <w:rPr>
          <w:rFonts w:ascii="Times New Roman" w:hAnsi="Times New Roman"/>
          <w:sz w:val="20"/>
        </w:rPr>
        <w:t xml:space="preserve">” </w:t>
      </w:r>
      <w:r>
        <w:rPr>
          <w:rFonts w:ascii="Times New Roman;serif" w:hAnsi="Times New Roman;serif"/>
          <w:b w:val="false"/>
          <w:sz w:val="22"/>
        </w:rPr>
        <w:t>means the pari passu intercreditor agreement, dated as of the Completion Date, among the Company, the Issuers, the other grantors party thereto, the Notes Collateral Agent and the Senior Credit Facilities Collateral Agent.</w:t>
      </w:r>
    </w:p>
    <w:p>
      <w:pPr>
        <w:pStyle w:val="TextBody"/>
        <w:bidi w:val="0"/>
        <w:spacing w:before="0" w:after="240"/>
        <w:jc w:val="left"/>
        <w:rPr/>
      </w:pPr>
      <w:r>
        <w:rPr/>
        <w:t>“</w:t>
      </w:r>
      <w:r>
        <w:rPr>
          <w:rFonts w:ascii="Times New Roman;serif" w:hAnsi="Times New Roman;serif"/>
          <w:b w:val="false"/>
          <w:sz w:val="22"/>
          <w:u w:val="single"/>
        </w:rPr>
        <w:t>Pari Passu Lien Priority</w:t>
      </w:r>
      <w:r>
        <w:rPr>
          <w:rFonts w:ascii="Times New Roman" w:hAnsi="Times New Roman"/>
          <w:sz w:val="20"/>
        </w:rPr>
        <w:t xml:space="preserve">” </w:t>
      </w:r>
      <w:r>
        <w:rPr>
          <w:rFonts w:ascii="Times New Roman;serif" w:hAnsi="Times New Roman;serif"/>
          <w:b w:val="false"/>
          <w:sz w:val="22"/>
        </w:rPr>
        <w:t>means, relative to specified Indebtedness, having equal Lien priority on specified Collateral and the holders of which are subject to the Pari Passu Intercreditor Agreement.</w:t>
      </w:r>
    </w:p>
    <w:p>
      <w:pPr>
        <w:pStyle w:val="TextBody"/>
        <w:bidi w:val="0"/>
        <w:spacing w:before="0" w:after="240"/>
        <w:jc w:val="left"/>
        <w:rPr/>
      </w:pPr>
      <w:r>
        <w:rPr/>
        <w:t>“</w:t>
      </w:r>
      <w:r>
        <w:rPr>
          <w:rFonts w:ascii="Times New Roman;serif" w:hAnsi="Times New Roman;serif"/>
          <w:b w:val="false"/>
          <w:sz w:val="22"/>
          <w:u w:val="single"/>
        </w:rPr>
        <w:t>Participant</w:t>
      </w:r>
      <w:r>
        <w:rPr>
          <w:rFonts w:ascii="Times New Roman" w:hAnsi="Times New Roman"/>
          <w:sz w:val="20"/>
        </w:rPr>
        <w:t xml:space="preserve">” </w:t>
      </w:r>
      <w:r>
        <w:rPr>
          <w:rFonts w:ascii="Times New Roman;serif" w:hAnsi="Times New Roman;serif"/>
          <w:b w:val="false"/>
          <w:sz w:val="22"/>
        </w:rPr>
        <w:t>means, with respect to the Depositary, Euroclear or Clearstream, a Person who has an account with the Depositary, Euroclear or Clearstream, respectively (and, with respect to DTC, shall include Euroclear and Clearstream).</w:t>
      </w:r>
    </w:p>
    <w:p>
      <w:pPr>
        <w:pStyle w:val="TextBody"/>
        <w:bidi w:val="0"/>
        <w:spacing w:before="0" w:after="240"/>
        <w:jc w:val="left"/>
        <w:rPr/>
      </w:pPr>
      <w:r>
        <w:rPr/>
        <w:t>“</w:t>
      </w:r>
      <w:r>
        <w:rPr>
          <w:rFonts w:ascii="Times New Roman;serif" w:hAnsi="Times New Roman;serif"/>
          <w:b w:val="false"/>
          <w:sz w:val="22"/>
          <w:u w:val="single"/>
        </w:rPr>
        <w:t>Permitted Acquisition</w:t>
      </w:r>
      <w:r>
        <w:rPr>
          <w:rFonts w:ascii="Times New Roman" w:hAnsi="Times New Roman"/>
          <w:sz w:val="20"/>
        </w:rPr>
        <w:t xml:space="preserve">” </w:t>
      </w:r>
      <w:r>
        <w:rPr>
          <w:rFonts w:ascii="Times New Roman;serif" w:hAnsi="Times New Roman;serif"/>
          <w:b w:val="false"/>
          <w:sz w:val="22"/>
        </w:rPr>
        <w:t>has the meaning ascribed to it in clause (3) of the definition of “Permitted Investments.”</w:t>
      </w:r>
    </w:p>
    <w:p>
      <w:pPr>
        <w:pStyle w:val="TextBody"/>
        <w:bidi w:val="0"/>
        <w:spacing w:before="0" w:after="240"/>
        <w:jc w:val="left"/>
        <w:rPr/>
      </w:pPr>
      <w:r>
        <w:rPr/>
        <w:t>“</w:t>
      </w:r>
      <w:r>
        <w:rPr>
          <w:rFonts w:ascii="Times New Roman;serif" w:hAnsi="Times New Roman;serif"/>
          <w:b w:val="false"/>
          <w:sz w:val="22"/>
          <w:u w:val="single"/>
        </w:rPr>
        <w:t>Permitted Asset Swap</w:t>
      </w:r>
      <w:r>
        <w:rPr>
          <w:rFonts w:ascii="Times New Roman" w:hAnsi="Times New Roman"/>
          <w:sz w:val="20"/>
        </w:rPr>
        <w:t xml:space="preserve">” </w:t>
      </w:r>
      <w:r>
        <w:rPr>
          <w:rFonts w:ascii="Times New Roman;serif" w:hAnsi="Times New Roman;serif"/>
          <w:b w:val="false"/>
          <w:sz w:val="22"/>
        </w:rPr>
        <w:t xml:space="preserve">means the concurrent purchase and sale or exchange of Related Business Assets or a combination of Related Business Assets and cash or Cash Equivalents between the Company or any of its Restricted Subsidiaries and another Person; </w:t>
      </w:r>
      <w:r>
        <w:rPr>
          <w:rFonts w:ascii="Times New Roman;serif" w:hAnsi="Times New Roman;serif"/>
          <w:b w:val="false"/>
          <w:i/>
          <w:sz w:val="22"/>
        </w:rPr>
        <w:t>provided</w:t>
      </w:r>
      <w:r>
        <w:rPr>
          <w:rFonts w:ascii="Times New Roman;serif" w:hAnsi="Times New Roman;serif"/>
          <w:b w:val="false"/>
          <w:sz w:val="22"/>
        </w:rPr>
        <w:t>, that any cash or Cash Equivalents received must be applied in accordance with Section 4.10 hereof.</w:t>
      </w:r>
    </w:p>
    <w:p>
      <w:pPr>
        <w:pStyle w:val="TextBody"/>
        <w:bidi w:val="0"/>
        <w:spacing w:before="0" w:after="240"/>
        <w:jc w:val="left"/>
        <w:rPr/>
      </w:pPr>
      <w:r>
        <w:rPr/>
        <w:t>“</w:t>
      </w:r>
      <w:r>
        <w:rPr>
          <w:rFonts w:ascii="Times New Roman;serif" w:hAnsi="Times New Roman;serif"/>
          <w:b w:val="false"/>
          <w:sz w:val="22"/>
          <w:u w:val="single"/>
        </w:rPr>
        <w:t>Permitted Holders</w:t>
      </w:r>
      <w:r>
        <w:rPr>
          <w:rFonts w:ascii="Times New Roman" w:hAnsi="Times New Roman"/>
          <w:sz w:val="20"/>
        </w:rPr>
        <w:t xml:space="preserve">” </w:t>
      </w:r>
      <w:r>
        <w:rPr>
          <w:rFonts w:ascii="Times New Roman;serif" w:hAnsi="Times New Roman;serif"/>
          <w:b w:val="false"/>
          <w:sz w:val="22"/>
        </w:rPr>
        <w:t xml:space="preserve">means (1) (a) each of the Investors, (b) the Management Investors and their respective Affiliates, (c) any Person who is acting solely as an underwriter in connection with a public or private offering of Capital Stock of any parent entity of the Company or the Company, acting in such capacity, (d) any investor who is a holder of Equity Interests of the Company (or any of its direct or indirect parent companies) on the Completion Date and (e) any group (within the meaning of Section 13(d)(3) or Section 14(d)(2) of the Exchange Act or any successor provision) of which any of the foregoing are members, </w:t>
      </w:r>
      <w:r>
        <w:rPr>
          <w:rFonts w:ascii="Times New Roman;serif" w:hAnsi="Times New Roman;serif"/>
          <w:b w:val="false"/>
          <w:i/>
          <w:sz w:val="22"/>
        </w:rPr>
        <w:t>provided</w:t>
      </w:r>
      <w:r>
        <w:rPr>
          <w:rFonts w:ascii="Times New Roman;serif" w:hAnsi="Times New Roman;serif"/>
          <w:b w:val="false"/>
          <w:sz w:val="22"/>
        </w:rPr>
        <w:t>, that, in the case of such group and without giving effect to the existence of such group or any other group, the Investors, the Management Investors and other beneficial owners who were members of such group as of the Completion Date, collectively, have beneficial ownership of more than 50.0% of the total voting power of the Voting Stock of the Company or any of its direct or indirect parent companies held by such group or (2) any Permitted Parent. Any Person or group whose acquisition of beneficial ownership constitutes a Change of Control in respect of which a Change of Control Offer is made in accordance with the requirements of this Indenture will thereafter, together with its Affiliates, constitute an additional Permitted Holder.</w:t>
      </w:r>
    </w:p>
    <w:p>
      <w:pPr>
        <w:pStyle w:val="TextBody"/>
        <w:bidi w:val="0"/>
        <w:spacing w:before="0" w:after="240"/>
        <w:jc w:val="left"/>
        <w:rPr/>
      </w:pPr>
      <w:r>
        <w:rPr/>
        <w:t>“</w:t>
      </w:r>
      <w:r>
        <w:rPr>
          <w:rFonts w:ascii="Times New Roman;serif" w:hAnsi="Times New Roman;serif"/>
          <w:b w:val="false"/>
          <w:sz w:val="22"/>
          <w:u w:val="single"/>
        </w:rPr>
        <w:t>Permitted Intercompany Activity</w:t>
      </w:r>
      <w:r>
        <w:rPr>
          <w:rFonts w:ascii="Times New Roman" w:hAnsi="Times New Roman"/>
          <w:sz w:val="20"/>
        </w:rPr>
        <w:t xml:space="preserve">” </w:t>
      </w:r>
      <w:r>
        <w:rPr>
          <w:rFonts w:ascii="Times New Roman;serif" w:hAnsi="Times New Roman;serif"/>
          <w:b w:val="false"/>
          <w:sz w:val="22"/>
        </w:rPr>
        <w:t>means any transactions (A) between or among the Company and its Restricted Subsidiaries that are entered into in connection with the Transactions and/or in the ordinary course of business or consistent with past practice of the Company and its Restricted Subsidiaries and, in the reasonable determination of the Company are necessary or advisable in connection with the ownership or operation of the business of the Company and its Restricted Subsidiaries, including (i) payroll, cash management, purchasing, insurance and hedging arrangements; (ii) management, technology and licensing arrangements; and (iii) customary loyalty and rewards programs; and (B) between or among the Company and its Restricted Subsidiaries.</w:t>
      </w:r>
    </w:p>
    <w:p>
      <w:pPr>
        <w:pStyle w:val="TextBody"/>
        <w:bidi w:val="0"/>
        <w:spacing w:before="0" w:after="240"/>
        <w:jc w:val="left"/>
        <w:rPr/>
      </w:pPr>
      <w:r>
        <w:rPr/>
        <w:t>“</w:t>
      </w:r>
      <w:r>
        <w:rPr>
          <w:rFonts w:ascii="Times New Roman;serif" w:hAnsi="Times New Roman;serif"/>
          <w:b w:val="false"/>
          <w:sz w:val="22"/>
          <w:u w:val="single"/>
        </w:rPr>
        <w:t>Permitted Investments</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left"/>
        <w:rPr>
          <w:rFonts w:ascii="Times New Roman" w:hAnsi="Times New Roman"/>
          <w:sz w:val="20"/>
        </w:rPr>
      </w:pPr>
      <w:r>
        <w:rPr>
          <w:rFonts w:ascii="Times New Roman;serif" w:hAnsi="Times New Roman;serif"/>
          <w:b w:val="false"/>
          <w:sz w:val="22"/>
        </w:rPr>
        <w:t>(1) any Investment in the Company or any of its Restricted Subsidiaries;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(2) any Investment in cash and Cash Equivalents or Investment Grade Securities;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(3) any Investment in a Person (including, to the extent constituting an Investment, in assets of a Person that represent substantially all of its assets or a division, business unit or product line or line of business, including research and development and related assets in respect of any product); </w:t>
      </w:r>
      <w:r>
        <w:rPr>
          <w:rFonts w:ascii="Times New Roman;serif" w:hAnsi="Times New Roman;serif"/>
          <w:b w:val="false"/>
          <w:i/>
          <w:sz w:val="22"/>
        </w:rPr>
        <w:t>provided</w:t>
      </w:r>
      <w:r>
        <w:rPr>
          <w:rFonts w:ascii="Times New Roman;serif" w:hAnsi="Times New Roman;serif"/>
          <w:b w:val="false"/>
          <w:sz w:val="22"/>
        </w:rPr>
        <w:t>, that as a result of such Investment: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such Person, upon the consummation of such purchase or acquisition, will be a Restricted Subsidiary (including as a result of a merger, amalgamation or consolidation between any Subsidiary and such Person);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the Company or a Restricted Subsidiary,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and, in each case, any Investment held by such Person; </w:t>
      </w:r>
      <w:r>
        <w:rPr>
          <w:rFonts w:ascii="Times New Roman;serif" w:hAnsi="Times New Roman;serif"/>
          <w:b w:val="false"/>
          <w:i/>
          <w:sz w:val="22"/>
        </w:rPr>
        <w:t>provided</w:t>
      </w:r>
      <w:r>
        <w:rPr>
          <w:rFonts w:ascii="Times New Roman;serif" w:hAnsi="Times New Roman;serif"/>
          <w:b w:val="false"/>
          <w:sz w:val="22"/>
        </w:rPr>
        <w:t>, that such Investment was not acquired by such Person in contemplation of such acquisition, merger, amalgamation, consolidation or transfer;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any Investment in securities, promissory notes or other assets not constituting cash, Cash Equivalents or Investment Grade Securities and received in connection with an Asset Sale made pursuant to the provisions of Section 4.10 hereof or any other disposition of assets not constituting an Asset Sale;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(i) any Investment existing or made pursuant to binding commitments in effect on the Completion Date or an Investment consisting of any extension, modification or renewal of any such Investment and (ii) any Investment existing on the Completion Date by the Company or any Restricted Subsidiary in the Company or any Restricted Subsidiary or an Investment consisting of any extension, modification or renewal of any such Investment;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that the amount of any such Investment may be increased in such extension, modification or renewal only (a) as required by the terms of such Investment or binding commitment as in existence on the Completion Date (including as a result of the accrual or accretion of interest or original issue discount or the issuance of pay</w:t>
        <w:noBreakHyphen/>
        <w:t>in</w:t>
        <w:noBreakHyphen/>
        <w:t>kind securities) and premium payable by the terms of such Investment thereon and fees and expenses associated therewith as of the Completion Date or (b) as otherwise permitted under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(6) any Investment (including debt obligations and Equity Interests) acquired by the Company or any of its Restricted Subsidiaries: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consisting of extensions of trade credit and accommodation guarantees in the ordinary course of business including extensions of credit in the nature of accounts receivable or notes receivable arising from the grant of trade credit;</w:t>
      </w:r>
    </w:p>
    <w:p>
      <w:pPr>
        <w:pStyle w:val="TextBody"/>
        <w:bidi w:val="0"/>
        <w:spacing w:before="0" w:after="240"/>
        <w:jc w:val="left"/>
        <w:rPr>
          <w:rFonts w:ascii="Times New Roman" w:hAnsi="Times New Roman"/>
          <w:sz w:val="20"/>
        </w:rPr>
      </w:pPr>
      <w:r>
        <w:rPr>
          <w:rFonts w:ascii="Times New Roman;serif" w:hAnsi="Times New Roman;serif"/>
          <w:b w:val="false"/>
          <w:sz w:val="22"/>
        </w:rPr>
        <w:t>(b) in exchange for any other Investment or accounts receivable held by the Company or any such Restricted Subsidiary in connection with or as a result of a bankruptcy, workout, reorganization or recapitalization of the issuer of such other Investment or accounts receivable (including any trade creditor or customer);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in satisfaction of judgments against other Persons;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as a result of a foreclosure by the Company or any of its Restricted Subsidiaries with respect to any secured Investment or other transfer of title with respect to any secured Investment in default;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0" w:after="240"/>
        <w:jc w:val="left"/>
        <w:rPr>
          <w:rFonts w:ascii="Times New Roman" w:hAnsi="Times New Roman"/>
          <w:sz w:val="20"/>
        </w:rPr>
      </w:pPr>
      <w:r>
        <w:rPr>
          <w:rFonts w:ascii="Times New Roman;serif" w:hAnsi="Times New Roman;serif"/>
          <w:b w:val="false"/>
          <w:sz w:val="22"/>
        </w:rPr>
        <w:t>(7) Hedging Obligations incurred in the ordinary course of business and not for speculative purposes;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(8) any Investment in a Similar Business having an aggregate fair market value, taken together with all other Investments made pursuant to this clause (8) that are at that time outstanding, not to exceed the greater of $187.5 million and 25.0% of LTM EBITDA for the most recently ended Test Period, at the time of such Investment (with the fair market value of each Investment being measured at the time made and without giving effect to subsequent changes in value);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(9) Investments and other acquisitions the payment for which consists of Equity Interests (other than Disqualified Stock) of the Company, or any of its direct or indirect parent companies or the IPO Entity or any Unrestricted Subsidiary;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(10) Indebtedness and guarantees of Indebtedness permitted under Section 4.09 hereof; the creation of Liens on the assets of the Company or any Restricted Subsidiary in compliance with the Section 4.12 and Restricted Payments permitted under Section 4.07 (other than by reference to this clause (10)); and performance guarantees and Contingent Obligations with respect to obligations that are not prohibited by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(11) any transaction to the extent it constitutes an Investment that is permitted by and made in accordance with the provisions of Section 4.11(b) hereof (except transactions described in clauses (2), (5) and (14) of Section 4.11(b) hereof) or Section 5.01;</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(12) to the extent that they constitute Investments, purchases and acquisitions of inventory, supplies, materials or equipment or purchases, acquisitions, licenses or leases of other assets, intellectual property, receivables owing to the Company or any Restricted Subsidiary or other rights, in each case in the ordinary course of business;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(13) (i) to the extent constituting Investments, any payments (including for capital expenditures) under any Satellite Purchase Agreement or any other contracts for all construction, procurement, launch, or insurance of any new Satellites and (ii) Investments in any Subsidiary or joint venture formed for the purpose of selling or leasing Satellite capacity to third-party customers in the ordinary course of business;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(14) additional Investments having an aggregate fair market value, taken together with all other Investments made pursuant to this clause (14) that are at that time outstanding (without giving effect to the sale of an Unrestricted Subsidiary to the extent the proceeds of such sale do not consist of cash or have not been subsequently sold or transferred for cash or marketable securities), not to exceed the sum of (a) the greater of $450.0 million and 60.0% of LTM EBITDA for the most recently ended Test Period, at the time of such Investment, (b) the Available Restricted Payments Amount and (c) the Available Restricted Debt Payments Amount, plus the amount of any returns (including dividends, payments, interest, distributions, returns of principal, profits on sale, repayments, income and similar amounts) in respect of such Investments (without duplication for purposes of Section 4.07(a) hereof of any amounts applied pursuant to clause (3) of the Section 4.07 hereof) (with the fair market value of each Investment being measured at the time made and without giving effect to subsequent changes in value);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(15) Investments relating to a Receivables Subsidiary that, in the good faith determination of the Company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Facilities or any related Indebtedness;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(16) advances to, or guarantees of Indebtedness of, employees not in excess of the greater of $75.0 million and 10.0% of LTM EBITDA for the most recently ended Test Period, outstanding at any one time, in the aggregate;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(17) (x) loans and advances to officers, members of the board of directors and employees of direct and indirect parent companies of the Company, the Company and its Restricted Subsidiaries (i) for business-related travel expenses, entertainment, moving expenses and other similar expenses, for ordinary business purposes, (ii) to fund such Person’s purchase of Equity Interests of the Company or any direct or indirect parent company thereof and (iii) for payroll payments and (y) Investments in the form of Recruitment Notes and other recruiting costs to certain employees or financial advisors in the ordinary course of business;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(18) Investments in joint ventures and similar entities and Unrestricted Subsidiaries having an aggregate fair market value, taken together with all other Investments made pursuant to this clause (18) that are at the time outstanding, without giving effect to the sale of an Unrestricted Subsidiary to the extent the proceeds of such sale do not consist of cash or marketable securities, not to exceed the greater of $187.5 million and 25.0% of LTM EBITDA for the most recently ended Test Period, at the time of such Investment, plus the amount of any returns (including dividends, payments, interest, distributions, returns of principal, profits on sale, repayments, income and similar amounts) in respect of such Investments (without duplication for purposes of Section 4.07 hereof of any amounts applied pursuant to clause (3) of Section 4.07(a) hereof) (with the fair market value of each Investment being measured at the time made and without giving effect to subsequent changes in value);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(19) contributions to a “rabbi” trust for the benefit of employees, directors, consultants, independent contractors or other service providers or other grantor trust subject to claims of creditors in the case of a bankruptcy of the Company;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(20) any other Investment; </w:t>
      </w:r>
      <w:r>
        <w:rPr>
          <w:rFonts w:ascii="Times New Roman;serif" w:hAnsi="Times New Roman;serif"/>
          <w:b w:val="false"/>
          <w:i/>
          <w:sz w:val="22"/>
        </w:rPr>
        <w:t>provided</w:t>
      </w:r>
      <w:r>
        <w:rPr>
          <w:rFonts w:ascii="Times New Roman;serif" w:hAnsi="Times New Roman;serif"/>
          <w:b w:val="false"/>
          <w:sz w:val="22"/>
        </w:rPr>
        <w:t xml:space="preserve">, that (a) on a </w:t>
      </w:r>
      <w:r>
        <w:rPr>
          <w:rFonts w:ascii="Times New Roman;serif" w:hAnsi="Times New Roman;serif"/>
          <w:b w:val="false"/>
          <w:sz w:val="22"/>
          <w:u w:val="single"/>
        </w:rPr>
        <w:t>pro</w:t>
      </w:r>
      <w:r>
        <w:rPr>
          <w:rFonts w:ascii="Times New Roman" w:hAnsi="Times New Roman"/>
          <w:sz w:val="20"/>
        </w:rPr>
        <w:t xml:space="preserve"> </w:t>
      </w:r>
      <w:r>
        <w:rPr>
          <w:rFonts w:ascii="Times New Roman;serif" w:hAnsi="Times New Roman;serif"/>
          <w:b w:val="false"/>
          <w:sz w:val="22"/>
          <w:u w:val="single"/>
        </w:rPr>
        <w:t>forma</w:t>
      </w:r>
      <w:r>
        <w:rPr>
          <w:rFonts w:ascii="Times New Roman" w:hAnsi="Times New Roman"/>
          <w:sz w:val="20"/>
        </w:rPr>
        <w:t xml:space="preserve"> </w:t>
      </w:r>
      <w:r>
        <w:rPr>
          <w:rFonts w:ascii="Times New Roman;serif" w:hAnsi="Times New Roman;serif"/>
          <w:b w:val="false"/>
          <w:sz w:val="22"/>
        </w:rPr>
        <w:t>basis after giving effect to such Investment the Senior Secured First Lien Net Leverage Ratio would be equal to or less than 4.60 to 1.00 and (b) and no Specified Event of Default shall have occurred and be continuing or would result therefrom;</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(21) the Transactions;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(22) Investments in the ordinary course of business consisting of UCC Article 3 endorsements for collection or deposit and UCC Article 4 customary trade arrangements with customers in the ordinary course of business;</w:t>
      </w:r>
    </w:p>
    <w:p>
      <w:pPr>
        <w:pStyle w:val="TextBody"/>
        <w:bidi w:val="0"/>
        <w:spacing w:before="0" w:after="240"/>
        <w:jc w:val="left"/>
        <w:rPr>
          <w:rFonts w:ascii="Times New Roman" w:hAnsi="Times New Roman"/>
          <w:sz w:val="20"/>
        </w:rPr>
      </w:pPr>
      <w:r>
        <w:rPr>
          <w:rFonts w:ascii="Times New Roman;serif" w:hAnsi="Times New Roman;serif"/>
          <w:b w:val="false"/>
          <w:sz w:val="22"/>
        </w:rPr>
        <w:t>(23) loans and advances to direct and indirect parent companies of the Company (x) in lieu of, and not in excess of the amount of (after giving effect to any other loans, advances or Restricted Payments in respect thereof), Restricted Payments to the extent permitted to be made to such companies in accordance with the first and second paragraphs of Section 4.07 hereof and (y) to the extent the proceeds thereof are contributed or loaned or advanced to another Restricted Subsidiary;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(24) Investments (A) for utilities, security deposits, leases and similar prepaid expenses incurred in the ordinary course of business and (B) trade accounts created, or prepaid expenses accrued, in the ordinary course of business;</w:t>
      </w:r>
    </w:p>
    <w:p>
      <w:pPr>
        <w:pStyle w:val="TextBody"/>
        <w:bidi w:val="0"/>
        <w:spacing w:before="0" w:after="240"/>
        <w:jc w:val="left"/>
        <w:rPr>
          <w:rFonts w:ascii="Times New Roman" w:hAnsi="Times New Roman"/>
          <w:sz w:val="20"/>
        </w:rPr>
      </w:pPr>
      <w:r>
        <w:rPr>
          <w:rFonts w:ascii="Times New Roman;serif" w:hAnsi="Times New Roman;serif"/>
          <w:b w:val="false"/>
          <w:sz w:val="22"/>
        </w:rPr>
        <w:t>(25) non-cash Investments in connection with tax planning and reorganization activities, and Investments in connection with a Permitted Intercompany Activities and Permitted Tax Restructuring;</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(26) any Investment in any Subsidiary or any joint venture in connection with intercompany cash management arrangements or related activities arising in the ordinary course of business;</w:t>
      </w:r>
    </w:p>
    <w:p>
      <w:pPr>
        <w:pStyle w:val="TextBody"/>
        <w:bidi w:val="0"/>
        <w:spacing w:before="0" w:after="240"/>
        <w:jc w:val="left"/>
        <w:rPr>
          <w:rFonts w:ascii="Times New Roman" w:hAnsi="Times New Roman"/>
          <w:sz w:val="20"/>
        </w:rPr>
      </w:pPr>
      <w:r>
        <w:rPr>
          <w:rFonts w:ascii="Times New Roman;serif" w:hAnsi="Times New Roman;serif"/>
          <w:b w:val="false"/>
          <w:sz w:val="22"/>
        </w:rPr>
        <w:t>(27) Investments by an Unrestricted Subsidiary entered into prior to the day such Unrestricted Subsidiary is redesignated as a Restricted Subsidiary pursuant to the definition of “Unrestricted Subsidiary”;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(28) Investments (including debt obligations and equity interests) (a) in connection with Settlements, (b) in exchange for any other Investment or accounts receivable, endorsements for collection or deposit held by the Company or any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(29) Investments made from casualty insurance proceeds in connection with the replacement, substitution, restoration or repair of assets on account of a casualty event;</w:t>
      </w:r>
    </w:p>
    <w:p>
      <w:pPr>
        <w:pStyle w:val="TextBody"/>
        <w:bidi w:val="0"/>
        <w:spacing w:before="0" w:after="240"/>
        <w:jc w:val="left"/>
        <w:rPr>
          <w:rFonts w:ascii="Times New Roman" w:hAnsi="Times New Roman"/>
          <w:sz w:val="20"/>
        </w:rPr>
      </w:pPr>
      <w:r>
        <w:rPr>
          <w:rFonts w:ascii="Times New Roman;serif" w:hAnsi="Times New Roman;serif"/>
          <w:b w:val="false"/>
          <w:sz w:val="22"/>
        </w:rPr>
        <w:t>(30) Investments made in the ordinary course of business in connection with obtaining, maintaining or renewing client contacts and loans or advances made to distributors in the ordinary course of business;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(31) Investments arising as a result of Sale and Lease-Back Transactions.</w:t>
      </w:r>
    </w:p>
    <w:p>
      <w:pPr>
        <w:pStyle w:val="TextBody"/>
        <w:bidi w:val="0"/>
        <w:spacing w:before="0" w:after="240"/>
        <w:jc w:val="left"/>
        <w:rPr/>
      </w:pPr>
      <w:r>
        <w:rPr/>
        <w:t>“</w:t>
      </w:r>
      <w:r>
        <w:rPr>
          <w:rFonts w:ascii="Times New Roman;serif" w:hAnsi="Times New Roman;serif"/>
          <w:b w:val="false"/>
          <w:sz w:val="22"/>
          <w:u w:val="single"/>
        </w:rPr>
        <w:t>Permitted Liens</w:t>
      </w:r>
      <w:r>
        <w:rPr>
          <w:rFonts w:ascii="Times New Roman" w:hAnsi="Times New Roman"/>
          <w:sz w:val="20"/>
        </w:rPr>
        <w:t xml:space="preserve">” </w:t>
      </w:r>
      <w:r>
        <w:rPr>
          <w:rFonts w:ascii="Times New Roman;serif" w:hAnsi="Times New Roman;serif"/>
          <w:b w:val="false"/>
          <w:sz w:val="22"/>
        </w:rPr>
        <w:t>means, with respect to any Person: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Liens incurred or pledges, deposits or security (a) in connection with workers’ or workmen’s compensation, unemployment insurance, employers’ health tax, social security, retirement and other similar legislation, or other insurance-related obligations (including, but not limited to, in respect of deductibles, self-insured retention amounts and premiums and adjustments thereto), (b) securing liability for reimbursement or indemnification obligations of (including obligations in respect of letters of credit or bank guarantees or similar instrument for the benefit of) insurance carriers providing property, casualty or liability insurance to the Company or any Restricted Subsidiary or otherwise supporting the payment of items set forth in the foregoing clause (a) or (c)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Liens with respect to outstanding motor vehicle fines and Liens arising or imposed by law, such as landlords’, carriers’, warehousemen’s, mechanics’, materialmen’s, repairmen’s or construction contractors’ Liens and other similar Liens, in each case (a)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IFRS or (b) so long as such Liens do not individually or in the aggregate have a Material Adverse Effect;</w:t>
      </w:r>
    </w:p>
    <w:p>
      <w:pPr>
        <w:pStyle w:val="TextBody"/>
        <w:bidi w:val="0"/>
        <w:spacing w:before="0" w:after="240"/>
        <w:jc w:val="left"/>
        <w:rPr>
          <w:rFonts w:ascii="Times New Roman" w:hAnsi="Times New Roman"/>
          <w:sz w:val="20"/>
        </w:rPr>
      </w:pPr>
      <w:r>
        <w:rPr>
          <w:rFonts w:ascii="Times New Roman;serif" w:hAnsi="Times New Roman;serif"/>
          <w:b w:val="false"/>
          <w:sz w:val="22"/>
        </w:rPr>
        <w:t>(3) Liens for taxes, assessments or other governmental charges (a) that are not overdue for a period of more than 30 days, not yet payable or subject to penalties for nonpayment that are being contested in good faith by appropriate proceedings for which adequate reserves with respect thereto are maintained on the books of the applicable Person in accordance with IFRS or (b) so long as such Liens do not individually or in the aggregate have a Material Adverse Effect;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(a) survey exceptions, encumbrances, easements, ground leases, covenants, conditions, rights-of-way, licenses, servitudes, restrictions, encroachments, protrusions, by-law, reservations of, or rights of others for sewers, electric lines, telegraph and telephone lines and other similar purposes, zoning or other restrictions (including defects and irregularities in title and similar encumbrances) and other similar encumbrances and title defects or irregularities affecting real property, that, in the aggregate, do not materially interfere with the ordinary conduct of the business of the Company and its Restricted Subsidiaries, taken as a whole, (b) rights of recapture of unused real property in favor of the seller of property set forth in customary purchase agreements and related arrangements with any governmental authority, (c) Liens arising from the right of distress enjoyed by landlords or Liens otherwise granted to landlords, in either case, to secure the payment of arrears of rent in respect of leased properties, so long as such Liens are not exercised, (d) servicing agreements, development agreements, site plan agreements and other agreements with any governmental authority pertaining to the use or development of any of the assets of the Person, </w:t>
      </w:r>
      <w:r>
        <w:rPr>
          <w:rFonts w:ascii="Times New Roman;serif" w:hAnsi="Times New Roman;serif"/>
          <w:b w:val="false"/>
          <w:i/>
          <w:sz w:val="22"/>
        </w:rPr>
        <w:t>provided</w:t>
      </w:r>
      <w:r>
        <w:rPr>
          <w:rFonts w:ascii="Times New Roman;serif" w:hAnsi="Times New Roman;serif"/>
          <w:b w:val="false"/>
          <w:sz w:val="22"/>
        </w:rPr>
        <w:t>, that the same are complied with in all material respects and do not materially reduce the value of the assets of the Person or materially interfere with the use of such assets in the operation of the business of such Person, (e) the reservations in any original grants from the crown of any land or interest therein and statutory exceptions to title and (f) other Liens on real property (including ground leases in respect of real property on which facilities owned or leased by the Company or any of the Restricted Subsidiaries are located);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(6) (a) Liens securing Obligations relating to any Indebtedness to be incurred pursuant to Section 4.09(a) hereof that are secured by a Lien on the Collateral that is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 xml:space="preserve">with the Lien securing the Secured Obligations, secured by a Lien on the Collateral that is junior to the Lien securing the Secured Obligations, or that is unsecured or secured by assets that are not Collateral to the extent that (1) if such Indebtedness is secured by a Lien on the Collateral on a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 xml:space="preserve">basis with the Liens on the Collateral securing the Secured Obligations, (i) the Senior Secured First Lien Net Leverage Ratio of the Company and its Restricted Subsidiaries, after giving effect to the incurrence of such Indebtedness and the use of proceeds thereof, would not exceed 5.10 to 1.00 and (ii) such new Lien shall be subject to a Customary Intercreditor Agreement or, (2) if such Indebtedness is secured by a Lien on the Collateral on a junior priority basis with the Liens on the Collateral securing the Secured Obligations, (i) the Senior Secured Net Leverage Ratio of the Company and the Restricted Subsidiaries, after giving effect to the incurrence of such Indebtedness and the use of proceeds thereof, would not exceed 5.10 to 1.00 and (ii) such new Lien shall be subject to a junior priority Customary Intercreditor Agreement, and (3) if such Indebtedness is secured by assets that do not become Collateral, the Total Net Leverage Ratio of the Company and the Restricted Subsidiaries, after giving effect to the incurrence of such Indebtedness, and the use of proceeds thereof, would not exceed 5.10 to 1.00 and (b) Liens securing Obligations relating to any Indebtedness permitted to be incurred pursuant to clauses (1), (4), (12), (13), (14) (other than any unsecured Indebtedness permitted to be incurred pursuant to clause (14)), (18), (21) or (29) of Section 4.09(b) hereof; </w:t>
      </w:r>
      <w:r>
        <w:rPr>
          <w:rFonts w:ascii="Times New Roman;serif" w:hAnsi="Times New Roman;serif"/>
          <w:b w:val="false"/>
          <w:i/>
          <w:sz w:val="22"/>
        </w:rPr>
        <w:t>provided</w:t>
      </w:r>
      <w:r>
        <w:rPr>
          <w:rFonts w:ascii="Times New Roman;serif" w:hAnsi="Times New Roman;serif"/>
          <w:b w:val="false"/>
          <w:sz w:val="22"/>
        </w:rPr>
        <w:t xml:space="preserve">, that for purposes of this clause (6)(b), any Lien securing Obligations relating to any Indebtedness that is incurred under clause (13) of Section 4.09(b) hereof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r>
        <w:rPr>
          <w:rFonts w:ascii="Times New Roman;serif" w:hAnsi="Times New Roman;serif"/>
          <w:b w:val="false"/>
          <w:i/>
          <w:sz w:val="22"/>
        </w:rPr>
        <w:t>provided, further</w:t>
      </w:r>
      <w:r>
        <w:rPr>
          <w:rFonts w:ascii="Times New Roman" w:hAnsi="Times New Roman"/>
          <w:sz w:val="20"/>
        </w:rPr>
        <w:t xml:space="preserve"> </w:t>
      </w:r>
      <w:r>
        <w:rPr>
          <w:rFonts w:ascii="Times New Roman;serif" w:hAnsi="Times New Roman;serif"/>
          <w:b w:val="false"/>
          <w:sz w:val="22"/>
        </w:rPr>
        <w:t>that (a) Liens securing Indebtedness permitted to be incurred pursuant to clause (18) of Section 4.09(b) hereof are solely on acquired property or the assets of the acquired entity, as the case may be and (b) Liens on Collateral securing Indebtedness permitted to be incurred pursuant to clause (1) of Section 4.09(b) hereof shall be subject to a Customary Intercreditor Agreement;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(7) Liens existing on the Completion Date and, in each case, any modifications, replacements, renewals, refinancings, or extensions thereof (other than Liens incurred in connection with the Senior Credit Facilities and Notes issued on or prior to the Completion Date);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(8) (a) Liens on property or shares of stock or other assets of a Person at the time such Person becomes a Subsidiary and (b) and Liens existing on property or other assets at the time of its acquisition;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such Liens are not created or incurred in connection with, or in contemplation of, such acquisition, amalgamation, merger or consolidation;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such Liens may not extend to any other property or other assets owned by the Company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Indenture that require or include, pursuant to their terms at such time, a pledge of after-acquired property, it being understood that such requirement shall not be permitted to apply to any property to which such requirement would not have applied but for such acquisition);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(9) Liens (a)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or any Asset Sale permitted under this Indenture (including any letter of intent or purchase agreement with respect to such Investment or Asset Sale), (b) consisting of an agreement to dispose of any property in an Asset Sale permitted under this Indenture, in each case, solely to the extent such Investment or Asset Sale, as the case may be, would have been permitted on the date of the creation of such Lien and (c) solely on any cash earnest money deposits made by the Company or any of its Restricted Subsidiaries in connection with any letter of intent or purchase agreement permitted under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(10) (a) Liens securing Indebtedness or other obligations of a Restricted Subsidiary owing to the Company or another Restricted Subsidiary permitted to be incurred in accordance with Section 4.09 hereof and (b) Liens on assets or property of a Non-Guarantor Subsidiary securing Indebtedness and other obligations of such Non-Guarantor Subsidiary;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(11) (a) Liens securing Hedging Obligations or on cash or Cash Equivalents securing Hedging Obligations;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 xml:space="preserve">that with respect to Hedging Obligations relating to Indebtedness, such Indebtedness is permitted under this Indenture, (b) Liens on cash and Cash Equivalents used to satisfy or discharge Indebtedness;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such satisfaction or discharge is permitted under this Indenture and (c) Liens on cash and Cash Equivalents or other marketable securities securing letters of credit of the Company or any Guarantor (which Indebtedness represented by such letters of credit is permitted to be incurred under this Indenture) that are cash collateralized in an amount of cash, Cash Equivalents or other marketable securities with a fair market value of up to 105.0% of the face amount of such letters of credit being secured;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(12) 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(13) (a) leases, subleases, licenses or sublicenses granted to others in the ordinary course of business or consistent with past practice that do not materially interfere with the operation of the business of the Company or any of its Restricted Subsidiaries, taken as a whole, (b) any interest or title of a lessor or licensee under any lease or license entered into by the Company or any Restricted Subsidiary in the ordinary course of its business or consistent with past practice and (c) Liens arising from grants of non-exclusive licenses or sublicenses, or other similar grants of rights, of intellectual property;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(14) Liens arising from UCC (or equivalent statute) financing statement filings regarding operating leases or consignments entered into by the Company and its Restricted Subsidiaries in the ordinary course of business and other Liens arising solely from precautionary UCC financing statements or similar filings;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(15) Liens in favor of the Issuers or any Guarantor (including, but not limited to, Liens on any assets of the Company or any of its Restricted Subsidiaries);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(16) Liens on equipment or vehicles of the Company or any of its Restricted Subsidiaries granted in the ordinary course of business or consistent with past practice;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(17) Liens on accounts receivable and related assets incurred in connection with a Receivables Facility;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(6), (7), (8) and this clause (18);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(a) such new Lien shall be limited to all or part of the same property that secured the original Lien (plus improvements on such property) and the proceeds and products thereof, (b) the Indebtedness secured by such Lien at such time is not increased to any amount greater than the sum of (i) the outstanding principal amount or, if greater, committed amount of the Indebtedness described under clauses (6), (7) and (8) at the time the original Lien became a Permitted Lien under this Indenture, and (ii) an amount necessary to pay any fees and expenses, including premiums and accrued and unpaid interest, related to such modification, refinancing, refunding, extension, renewal or replacement and (c) any such new Lien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(19) (a) deposits made or other security provided in the ordinary course of business to secure liability to insurance carriers and (b) Liens on insurance policies and the proceeds thereof securing the financing of the premiums with respect thereto;</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(20) other Liens securing obligations which do not exceed the greater of $450.0 million and 60.0% of LTM EBITDA for the most recently ended Test Period, at the time of the incurrence of such Lien;</w:t>
      </w:r>
    </w:p>
    <w:p>
      <w:pPr>
        <w:pStyle w:val="TextBody"/>
        <w:bidi w:val="0"/>
        <w:spacing w:before="0" w:after="240"/>
        <w:jc w:val="left"/>
        <w:rPr>
          <w:rFonts w:ascii="Times New Roman" w:hAnsi="Times New Roman"/>
          <w:sz w:val="20"/>
        </w:rPr>
      </w:pPr>
      <w:r>
        <w:rPr>
          <w:rFonts w:ascii="Times New Roman;serif" w:hAnsi="Times New Roman;serif"/>
          <w:b w:val="false"/>
          <w:sz w:val="22"/>
        </w:rPr>
        <w:t>(21) Liens securing, or otherwise arising from, judgments for the payment of money not constituting an Event of Default under clause (5) of Section 6.01(a) 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(22) Liens in favor of customs and revenue authorities arising as a matter of law to secure payment of customs duties in connection with the importation of goods;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(23) Liens (a) of a collection bank arising under applicable law, including Section 4-210 of the UCC, or any comparable or successor provision, on items in the course of collection; (b) attaching to pooling, commodity or securities trading accounts or other commodity or securities brokerage accounts incurred in the ordinary course of business; or (c) in favor of a banking or other financial institution or entity, or electronic payment service provider, arising as a matter of law or under customary terms and conditions encumbering deposits or other funds maintained with a financial institution (including the right of setoff) and which are within the general parameters 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(24) Liens deemed to exist in connection with Investments in repurchase agreements permitted under Section 4.09 hereof, including Liens deemed to exist in connection with Investments in repurchase agreements under clause (12) of the definition of the term “Cash Equivalents”; </w:t>
      </w:r>
      <w:r>
        <w:rPr>
          <w:rFonts w:ascii="Times New Roman;serif" w:hAnsi="Times New Roman;serif"/>
          <w:b w:val="false"/>
          <w:i/>
          <w:sz w:val="22"/>
        </w:rPr>
        <w:t>provided</w:t>
      </w:r>
      <w:r>
        <w:rPr>
          <w:rFonts w:ascii="Times New Roman;serif" w:hAnsi="Times New Roman;serif"/>
          <w:b w:val="false"/>
          <w:sz w:val="22"/>
        </w:rPr>
        <w:t>, that such Liens do not extend to any assets other than those that are the subject of such repurchase agreement;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(25) Liens encumbering reasonable customary initial deposits and margin deposits and similar Liens attaching to commodity trading accounts or other brokerage accounts incurred in the ordinary course of business and not for speculative purposes;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(26) Liens that are contractual rights of setoff, banker’s lien, netting agreements and other Liens (a) relating to deposit accounts, securities accounts, cash management arrangements or in connection with the issuance of Indebtedness, including letters of credit, bank guarantees or other similar instruments, (b) relating to pooled deposit or sweep accounts to permit satisfaction of overdraft or similar obligations incurred in the ordinary course of business of the Company and its Restricted Subsidiaries or (c) relating to purchase orders and other agreements entered into with customers of the Company or any of its Restricted Subsidiaries in the ordinary course of business;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(27) Settlement Liens;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(28) Liens on goods the purchase price of which is financed by a documentary letter of credit issued for the account of the Company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serif" w:hAnsi="Times New Roman;serif"/>
          <w:b w:val="false"/>
          <w:i/>
          <w:sz w:val="22"/>
        </w:rPr>
        <w:t>provided</w:t>
      </w:r>
      <w:r>
        <w:rPr>
          <w:rFonts w:ascii="Times New Roman;serif" w:hAnsi="Times New Roman;serif"/>
          <w:b w:val="false"/>
          <w:sz w:val="22"/>
        </w:rPr>
        <w:t>, that such Lien secures only the obligations of the Company or such Subsidiaries in respect of such letter of credit to the extent such obligations are permitted under Section 4.09 hereof;</w:t>
      </w:r>
    </w:p>
    <w:p>
      <w:pPr>
        <w:pStyle w:val="TextBody"/>
        <w:bidi w:val="0"/>
        <w:spacing w:before="0" w:after="240"/>
        <w:jc w:val="left"/>
        <w:rPr>
          <w:rFonts w:ascii="Times New Roman" w:hAnsi="Times New Roman"/>
          <w:sz w:val="20"/>
        </w:rPr>
      </w:pPr>
      <w:r>
        <w:rPr>
          <w:rFonts w:ascii="Times New Roman;serif" w:hAnsi="Times New Roman;serif"/>
          <w:b w:val="false"/>
          <w:sz w:val="22"/>
        </w:rPr>
        <w:t>(29) (a) Liens on Equity Interests of an Unrestricted Subsidiary that secure Indebtedness or other obligations of such Unrestricted Subsidiary and (b) Liens</w:t>
      </w:r>
      <w:r>
        <w:rPr>
          <w:rFonts w:ascii="Times New Roman" w:hAnsi="Times New Roman"/>
          <w:sz w:val="20"/>
        </w:rPr>
        <w:t xml:space="preserve"> </w:t>
      </w:r>
      <w:r>
        <w:rPr>
          <w:rFonts w:ascii="Times New Roman;serif" w:hAnsi="Times New Roman;serif"/>
          <w:b w:val="false"/>
          <w:sz w:val="22"/>
        </w:rPr>
        <w:t>then existing with respect to assets of an Unrestricted Subsidiary on the day such Unrestricted Subsidiary is redesignated as a Restricted Subsidiary as described under the definition of “Unrestricted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(30) Receipt of progress payments and advances from customers in the ordinary course of business to the extent the same creates a Lien on the related inventory and proceeds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(31) Liens on Equity Interests of any joint venture (a) securing obligations of such joint venture or (b) pursuant to the relevant joint venture agreement or arrangement;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(32) Liens arising out of conditional sale, title retention, consignment or similar arrangements for the sale or purchase of goods entered into by the Company or any Restricted Subsidiary in the ordinary course of business;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(33) the rights reserved or vested in any Person by the terms of any lease, license, franchise, grant or permit held by the Company or any Restricted Subsidiary thereof or by a statutory provision, to terminate any such lease, license, franchise, grant or permit, or to require annual or periodic payments as a condition to the continuance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(34) additional Liens securing Indebtedness in an aggregate principal amount not to exceed the Available Amount that is not otherwise applied pursuant to clause (26) of Section 4.09(b) hereof and in Section 4.07(a) hereof as in effect immediately prior to the incurrence of such Liens (and after giving pro forma effect thereto);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(35) Liens securing Indebtedness in an aggregate principal amount that does not exceed the amount of Excluded Contributions made since the Completion Date that is not otherwise applied pursuant to clause (27) of Section 4.09(b) hereof and clause (10) of Section 4.07(b) hereof, as in effect immediately prior to the incurrence of such Liens (and after giving pro forma effect thereto);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(36) Liens relating to escrow arrangements securing Indebtedness (including the Escrow Account),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pStyle w:val="TextBody"/>
        <w:bidi w:val="0"/>
        <w:spacing w:before="0" w:after="240"/>
        <w:jc w:val="left"/>
        <w:rPr>
          <w:rFonts w:ascii="Times New Roman" w:hAnsi="Times New Roman"/>
          <w:sz w:val="20"/>
        </w:rPr>
      </w:pPr>
      <w:r>
        <w:rPr>
          <w:rFonts w:ascii="Times New Roman;serif" w:hAnsi="Times New Roman;serif"/>
          <w:b w:val="false"/>
          <w:sz w:val="22"/>
        </w:rPr>
        <w:t>(37) Liens arising in connection with any Permitted Intercompany Activities and Permitted Tax Restructuring;</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(38) Liens in connection with Sale and Lease-Back Transactions;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(39) Liens securing the Note Obligations with respect to Notes issued on the Issue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classified or reclassified.</w:t>
      </w:r>
    </w:p>
    <w:p>
      <w:pPr>
        <w:pStyle w:val="TextBody"/>
        <w:bidi w:val="0"/>
        <w:spacing w:before="0" w:after="240"/>
        <w:jc w:val="left"/>
        <w:rPr/>
      </w:pPr>
      <w:r>
        <w:rPr/>
        <w:t>“</w:t>
      </w:r>
      <w:r>
        <w:rPr>
          <w:rFonts w:ascii="Times New Roman;serif" w:hAnsi="Times New Roman;serif"/>
          <w:b w:val="false"/>
          <w:sz w:val="22"/>
          <w:u w:val="single"/>
        </w:rPr>
        <w:t>Permitted Parent</w:t>
      </w:r>
      <w:r>
        <w:rPr>
          <w:rFonts w:ascii="Times New Roman" w:hAnsi="Times New Roman"/>
          <w:sz w:val="20"/>
        </w:rPr>
        <w:t xml:space="preserve">” </w:t>
      </w:r>
      <w:r>
        <w:rPr>
          <w:rFonts w:ascii="Times New Roman;serif" w:hAnsi="Times New Roman;serif"/>
          <w:b w:val="false"/>
          <w:sz w:val="22"/>
        </w:rPr>
        <w:t xml:space="preserve">means any direct or indirect parent entity of the Company (other than a Person formed in connection with, or in contemplation of, a Change of Control transaction that results in a modification of the beneficial ownership of the Company) that beneficially owns 100.0% of the issued and outstanding Voting Stock of the Company, </w:t>
      </w:r>
      <w:r>
        <w:rPr>
          <w:rFonts w:ascii="Times New Roman;serif" w:hAnsi="Times New Roman;serif"/>
          <w:b w:val="false"/>
          <w:i/>
          <w:sz w:val="22"/>
        </w:rPr>
        <w:t>provided</w:t>
      </w:r>
      <w:r>
        <w:rPr>
          <w:rFonts w:ascii="Times New Roman;serif" w:hAnsi="Times New Roman;serif"/>
          <w:b w:val="false"/>
          <w:sz w:val="22"/>
        </w:rPr>
        <w:t>, that the ultimate beneficial ownership of the Company has not been modified by the transaction by which such parent entity became the beneficial owner of 100.0% of the Voting Stock of the Company.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Permitted Tax Restructuring</w:t>
      </w:r>
      <w:r>
        <w:rPr>
          <w:rFonts w:ascii="Times New Roman" w:hAnsi="Times New Roman"/>
          <w:sz w:val="20"/>
        </w:rPr>
        <w:t xml:space="preserve">” </w:t>
      </w:r>
      <w:r>
        <w:rPr>
          <w:rFonts w:ascii="Times New Roman;serif" w:hAnsi="Times New Roman;serif"/>
          <w:b w:val="false"/>
          <w:sz w:val="22"/>
        </w:rPr>
        <w:t>means any reorganizations and other activities related to tax planning and tax reorganization entered into prior to, on or after the date hereof so long as such Permitted Tax Restructuring is not materially adverse to the Holders (as determined by the Company in good faith).</w:t>
      </w:r>
    </w:p>
    <w:p>
      <w:pPr>
        <w:pStyle w:val="TextBody"/>
        <w:bidi w:val="0"/>
        <w:spacing w:before="0" w:after="240"/>
        <w:jc w:val="left"/>
        <w:rPr/>
      </w:pPr>
      <w:r>
        <w:rPr/>
        <w:t>“</w:t>
      </w:r>
      <w:r>
        <w:rPr>
          <w:rFonts w:ascii="Times New Roman;serif" w:hAnsi="Times New Roman;serif"/>
          <w:b w:val="false"/>
          <w:sz w:val="22"/>
          <w:u w:val="single"/>
        </w:rPr>
        <w:t>Person</w:t>
      </w:r>
      <w:r>
        <w:rPr>
          <w:rFonts w:ascii="Times New Roman" w:hAnsi="Times New Roman"/>
          <w:sz w:val="20"/>
        </w:rPr>
        <w:t xml:space="preserve">” </w:t>
      </w:r>
      <w:r>
        <w:rPr>
          <w:rFonts w:ascii="Times New Roman;serif" w:hAnsi="Times New Roman;serif"/>
          <w:b w:val="false"/>
          <w:sz w:val="22"/>
        </w:rPr>
        <w:t>means any individual, corporation, limited liability company, partnership, joint venture, association, joint stock company, trust, unincorporated organization, government or any agency or political subdivision thereof or any other entity.</w:t>
      </w:r>
    </w:p>
    <w:p>
      <w:pPr>
        <w:pStyle w:val="TextBody"/>
        <w:bidi w:val="0"/>
        <w:spacing w:before="0" w:after="240"/>
        <w:jc w:val="left"/>
        <w:rPr/>
      </w:pPr>
      <w:r>
        <w:rPr/>
        <w:t>“</w:t>
      </w:r>
      <w:r>
        <w:rPr>
          <w:rFonts w:ascii="Times New Roman;serif" w:hAnsi="Times New Roman;serif"/>
          <w:b w:val="false"/>
          <w:sz w:val="22"/>
          <w:u w:val="single"/>
        </w:rPr>
        <w:t>Post-Transaction Period</w:t>
      </w:r>
      <w:r>
        <w:rPr>
          <w:rFonts w:ascii="Times New Roman" w:hAnsi="Times New Roman"/>
          <w:sz w:val="20"/>
        </w:rPr>
        <w:t xml:space="preserve">” </w:t>
      </w:r>
      <w:r>
        <w:rPr>
          <w:rFonts w:ascii="Times New Roman;serif" w:hAnsi="Times New Roman;serif"/>
          <w:b w:val="false"/>
          <w:sz w:val="22"/>
        </w:rPr>
        <w:t>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pStyle w:val="TextBody"/>
        <w:bidi w:val="0"/>
        <w:spacing w:before="0" w:after="240"/>
        <w:jc w:val="left"/>
        <w:rPr/>
      </w:pPr>
      <w:r>
        <w:rPr/>
        <w:t>“</w:t>
      </w:r>
      <w:r>
        <w:rPr>
          <w:rFonts w:ascii="Times New Roman;serif" w:hAnsi="Times New Roman;serif"/>
          <w:b w:val="false"/>
          <w:sz w:val="22"/>
          <w:u w:val="single"/>
        </w:rPr>
        <w:t>Preferred Stock</w:t>
      </w:r>
      <w:r>
        <w:rPr>
          <w:rFonts w:ascii="Times New Roman" w:hAnsi="Times New Roman"/>
          <w:sz w:val="20"/>
        </w:rPr>
        <w:t xml:space="preserve">” </w:t>
      </w:r>
      <w:r>
        <w:rPr>
          <w:rFonts w:ascii="Times New Roman;serif" w:hAnsi="Times New Roman;serif"/>
          <w:b w:val="false"/>
          <w:sz w:val="22"/>
        </w:rPr>
        <w:t>means any Equity Interest with preferential rights of payment of dividends or upon liquidation, dissolution, or winding up.</w:t>
      </w:r>
    </w:p>
    <w:p>
      <w:pPr>
        <w:pStyle w:val="TextBody"/>
        <w:bidi w:val="0"/>
        <w:spacing w:before="0" w:after="240"/>
        <w:jc w:val="left"/>
        <w:rPr/>
      </w:pPr>
      <w:r>
        <w:rPr/>
        <w:t>“</w:t>
      </w:r>
      <w:r>
        <w:rPr>
          <w:rFonts w:ascii="Times New Roman;serif" w:hAnsi="Times New Roman;serif"/>
          <w:b w:val="false"/>
          <w:sz w:val="22"/>
          <w:u w:val="single"/>
        </w:rPr>
        <w:t>Private Placement Legend</w:t>
      </w:r>
      <w:r>
        <w:rPr>
          <w:rFonts w:ascii="Times New Roman" w:hAnsi="Times New Roman"/>
          <w:sz w:val="20"/>
        </w:rPr>
        <w:t xml:space="preserve">” </w:t>
      </w:r>
      <w:r>
        <w:rPr>
          <w:rFonts w:ascii="Times New Roman;serif" w:hAnsi="Times New Roman;serif"/>
          <w:b w:val="false"/>
          <w:sz w:val="22"/>
        </w:rPr>
        <w:t>means the legend set forth in Section 2.06(g)(i) hereof to be placed on all Notes issued under this Indenture, except where otherwise permitted by the provisions of this Indenture.</w:t>
      </w:r>
    </w:p>
    <w:p>
      <w:pPr>
        <w:pStyle w:val="TextBody"/>
        <w:bidi w:val="0"/>
        <w:spacing w:before="0" w:after="240"/>
        <w:jc w:val="left"/>
        <w:rPr/>
      </w:pPr>
      <w:r>
        <w:rPr/>
        <w:t>“</w:t>
      </w:r>
      <w:r>
        <w:rPr>
          <w:rFonts w:ascii="Times New Roman;serif" w:hAnsi="Times New Roman;serif"/>
          <w:b w:val="false"/>
          <w:sz w:val="22"/>
          <w:u w:val="single"/>
        </w:rPr>
        <w:t>Pro Forma Disposal Adjustment</w:t>
      </w:r>
      <w:r>
        <w:rPr>
          <w:rFonts w:ascii="Times New Roman" w:hAnsi="Times New Roman"/>
          <w:sz w:val="20"/>
        </w:rPr>
        <w:t xml:space="preserve">” </w:t>
      </w:r>
      <w:r>
        <w:rPr>
          <w:rFonts w:ascii="Times New Roman;serif" w:hAnsi="Times New Roman;serif"/>
          <w:b w:val="false"/>
          <w:sz w:val="22"/>
        </w:rPr>
        <w:t>means, for any relevant period that includes all or a portion of a fiscal quarter included in any Post-Transaction Period with respect to any Sold Entity or Business, the pro forma increase or decrease in Consolidated EBITDA projected by the Company in good faith as a result of contractual arrangements between the Company or any Restricted Subsidiary entered into with such Sold Entity or Business at the time of its disposal or within the Post-Transaction Period and which represents an increase or decrease in Consolidated EBITDA which is incremental to the Disposed EBITDA of such Sold Entity or Business for such period.</w:t>
      </w:r>
    </w:p>
    <w:p>
      <w:pPr>
        <w:pStyle w:val="TextBody"/>
        <w:bidi w:val="0"/>
        <w:spacing w:before="0" w:after="240"/>
        <w:jc w:val="left"/>
        <w:rPr/>
      </w:pPr>
      <w:r>
        <w:rPr/>
        <w:t>“</w:t>
      </w:r>
      <w:r>
        <w:rPr>
          <w:rFonts w:ascii="Times New Roman;serif" w:hAnsi="Times New Roman;serif"/>
          <w:b w:val="false"/>
          <w:sz w:val="22"/>
          <w:u w:val="single"/>
        </w:rPr>
        <w:t>Public Company Costs</w:t>
      </w:r>
      <w:r>
        <w:rPr>
          <w:rFonts w:ascii="Times New Roman" w:hAnsi="Times New Roman"/>
          <w:sz w:val="20"/>
        </w:rPr>
        <w:t xml:space="preserve">” </w:t>
      </w:r>
      <w:r>
        <w:rPr>
          <w:rFonts w:ascii="Times New Roman;serif" w:hAnsi="Times New Roman;serif"/>
          <w:b w:val="false"/>
          <w:sz w:val="22"/>
        </w:rPr>
        <w:t>means, as to the Company,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pStyle w:val="TextBody"/>
        <w:bidi w:val="0"/>
        <w:spacing w:before="0" w:after="240"/>
        <w:jc w:val="left"/>
        <w:rPr/>
      </w:pPr>
      <w:r>
        <w:rPr/>
        <w:t>“</w:t>
      </w:r>
      <w:r>
        <w:rPr>
          <w:rFonts w:ascii="Times New Roman;serif" w:hAnsi="Times New Roman;serif"/>
          <w:b w:val="false"/>
          <w:sz w:val="22"/>
          <w:u w:val="single"/>
        </w:rPr>
        <w:t>QIB</w:t>
      </w:r>
      <w:r>
        <w:rPr>
          <w:rFonts w:ascii="Times New Roman" w:hAnsi="Times New Roman"/>
          <w:sz w:val="20"/>
        </w:rPr>
        <w:t xml:space="preserve">” </w:t>
      </w:r>
      <w:r>
        <w:rPr>
          <w:rFonts w:ascii="Times New Roman;serif" w:hAnsi="Times New Roman;serif"/>
          <w:b w:val="false"/>
          <w:sz w:val="22"/>
        </w:rPr>
        <w:t>means a “qualified institutional buyer” as defined in Rule 144A.</w:t>
      </w:r>
    </w:p>
    <w:p>
      <w:pPr>
        <w:pStyle w:val="TextBody"/>
        <w:bidi w:val="0"/>
        <w:spacing w:before="0" w:after="240"/>
        <w:jc w:val="left"/>
        <w:rPr/>
      </w:pPr>
      <w:r>
        <w:rPr/>
        <w:t>“</w:t>
      </w:r>
      <w:r>
        <w:rPr>
          <w:rFonts w:ascii="Times New Roman;serif" w:hAnsi="Times New Roman;serif"/>
          <w:b w:val="false"/>
          <w:sz w:val="22"/>
          <w:u w:val="single"/>
        </w:rPr>
        <w:t>Qualified Proceeds</w:t>
      </w:r>
      <w:r>
        <w:rPr>
          <w:rFonts w:ascii="Times New Roman" w:hAnsi="Times New Roman"/>
          <w:sz w:val="20"/>
        </w:rPr>
        <w:t xml:space="preserve">” </w:t>
      </w:r>
      <w:r>
        <w:rPr>
          <w:rFonts w:ascii="Times New Roman;serif" w:hAnsi="Times New Roman;serif"/>
          <w:b w:val="false"/>
          <w:sz w:val="22"/>
        </w:rPr>
        <w:t xml:space="preserve">means assets that are used or useful in, or Capital Stock of any Person engaged in, a Similar Business; </w:t>
      </w:r>
      <w:r>
        <w:rPr>
          <w:rFonts w:ascii="Times New Roman;serif" w:hAnsi="Times New Roman;serif"/>
          <w:b w:val="false"/>
          <w:i/>
          <w:sz w:val="22"/>
        </w:rPr>
        <w:t>provided</w:t>
      </w:r>
      <w:r>
        <w:rPr>
          <w:rFonts w:ascii="Times New Roman;serif" w:hAnsi="Times New Roman;serif"/>
          <w:b w:val="false"/>
          <w:sz w:val="22"/>
        </w:rPr>
        <w:t>, that the fair market value of any such assets or Capital Stock shall be determined by the Company in good faith.</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Rating Agencies</w:t>
      </w:r>
      <w:r>
        <w:rPr>
          <w:rFonts w:ascii="Times New Roman" w:hAnsi="Times New Roman"/>
          <w:sz w:val="20"/>
        </w:rPr>
        <w:t xml:space="preserve">” </w:t>
      </w:r>
      <w:r>
        <w:rPr>
          <w:rFonts w:ascii="Times New Roman;serif" w:hAnsi="Times New Roman;serif"/>
          <w:b w:val="false"/>
          <w:sz w:val="22"/>
        </w:rPr>
        <w:t>means Moody’s, S&amp;P and Fitch or if Moody’s, S&amp;P or Fitch (or any combination thereof) shall not make a rating on the Notes publicly available, a nationally recognized statistical rating agency or agencies, as the case may be, selected by the Company which shall be substituted for Moody’s, S&amp;P or Fitch (or such combination thereof), as the case may be.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Receivables Assets</w:t>
      </w:r>
      <w:r>
        <w:rPr>
          <w:rFonts w:ascii="Times New Roman" w:hAnsi="Times New Roman"/>
          <w:sz w:val="20"/>
        </w:rPr>
        <w:t xml:space="preserve">” </w:t>
      </w:r>
      <w:r>
        <w:rPr>
          <w:rFonts w:ascii="Times New Roman;serif" w:hAnsi="Times New Roman;serif"/>
          <w:b w:val="false"/>
          <w:sz w:val="22"/>
        </w:rPr>
        <w:t>means accounts receivable, royalty and other similar rights to payment and any other assets related thereto subject to a Receivables Facility that are customarily sold or pledged in connection with receivables transactions and the proceeds thereof.</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Receivables Facility</w:t>
      </w:r>
      <w:r>
        <w:rPr>
          <w:rFonts w:ascii="Times New Roman" w:hAnsi="Times New Roman"/>
          <w:sz w:val="20"/>
        </w:rPr>
        <w:t xml:space="preserve">” </w:t>
      </w:r>
      <w:r>
        <w:rPr>
          <w:rFonts w:ascii="Times New Roman;serif" w:hAnsi="Times New Roman;serif"/>
          <w:b w:val="false"/>
          <w:sz w:val="22"/>
        </w:rPr>
        <w:t>means any of one or more receivables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Company or any of its Restricted Subsidiaries (other than a Receivables Subsidiary) pursuant to which the Company or any of its Restricted Subsidiaries sells or grants a security interest in its accounts receivable or assets related thereto that are customarily sold or pledged in connection with securitization transactions to either (a) a Person that is not a Restricted Subsidiary or (b) a Receivables Subsidiary that in turn sells its accounts receivable to a Person that is not a Restricted Subsidiary.</w:t>
      </w:r>
    </w:p>
    <w:p>
      <w:pPr>
        <w:pStyle w:val="TextBody"/>
        <w:bidi w:val="0"/>
        <w:spacing w:before="0" w:after="240"/>
        <w:jc w:val="left"/>
        <w:rPr/>
      </w:pPr>
      <w:r>
        <w:rPr/>
        <w:t>“</w:t>
      </w:r>
      <w:r>
        <w:rPr>
          <w:rFonts w:ascii="Times New Roman;serif" w:hAnsi="Times New Roman;serif"/>
          <w:b w:val="false"/>
          <w:sz w:val="22"/>
          <w:u w:val="single"/>
        </w:rPr>
        <w:t>Receivables Fees</w:t>
      </w:r>
      <w:r>
        <w:rPr>
          <w:rFonts w:ascii="Times New Roman" w:hAnsi="Times New Roman"/>
          <w:sz w:val="20"/>
        </w:rPr>
        <w:t xml:space="preserve">” </w:t>
      </w:r>
      <w:r>
        <w:rPr>
          <w:rFonts w:ascii="Times New Roman;serif" w:hAnsi="Times New Roman;serif"/>
          <w:b w:val="false"/>
          <w:sz w:val="22"/>
        </w:rPr>
        <w:t>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w:t>
      </w:r>
    </w:p>
    <w:p>
      <w:pPr>
        <w:pStyle w:val="TextBody"/>
        <w:bidi w:val="0"/>
        <w:spacing w:before="0" w:after="240"/>
        <w:jc w:val="left"/>
        <w:rPr/>
      </w:pPr>
      <w:r>
        <w:rPr/>
        <w:t>“</w:t>
      </w:r>
      <w:r>
        <w:rPr>
          <w:rFonts w:ascii="Times New Roman;serif" w:hAnsi="Times New Roman;serif"/>
          <w:b w:val="false"/>
          <w:sz w:val="22"/>
          <w:u w:val="single"/>
        </w:rPr>
        <w:t>Receivables Subsidiary</w:t>
      </w:r>
      <w:r>
        <w:rPr>
          <w:rFonts w:ascii="Times New Roman" w:hAnsi="Times New Roman"/>
          <w:sz w:val="20"/>
        </w:rPr>
        <w:t xml:space="preserve">” </w:t>
      </w:r>
      <w:r>
        <w:rPr>
          <w:rFonts w:ascii="Times New Roman;serif" w:hAnsi="Times New Roman;serif"/>
          <w:b w:val="false"/>
          <w:sz w:val="22"/>
        </w:rPr>
        <w:t>means any Subsidiary formed for the purpose of, and that solely engages only in one or more Receivables Facilities and other activities reasonably related or incidental thereto.</w:t>
      </w:r>
    </w:p>
    <w:p>
      <w:pPr>
        <w:pStyle w:val="TextBody"/>
        <w:bidi w:val="0"/>
        <w:spacing w:before="0" w:after="240"/>
        <w:jc w:val="left"/>
        <w:rPr/>
      </w:pPr>
      <w:r>
        <w:rPr/>
        <w:t>“</w:t>
      </w:r>
      <w:r>
        <w:rPr>
          <w:rFonts w:ascii="Times New Roman;serif" w:hAnsi="Times New Roman;serif"/>
          <w:b w:val="false"/>
          <w:sz w:val="22"/>
          <w:u w:val="single"/>
        </w:rPr>
        <w:t>Record Date</w:t>
      </w:r>
      <w:r>
        <w:rPr>
          <w:rFonts w:ascii="Times New Roman" w:hAnsi="Times New Roman"/>
          <w:sz w:val="20"/>
        </w:rPr>
        <w:t xml:space="preserve">” </w:t>
      </w:r>
      <w:r>
        <w:rPr>
          <w:rFonts w:ascii="Times New Roman;serif" w:hAnsi="Times New Roman;serif"/>
          <w:b w:val="false"/>
          <w:sz w:val="22"/>
        </w:rPr>
        <w:t>for the interest payable on any applicable Interest Payment Date means March 15 or September 15 (whether or not a Business Day) next preceding such Interest Payment Date.</w:t>
      </w:r>
    </w:p>
    <w:p>
      <w:pPr>
        <w:pStyle w:val="TextBody"/>
        <w:bidi w:val="0"/>
        <w:spacing w:before="0" w:after="240"/>
        <w:jc w:val="left"/>
        <w:rPr/>
      </w:pPr>
      <w:r>
        <w:rPr/>
        <w:t>“</w:t>
      </w:r>
      <w:r>
        <w:rPr>
          <w:rFonts w:ascii="Times New Roman;serif" w:hAnsi="Times New Roman;serif"/>
          <w:b w:val="false"/>
          <w:sz w:val="22"/>
          <w:u w:val="single"/>
        </w:rPr>
        <w:t>Recruitment Notes</w:t>
      </w:r>
      <w:r>
        <w:rPr>
          <w:rFonts w:ascii="Times New Roman" w:hAnsi="Times New Roman"/>
          <w:sz w:val="20"/>
        </w:rPr>
        <w:t xml:space="preserve">” </w:t>
      </w:r>
      <w:r>
        <w:rPr>
          <w:rFonts w:ascii="Times New Roman;serif" w:hAnsi="Times New Roman;serif"/>
          <w:b w:val="false"/>
          <w:sz w:val="22"/>
        </w:rPr>
        <w:t>means forgivable promissory notes issued from time to time by a Restricted Subsidiary to certain employees or financial advisors in the ordinary course of business.</w:t>
      </w:r>
    </w:p>
    <w:p>
      <w:pPr>
        <w:pStyle w:val="TextBody"/>
        <w:bidi w:val="0"/>
        <w:spacing w:before="0" w:after="240"/>
        <w:jc w:val="left"/>
        <w:rPr/>
      </w:pPr>
      <w:r>
        <w:rPr/>
        <w:t>“</w:t>
      </w:r>
      <w:r>
        <w:rPr>
          <w:rFonts w:ascii="Times New Roman;serif" w:hAnsi="Times New Roman;serif"/>
          <w:b w:val="false"/>
          <w:sz w:val="22"/>
          <w:u w:val="single"/>
        </w:rPr>
        <w:t>Regulation S</w:t>
      </w:r>
      <w:r>
        <w:rPr>
          <w:rFonts w:ascii="Times New Roman" w:hAnsi="Times New Roman"/>
          <w:sz w:val="20"/>
        </w:rPr>
        <w:t xml:space="preserve">” </w:t>
      </w:r>
      <w:r>
        <w:rPr>
          <w:rFonts w:ascii="Times New Roman;serif" w:hAnsi="Times New Roman;serif"/>
          <w:b w:val="false"/>
          <w:sz w:val="22"/>
        </w:rPr>
        <w:t>means Regulation S promulgated under the Securities Act.</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Regulation S Global Note</w:t>
      </w:r>
      <w:r>
        <w:rPr>
          <w:rFonts w:ascii="Times New Roman" w:hAnsi="Times New Roman"/>
          <w:sz w:val="20"/>
        </w:rPr>
        <w:t xml:space="preserve">” </w:t>
      </w:r>
      <w:r>
        <w:rPr>
          <w:rFonts w:ascii="Times New Roman;serif" w:hAnsi="Times New Roman;serif"/>
          <w:b w:val="false"/>
          <w:sz w:val="22"/>
        </w:rPr>
        <w:t>means a Regulation S Temporary Global Note or Regulation S Permanent Global Note, as applicable.</w:t>
      </w:r>
    </w:p>
    <w:p>
      <w:pPr>
        <w:pStyle w:val="TextBody"/>
        <w:bidi w:val="0"/>
        <w:spacing w:before="0" w:after="240"/>
        <w:jc w:val="left"/>
        <w:rPr/>
      </w:pPr>
      <w:r>
        <w:rPr/>
        <w:t>“</w:t>
      </w:r>
      <w:r>
        <w:rPr>
          <w:rFonts w:ascii="Times New Roman;serif" w:hAnsi="Times New Roman;serif"/>
          <w:b w:val="false"/>
          <w:sz w:val="22"/>
          <w:u w:val="single"/>
        </w:rPr>
        <w:t>Regulation S Permanent Global Note</w:t>
      </w:r>
      <w:r>
        <w:rPr>
          <w:rFonts w:ascii="Times New Roman" w:hAnsi="Times New Roman"/>
          <w:sz w:val="20"/>
        </w:rPr>
        <w:t xml:space="preserve">” </w:t>
      </w:r>
      <w:r>
        <w:rPr>
          <w:rFonts w:ascii="Times New Roman;serif" w:hAnsi="Times New Roman;serif"/>
          <w:b w:val="false"/>
          <w:sz w:val="22"/>
        </w:rPr>
        <w:t xml:space="preserve">means a permanent Global Note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pStyle w:val="TextBody"/>
        <w:bidi w:val="0"/>
        <w:spacing w:before="0" w:after="240"/>
        <w:jc w:val="left"/>
        <w:rPr/>
      </w:pPr>
      <w:r>
        <w:rPr/>
        <w:t>“</w:t>
      </w:r>
      <w:r>
        <w:rPr>
          <w:rFonts w:ascii="Times New Roman;serif" w:hAnsi="Times New Roman;serif"/>
          <w:b w:val="false"/>
          <w:sz w:val="22"/>
          <w:u w:val="single"/>
        </w:rPr>
        <w:t>Regulation S Temporary Global Note</w:t>
      </w:r>
      <w:r>
        <w:rPr>
          <w:rFonts w:ascii="Times New Roman" w:hAnsi="Times New Roman"/>
          <w:sz w:val="20"/>
        </w:rPr>
        <w:t xml:space="preserve">” </w:t>
      </w:r>
      <w:r>
        <w:rPr>
          <w:rFonts w:ascii="Times New Roman;serif" w:hAnsi="Times New Roman;serif"/>
          <w:b w:val="false"/>
          <w:sz w:val="22"/>
        </w:rPr>
        <w:t xml:space="preserve">means a temporary Global Note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bearing the Global Note Legend, the Private Placement Legend and the Regulation S Temporary Global Note Legend and deposited with or on behalf of and registered in the name of the Depositary or its nominee, issued in a denomination equal to the outstanding principal amount of the Notes initially sold in reliance on Rule 903.</w:t>
      </w:r>
    </w:p>
    <w:p>
      <w:pPr>
        <w:pStyle w:val="TextBody"/>
        <w:bidi w:val="0"/>
        <w:spacing w:before="0" w:after="240"/>
        <w:jc w:val="left"/>
        <w:rPr/>
      </w:pPr>
      <w:r>
        <w:rPr/>
        <w:t>“</w:t>
      </w:r>
      <w:r>
        <w:rPr>
          <w:rFonts w:ascii="Times New Roman;serif" w:hAnsi="Times New Roman;serif"/>
          <w:b w:val="false"/>
          <w:sz w:val="22"/>
          <w:u w:val="single"/>
        </w:rPr>
        <w:t>Regulation S Temporary Global Note Legend</w:t>
      </w:r>
      <w:r>
        <w:rPr>
          <w:rFonts w:ascii="Times New Roman" w:hAnsi="Times New Roman"/>
          <w:sz w:val="20"/>
        </w:rPr>
        <w:t xml:space="preserve">” </w:t>
      </w:r>
      <w:r>
        <w:rPr>
          <w:rFonts w:ascii="Times New Roman;serif" w:hAnsi="Times New Roman;serif"/>
          <w:b w:val="false"/>
          <w:sz w:val="22"/>
        </w:rPr>
        <w:t>means the legend set forth in Section 2.06(g)(iii) hereof.</w:t>
      </w:r>
    </w:p>
    <w:p>
      <w:pPr>
        <w:pStyle w:val="TextBody"/>
        <w:bidi w:val="0"/>
        <w:spacing w:before="0" w:after="240"/>
        <w:jc w:val="left"/>
        <w:rPr/>
      </w:pPr>
      <w:r>
        <w:rPr/>
        <w:t>“</w:t>
      </w:r>
      <w:r>
        <w:rPr>
          <w:rFonts w:ascii="Times New Roman;serif" w:hAnsi="Times New Roman;serif"/>
          <w:b w:val="false"/>
          <w:sz w:val="22"/>
          <w:u w:val="single"/>
        </w:rPr>
        <w:t>Related Business Assets</w:t>
      </w:r>
      <w:r>
        <w:rPr>
          <w:rFonts w:ascii="Times New Roman" w:hAnsi="Times New Roman"/>
          <w:sz w:val="20"/>
        </w:rPr>
        <w:t xml:space="preserve">” </w:t>
      </w:r>
      <w:r>
        <w:rPr>
          <w:rFonts w:ascii="Times New Roman;serif" w:hAnsi="Times New Roman;serif"/>
          <w:b w:val="false"/>
          <w:sz w:val="22"/>
        </w:rPr>
        <w:t xml:space="preserve">means assets (other than cash or Cash Equivalents) used or useful in a Similar Business, </w:t>
      </w:r>
      <w:r>
        <w:rPr>
          <w:rFonts w:ascii="Times New Roman;serif" w:hAnsi="Times New Roman;serif"/>
          <w:b w:val="false"/>
          <w:i/>
          <w:sz w:val="22"/>
        </w:rPr>
        <w:t>provided</w:t>
      </w:r>
      <w:r>
        <w:rPr>
          <w:rFonts w:ascii="Times New Roman;serif" w:hAnsi="Times New Roman;serif"/>
          <w:b w:val="false"/>
          <w:sz w:val="22"/>
        </w:rPr>
        <w:t>, that any assets received by the Company or a Restricted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Subsidiary in exchange for assets transferred by the Company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before="0" w:after="240"/>
        <w:jc w:val="left"/>
        <w:rPr/>
      </w:pPr>
      <w:r>
        <w:rPr/>
        <w:t>“</w:t>
      </w:r>
      <w:r>
        <w:rPr>
          <w:rFonts w:ascii="Times New Roman;serif" w:hAnsi="Times New Roman;serif"/>
          <w:b w:val="false"/>
          <w:sz w:val="22"/>
          <w:u w:val="single"/>
        </w:rPr>
        <w:t>Responsible Officer</w:t>
      </w:r>
      <w:r>
        <w:rPr>
          <w:rFonts w:ascii="Times New Roman" w:hAnsi="Times New Roman"/>
          <w:sz w:val="20"/>
        </w:rPr>
        <w:t xml:space="preserve">” </w:t>
      </w:r>
      <w:r>
        <w:rPr>
          <w:rFonts w:ascii="Times New Roman;serif" w:hAnsi="Times New Roman;serif"/>
          <w:b w:val="false"/>
          <w:sz w:val="22"/>
        </w:rPr>
        <w:t>means (i) when used with respect to the Trustee or the Notes Collateral Agent, any officer within the corporate trust department of the Trustee or Notes Collateral Agent, as the case may be, including any vice president, assistant vice president, assistant secretary, assistant treasurer, trust officer or any other officer of the Trustee or Notes Collateral Agent, as the case may be,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and (ii) when used with respect to the Issuers, the chief executive officer, president, vice president, chief financial officer, treasurer or assistant treasurer, or other similar officer, manager or a member of the board of directors of such Issuer. Any document delivered hereunder that is signed by a Responsible Officer shall be conclusively presumed to have been authorized by all necessary corporate, partnership and/or other action on the part of the Issuers and such Responsible Officer shall be conclusively presumed to have acted on behalf of the Issuer.</w:t>
      </w:r>
    </w:p>
    <w:p>
      <w:pPr>
        <w:pStyle w:val="TextBody"/>
        <w:bidi w:val="0"/>
        <w:spacing w:before="0" w:after="240"/>
        <w:jc w:val="left"/>
        <w:rPr/>
      </w:pPr>
      <w:r>
        <w:rPr/>
        <w:t>“</w:t>
      </w:r>
      <w:r>
        <w:rPr>
          <w:rFonts w:ascii="Times New Roman;serif" w:hAnsi="Times New Roman;serif"/>
          <w:b w:val="false"/>
          <w:sz w:val="22"/>
          <w:u w:val="single"/>
        </w:rPr>
        <w:t>Restricted Definitive Note</w:t>
      </w:r>
      <w:r>
        <w:rPr>
          <w:rFonts w:ascii="Times New Roman" w:hAnsi="Times New Roman"/>
          <w:sz w:val="20"/>
        </w:rPr>
        <w:t xml:space="preserve">” </w:t>
      </w:r>
      <w:r>
        <w:rPr>
          <w:rFonts w:ascii="Times New Roman;serif" w:hAnsi="Times New Roman;serif"/>
          <w:b w:val="false"/>
          <w:sz w:val="22"/>
        </w:rPr>
        <w:t>means a Definitive Note bearing the Private Placement Legend.</w:t>
      </w:r>
    </w:p>
    <w:p>
      <w:pPr>
        <w:pStyle w:val="TextBody"/>
        <w:bidi w:val="0"/>
        <w:spacing w:before="0" w:after="240"/>
        <w:jc w:val="left"/>
        <w:rPr/>
      </w:pPr>
      <w:r>
        <w:rPr/>
        <w:t>“</w:t>
      </w:r>
      <w:r>
        <w:rPr>
          <w:rFonts w:ascii="Times New Roman;serif" w:hAnsi="Times New Roman;serif"/>
          <w:b w:val="false"/>
          <w:sz w:val="22"/>
          <w:u w:val="single"/>
        </w:rPr>
        <w:t>Restricted Global Note</w:t>
      </w:r>
      <w:r>
        <w:rPr>
          <w:rFonts w:ascii="Times New Roman" w:hAnsi="Times New Roman"/>
          <w:sz w:val="20"/>
        </w:rPr>
        <w:t xml:space="preserve">” </w:t>
      </w:r>
      <w:r>
        <w:rPr>
          <w:rFonts w:ascii="Times New Roman;serif" w:hAnsi="Times New Roman;serif"/>
          <w:b w:val="false"/>
          <w:sz w:val="22"/>
        </w:rPr>
        <w:t>means a Global Note bearing the Private Placement Legend.</w:t>
      </w:r>
    </w:p>
    <w:p>
      <w:pPr>
        <w:pStyle w:val="TextBody"/>
        <w:bidi w:val="0"/>
        <w:spacing w:before="0" w:after="240"/>
        <w:jc w:val="left"/>
        <w:rPr/>
      </w:pPr>
      <w:r>
        <w:rPr/>
        <w:t>“</w:t>
      </w:r>
      <w:r>
        <w:rPr>
          <w:rFonts w:ascii="Times New Roman;serif" w:hAnsi="Times New Roman;serif"/>
          <w:b w:val="false"/>
          <w:sz w:val="22"/>
          <w:u w:val="single"/>
        </w:rPr>
        <w:t>Restricted Investment</w:t>
      </w:r>
      <w:r>
        <w:rPr>
          <w:rFonts w:ascii="Times New Roman" w:hAnsi="Times New Roman"/>
          <w:sz w:val="20"/>
        </w:rPr>
        <w:t xml:space="preserve">” </w:t>
      </w:r>
      <w:r>
        <w:rPr>
          <w:rFonts w:ascii="Times New Roman;serif" w:hAnsi="Times New Roman;serif"/>
          <w:b w:val="false"/>
          <w:sz w:val="22"/>
        </w:rPr>
        <w:t>means an Investment other than a Permitted Investment.</w:t>
      </w:r>
    </w:p>
    <w:p>
      <w:pPr>
        <w:pStyle w:val="TextBody"/>
        <w:bidi w:val="0"/>
        <w:spacing w:before="0" w:after="240"/>
        <w:jc w:val="left"/>
        <w:rPr/>
      </w:pPr>
      <w:r>
        <w:rPr/>
        <w:t>“</w:t>
      </w:r>
      <w:r>
        <w:rPr>
          <w:rFonts w:ascii="Times New Roman;serif" w:hAnsi="Times New Roman;serif"/>
          <w:b w:val="false"/>
          <w:sz w:val="22"/>
          <w:u w:val="single"/>
        </w:rPr>
        <w:t>Restricted Period</w:t>
      </w:r>
      <w:r>
        <w:rPr>
          <w:rFonts w:ascii="Times New Roman" w:hAnsi="Times New Roman"/>
          <w:sz w:val="20"/>
        </w:rPr>
        <w:t xml:space="preserve">” </w:t>
      </w:r>
      <w:r>
        <w:rPr>
          <w:rFonts w:ascii="Times New Roman;serif" w:hAnsi="Times New Roman;serif"/>
          <w:b w:val="false"/>
          <w:sz w:val="22"/>
        </w:rPr>
        <w:t>means the 40-day distribution compliance period as defined in Regulation S.</w:t>
      </w:r>
    </w:p>
    <w:p>
      <w:pPr>
        <w:pStyle w:val="TextBody"/>
        <w:bidi w:val="0"/>
        <w:spacing w:before="0" w:after="240"/>
        <w:jc w:val="left"/>
        <w:rPr/>
      </w:pPr>
      <w:r>
        <w:rPr/>
        <w:t>“</w:t>
      </w:r>
      <w:r>
        <w:rPr>
          <w:rFonts w:ascii="Times New Roman;serif" w:hAnsi="Times New Roman;serif"/>
          <w:b w:val="false"/>
          <w:sz w:val="22"/>
          <w:u w:val="single"/>
        </w:rPr>
        <w:t>Restricted Subsidiary</w:t>
      </w:r>
      <w:r>
        <w:rPr>
          <w:rFonts w:ascii="Times New Roman" w:hAnsi="Times New Roman"/>
          <w:sz w:val="20"/>
        </w:rPr>
        <w:t xml:space="preserve">” </w:t>
      </w:r>
      <w:r>
        <w:rPr>
          <w:rFonts w:ascii="Times New Roman;serif" w:hAnsi="Times New Roman;serif"/>
          <w:b w:val="false"/>
          <w:sz w:val="22"/>
        </w:rPr>
        <w:t xml:space="preserve">means, at any time, any direct or indirect Subsidiary of the Company (including the Issuers and any Foreign Subsidiary) that is not then an Unrestricted Subsidiary;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upon the occurrence of an Unrestricted Subsidiary ceasing to be an Unrestricted Subsidiary, such Subsidiary shall be included in the definition of “Restricted Subsidiary.” Unless otherwise specified or the context otherwise requires, a reference to a “Restricted Subsidiary” shall be a reference to a Restricted Subsidiary of the Company.</w:t>
      </w:r>
    </w:p>
    <w:p>
      <w:pPr>
        <w:pStyle w:val="TextBody"/>
        <w:bidi w:val="0"/>
        <w:spacing w:before="0" w:after="240"/>
        <w:jc w:val="left"/>
        <w:rPr/>
      </w:pPr>
      <w:r>
        <w:rPr/>
        <w:t>“</w:t>
      </w:r>
      <w:r>
        <w:rPr>
          <w:rFonts w:ascii="Times New Roman;serif" w:hAnsi="Times New Roman;serif"/>
          <w:b w:val="false"/>
          <w:sz w:val="22"/>
          <w:u w:val="single"/>
        </w:rPr>
        <w:t>Rule 144</w:t>
      </w:r>
      <w:r>
        <w:rPr>
          <w:rFonts w:ascii="Times New Roman" w:hAnsi="Times New Roman"/>
          <w:sz w:val="20"/>
        </w:rPr>
        <w:t xml:space="preserve">” </w:t>
      </w:r>
      <w:r>
        <w:rPr>
          <w:rFonts w:ascii="Times New Roman;serif" w:hAnsi="Times New Roman;serif"/>
          <w:b w:val="false"/>
          <w:sz w:val="22"/>
        </w:rPr>
        <w:t>means Rule 144 promulgated under the Securities Act.</w:t>
      </w:r>
    </w:p>
    <w:p>
      <w:pPr>
        <w:pStyle w:val="TextBody"/>
        <w:bidi w:val="0"/>
        <w:spacing w:before="0" w:after="240"/>
        <w:jc w:val="left"/>
        <w:rPr/>
      </w:pPr>
      <w:r>
        <w:rPr/>
        <w:t>“</w:t>
      </w:r>
      <w:r>
        <w:rPr>
          <w:rFonts w:ascii="Times New Roman;serif" w:hAnsi="Times New Roman;serif"/>
          <w:b w:val="false"/>
          <w:sz w:val="22"/>
          <w:u w:val="single"/>
        </w:rPr>
        <w:t>Rule 144A</w:t>
      </w:r>
      <w:r>
        <w:rPr>
          <w:rFonts w:ascii="Times New Roman" w:hAnsi="Times New Roman"/>
          <w:sz w:val="20"/>
        </w:rPr>
        <w:t xml:space="preserve">” </w:t>
      </w:r>
      <w:r>
        <w:rPr>
          <w:rFonts w:ascii="Times New Roman;serif" w:hAnsi="Times New Roman;serif"/>
          <w:b w:val="false"/>
          <w:sz w:val="22"/>
        </w:rPr>
        <w:t>means Rule 144A promulgated under the Securities Act.</w:t>
      </w:r>
    </w:p>
    <w:p>
      <w:pPr>
        <w:pStyle w:val="TextBody"/>
        <w:bidi w:val="0"/>
        <w:spacing w:before="0" w:after="240"/>
        <w:jc w:val="left"/>
        <w:rPr/>
      </w:pPr>
      <w:r>
        <w:rPr/>
        <w:t>“</w:t>
      </w:r>
      <w:r>
        <w:rPr>
          <w:rFonts w:ascii="Times New Roman;serif" w:hAnsi="Times New Roman;serif"/>
          <w:b w:val="false"/>
          <w:sz w:val="22"/>
          <w:u w:val="single"/>
        </w:rPr>
        <w:t>Rule 903</w:t>
      </w:r>
      <w:r>
        <w:rPr>
          <w:rFonts w:ascii="Times New Roman" w:hAnsi="Times New Roman"/>
          <w:sz w:val="20"/>
        </w:rPr>
        <w:t xml:space="preserve">” </w:t>
      </w:r>
      <w:r>
        <w:rPr>
          <w:rFonts w:ascii="Times New Roman;serif" w:hAnsi="Times New Roman;serif"/>
          <w:b w:val="false"/>
          <w:sz w:val="22"/>
        </w:rPr>
        <w:t>means Rule 903 promulgated under the Securities Act.</w:t>
      </w:r>
    </w:p>
    <w:p>
      <w:pPr>
        <w:pStyle w:val="TextBody"/>
        <w:bidi w:val="0"/>
        <w:spacing w:before="0" w:after="240"/>
        <w:jc w:val="left"/>
        <w:rPr/>
      </w:pPr>
      <w:r>
        <w:rPr/>
        <w:t>“</w:t>
      </w:r>
      <w:r>
        <w:rPr>
          <w:rFonts w:ascii="Times New Roman;serif" w:hAnsi="Times New Roman;serif"/>
          <w:b w:val="false"/>
          <w:sz w:val="22"/>
          <w:u w:val="single"/>
        </w:rPr>
        <w:t>Rule 904</w:t>
      </w:r>
      <w:r>
        <w:rPr>
          <w:rFonts w:ascii="Times New Roman" w:hAnsi="Times New Roman"/>
          <w:sz w:val="20"/>
        </w:rPr>
        <w:t xml:space="preserve">” </w:t>
      </w:r>
      <w:r>
        <w:rPr>
          <w:rFonts w:ascii="Times New Roman;serif" w:hAnsi="Times New Roman;serif"/>
          <w:b w:val="false"/>
          <w:sz w:val="22"/>
        </w:rPr>
        <w:t>means Rule 904 promulgated under the Securities Act.</w:t>
      </w:r>
    </w:p>
    <w:p>
      <w:pPr>
        <w:pStyle w:val="TextBody"/>
        <w:bidi w:val="0"/>
        <w:spacing w:before="0" w:after="240"/>
        <w:jc w:val="left"/>
        <w:rPr/>
      </w:pPr>
      <w:r>
        <w:rPr/>
        <w:t>“</w:t>
      </w:r>
      <w:r>
        <w:rPr>
          <w:rFonts w:ascii="Times New Roman;serif" w:hAnsi="Times New Roman;serif"/>
          <w:b w:val="false"/>
          <w:sz w:val="22"/>
          <w:u w:val="single"/>
        </w:rPr>
        <w:t>S&amp;P</w:t>
      </w:r>
      <w:r>
        <w:rPr>
          <w:rFonts w:ascii="Times New Roman" w:hAnsi="Times New Roman"/>
          <w:sz w:val="20"/>
        </w:rPr>
        <w:t xml:space="preserve">” </w:t>
      </w:r>
      <w:r>
        <w:rPr>
          <w:rFonts w:ascii="Times New Roman;serif" w:hAnsi="Times New Roman;serif"/>
          <w:b w:val="false"/>
          <w:sz w:val="22"/>
        </w:rPr>
        <w:t>means Standard &amp; Poor’s, a division of The McGraw-Hill Companies, Inc., and any successor to its rating agency business.</w:t>
      </w:r>
    </w:p>
    <w:p>
      <w:pPr>
        <w:pStyle w:val="TextBody"/>
        <w:bidi w:val="0"/>
        <w:spacing w:before="0" w:after="240"/>
        <w:jc w:val="left"/>
        <w:rPr/>
      </w:pPr>
      <w:r>
        <w:rPr/>
        <w:t>“</w:t>
      </w:r>
      <w:r>
        <w:rPr>
          <w:rFonts w:ascii="Times New Roman;serif" w:hAnsi="Times New Roman;serif"/>
          <w:b w:val="false"/>
          <w:sz w:val="22"/>
          <w:u w:val="single"/>
        </w:rPr>
        <w:t>Sale and Lease-Back Transaction</w:t>
      </w:r>
      <w:r>
        <w:rPr>
          <w:rFonts w:ascii="Times New Roman" w:hAnsi="Times New Roman"/>
          <w:sz w:val="20"/>
        </w:rPr>
        <w:t xml:space="preserve">” </w:t>
      </w:r>
      <w:r>
        <w:rPr>
          <w:rFonts w:ascii="Times New Roman;serif" w:hAnsi="Times New Roman;serif"/>
          <w:b w:val="false"/>
          <w:sz w:val="22"/>
        </w:rPr>
        <w:t>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Satellite</w:t>
      </w:r>
      <w:r>
        <w:rPr>
          <w:rFonts w:ascii="Times New Roman" w:hAnsi="Times New Roman"/>
          <w:sz w:val="20"/>
        </w:rPr>
        <w:t xml:space="preserve">” </w:t>
      </w:r>
      <w:r>
        <w:rPr>
          <w:rFonts w:ascii="Times New Roman;serif" w:hAnsi="Times New Roman;serif"/>
          <w:b w:val="false"/>
          <w:sz w:val="22"/>
        </w:rPr>
        <w:t>shall mean any satellite owned by, or leased to, the Company or any Restricted Subsidiary and any satellite purchased by the Company or any Restricted Subsidiary pursuant to the terms of a Satellite Purchase Agreement, whether such satellite is in the process of manufacture, has been delivered for launch or is in orbit (whether or not in operational service).</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Satellite Collateral</w:t>
      </w:r>
      <w:r>
        <w:rPr>
          <w:rFonts w:ascii="Times New Roman" w:hAnsi="Times New Roman"/>
          <w:sz w:val="20"/>
        </w:rPr>
        <w:t xml:space="preserve">” </w:t>
      </w:r>
      <w:r>
        <w:rPr>
          <w:rFonts w:ascii="Times New Roman;serif" w:hAnsi="Times New Roman;serif"/>
          <w:b w:val="false"/>
          <w:sz w:val="22"/>
        </w:rPr>
        <w:t>means, collectively, (a) any Satellite owned by any Issuer or Guarantor, (b) all material intellectual property necessary for the relevant Issuer or Guarantor to own and operate any Satellite system, ground segment or transmission network related thereto and (c) any launch or in-orbit insurance proceeds related to the forgoing.</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2"/>
          <w:u w:val="single"/>
        </w:rPr>
        <w:t>Satellite Manufacturer</w:t>
      </w:r>
      <w:r>
        <w:rPr>
          <w:rFonts w:ascii="Times New Roman" w:hAnsi="Times New Roman"/>
          <w:sz w:val="20"/>
        </w:rPr>
        <w:t xml:space="preserve">” </w:t>
      </w:r>
      <w:r>
        <w:rPr>
          <w:rFonts w:ascii="Times New Roman;serif" w:hAnsi="Times New Roman;serif"/>
          <w:b w:val="false"/>
          <w:sz w:val="22"/>
        </w:rPr>
        <w:t>shall mean, with respect to any Satellite, the prime contractor and manufacturer of such Satellite.</w:t>
      </w:r>
    </w:p>
    <w:p>
      <w:pPr>
        <w:pStyle w:val="TextBody"/>
        <w:bidi w:val="0"/>
        <w:spacing w:before="0" w:after="240"/>
        <w:jc w:val="left"/>
        <w:rPr/>
      </w:pPr>
      <w:r>
        <w:rPr/>
        <w:t>“</w:t>
      </w:r>
      <w:r>
        <w:rPr>
          <w:rFonts w:ascii="Times New Roman;serif" w:hAnsi="Times New Roman;serif"/>
          <w:b w:val="false"/>
          <w:sz w:val="22"/>
          <w:u w:val="single"/>
        </w:rPr>
        <w:t>Satellite Purchase Agreement</w:t>
      </w:r>
      <w:r>
        <w:rPr>
          <w:rFonts w:ascii="Times New Roman" w:hAnsi="Times New Roman"/>
          <w:sz w:val="20"/>
        </w:rPr>
        <w:t xml:space="preserve">” </w:t>
      </w:r>
      <w:r>
        <w:rPr>
          <w:rFonts w:ascii="Times New Roman;serif" w:hAnsi="Times New Roman;serif"/>
          <w:b w:val="false"/>
          <w:sz w:val="22"/>
        </w:rPr>
        <w:t>shall mean, with respect to any Satellite, each agreement between the applicable Satellite Purchaser and the applicable Satellite Manufacturer relating to the manufacture, testing and delivery of such Satellite.</w:t>
      </w:r>
    </w:p>
    <w:p>
      <w:pPr>
        <w:pStyle w:val="TextBody"/>
        <w:bidi w:val="0"/>
        <w:spacing w:before="0" w:after="240"/>
        <w:jc w:val="left"/>
        <w:rPr/>
      </w:pPr>
      <w:r>
        <w:rPr/>
        <w:t>“</w:t>
      </w:r>
      <w:r>
        <w:rPr>
          <w:rFonts w:ascii="Times New Roman;serif" w:hAnsi="Times New Roman;serif"/>
          <w:b w:val="false"/>
          <w:sz w:val="22"/>
          <w:u w:val="single"/>
        </w:rPr>
        <w:t>Satellite Purchaser</w:t>
      </w:r>
      <w:r>
        <w:rPr>
          <w:rFonts w:ascii="Times New Roman" w:hAnsi="Times New Roman"/>
          <w:sz w:val="20"/>
        </w:rPr>
        <w:t xml:space="preserve">” </w:t>
      </w:r>
      <w:r>
        <w:rPr>
          <w:rFonts w:ascii="Times New Roman;serif" w:hAnsi="Times New Roman;serif"/>
          <w:b w:val="false"/>
          <w:sz w:val="22"/>
        </w:rPr>
        <w:t>shall mean the Company or any Restricted Subsidiary that is a party to a Satellite Purchase Agreement or launch services agreement, as the case may be.</w:t>
      </w:r>
    </w:p>
    <w:p>
      <w:pPr>
        <w:pStyle w:val="TextBody"/>
        <w:bidi w:val="0"/>
        <w:spacing w:before="0" w:after="240"/>
        <w:jc w:val="left"/>
        <w:rPr/>
      </w:pPr>
      <w:r>
        <w:rPr/>
        <w:t>“</w:t>
      </w:r>
      <w:r>
        <w:rPr>
          <w:rFonts w:ascii="Times New Roman;serif" w:hAnsi="Times New Roman;serif"/>
          <w:b w:val="false"/>
          <w:sz w:val="22"/>
          <w:u w:val="single"/>
        </w:rPr>
        <w:t>Screened Affiliate</w:t>
      </w:r>
      <w:r>
        <w:rPr>
          <w:rFonts w:ascii="Times New Roman" w:hAnsi="Times New Roman"/>
          <w:sz w:val="20"/>
        </w:rPr>
        <w:t xml:space="preserve">” </w:t>
      </w:r>
      <w:r>
        <w:rPr>
          <w:rFonts w:ascii="Times New Roman;serif" w:hAnsi="Times New Roman;serif"/>
          <w:b w:val="false"/>
          <w:sz w:val="22"/>
        </w:rPr>
        <w:t>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Issuers or their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pStyle w:val="TextBody"/>
        <w:bidi w:val="0"/>
        <w:spacing w:before="0" w:after="240"/>
        <w:jc w:val="left"/>
        <w:rPr/>
      </w:pPr>
      <w:r>
        <w:rPr/>
        <w:t>“</w:t>
      </w:r>
      <w:r>
        <w:rPr>
          <w:rFonts w:ascii="Times New Roman;serif" w:hAnsi="Times New Roman;serif"/>
          <w:b w:val="false"/>
          <w:sz w:val="22"/>
          <w:u w:val="single"/>
        </w:rPr>
        <w:t>SEC</w:t>
      </w:r>
      <w:r>
        <w:rPr>
          <w:rFonts w:ascii="Times New Roman" w:hAnsi="Times New Roman"/>
          <w:sz w:val="20"/>
        </w:rPr>
        <w:t xml:space="preserve">” </w:t>
      </w:r>
      <w:r>
        <w:rPr>
          <w:rFonts w:ascii="Times New Roman;serif" w:hAnsi="Times New Roman;serif"/>
          <w:b w:val="false"/>
          <w:sz w:val="22"/>
        </w:rPr>
        <w:t>means the U.S. Securities and Exchange Commission.</w:t>
      </w:r>
    </w:p>
    <w:p>
      <w:pPr>
        <w:pStyle w:val="TextBody"/>
        <w:bidi w:val="0"/>
        <w:spacing w:before="0" w:after="240"/>
        <w:jc w:val="left"/>
        <w:rPr/>
      </w:pPr>
      <w:r>
        <w:rPr/>
        <w:t>“</w:t>
      </w:r>
      <w:r>
        <w:rPr>
          <w:rFonts w:ascii="Times New Roman;serif" w:hAnsi="Times New Roman;serif"/>
          <w:b w:val="false"/>
          <w:sz w:val="22"/>
          <w:u w:val="single"/>
        </w:rPr>
        <w:t>Second Lien Intercreditor Agreement</w:t>
      </w:r>
      <w:r>
        <w:rPr>
          <w:rFonts w:ascii="Times New Roman" w:hAnsi="Times New Roman"/>
          <w:sz w:val="20"/>
        </w:rPr>
        <w:t xml:space="preserve">” </w:t>
      </w:r>
      <w:r>
        <w:rPr>
          <w:rFonts w:ascii="Times New Roman;serif" w:hAnsi="Times New Roman;serif"/>
          <w:b w:val="false"/>
          <w:sz w:val="22"/>
        </w:rPr>
        <w:t xml:space="preserve">means the Second Lien Intercreditor Agreement substantially in the form of </w:t>
      </w:r>
      <w:r>
        <w:rPr>
          <w:rFonts w:ascii="Times New Roman;serif" w:hAnsi="Times New Roman;serif"/>
          <w:b w:val="false"/>
          <w:sz w:val="22"/>
          <w:u w:val="single"/>
        </w:rPr>
        <w:t>Exhibit F</w:t>
      </w:r>
      <w:r>
        <w:rPr>
          <w:rFonts w:ascii="Times New Roman" w:hAnsi="Times New Roman"/>
          <w:sz w:val="20"/>
        </w:rPr>
        <w:t xml:space="preserve"> </w:t>
      </w:r>
      <w:r>
        <w:rPr>
          <w:rFonts w:ascii="Times New Roman;serif" w:hAnsi="Times New Roman;serif"/>
          <w:b w:val="false"/>
          <w:sz w:val="22"/>
        </w:rPr>
        <w:t>hereto among the Notes Collateral Agent, the Senior Credit Facilities Collateral Agent and one or more senior representatives for holders of Indebtedness permitted by the Senior Credit Facilities to be secured by the Collateral.</w:t>
      </w:r>
    </w:p>
    <w:p>
      <w:pPr>
        <w:pStyle w:val="TextBody"/>
        <w:bidi w:val="0"/>
        <w:spacing w:before="0" w:after="240"/>
        <w:jc w:val="left"/>
        <w:rPr/>
      </w:pPr>
      <w:r>
        <w:rPr/>
        <w:t>“</w:t>
      </w:r>
      <w:r>
        <w:rPr>
          <w:rFonts w:ascii="Times New Roman;serif" w:hAnsi="Times New Roman;serif"/>
          <w:b w:val="false"/>
          <w:sz w:val="22"/>
          <w:u w:val="single"/>
        </w:rPr>
        <w:t>Secured Indebtedness</w:t>
      </w:r>
      <w:r>
        <w:rPr>
          <w:rFonts w:ascii="Times New Roman" w:hAnsi="Times New Roman"/>
          <w:sz w:val="20"/>
        </w:rPr>
        <w:t xml:space="preserve">” </w:t>
      </w:r>
      <w:r>
        <w:rPr>
          <w:rFonts w:ascii="Times New Roman;serif" w:hAnsi="Times New Roman;serif"/>
          <w:b w:val="false"/>
          <w:sz w:val="22"/>
        </w:rPr>
        <w:t>means any Indebtedness of the Company or any of its Restricted Subsidiaries secured by a Lien.</w:t>
      </w:r>
    </w:p>
    <w:p>
      <w:pPr>
        <w:pStyle w:val="TextBody"/>
        <w:bidi w:val="0"/>
        <w:spacing w:before="0" w:after="240"/>
        <w:jc w:val="left"/>
        <w:rPr/>
      </w:pPr>
      <w:r>
        <w:rPr/>
        <w:t>“</w:t>
      </w:r>
      <w:r>
        <w:rPr>
          <w:rFonts w:ascii="Times New Roman;serif" w:hAnsi="Times New Roman;serif"/>
          <w:b w:val="false"/>
          <w:sz w:val="22"/>
          <w:u w:val="single"/>
        </w:rPr>
        <w:t>Secured Obligations</w:t>
      </w:r>
      <w:r>
        <w:rPr>
          <w:rFonts w:ascii="Times New Roman" w:hAnsi="Times New Roman"/>
          <w:sz w:val="20"/>
        </w:rPr>
        <w:t xml:space="preserve">” </w:t>
      </w:r>
      <w:r>
        <w:rPr>
          <w:rFonts w:ascii="Times New Roman;serif" w:hAnsi="Times New Roman;serif"/>
          <w:b w:val="false"/>
          <w:sz w:val="22"/>
        </w:rPr>
        <w:t>means the Notes Obligations, Senior Credit Facilities Obligations and the Other Pari Passu Lien Obligations.</w:t>
      </w:r>
    </w:p>
    <w:p>
      <w:pPr>
        <w:pStyle w:val="TextBody"/>
        <w:bidi w:val="0"/>
        <w:spacing w:before="0" w:after="240"/>
        <w:jc w:val="left"/>
        <w:rPr/>
      </w:pPr>
      <w:r>
        <w:rPr/>
        <w:t>“</w:t>
      </w:r>
      <w:r>
        <w:rPr>
          <w:rFonts w:ascii="Times New Roman;serif" w:hAnsi="Times New Roman;serif"/>
          <w:b w:val="false"/>
          <w:sz w:val="22"/>
          <w:u w:val="single"/>
        </w:rPr>
        <w:t>Securities Act</w:t>
      </w:r>
      <w:r>
        <w:rPr>
          <w:rFonts w:ascii="Times New Roman" w:hAnsi="Times New Roman"/>
          <w:sz w:val="20"/>
        </w:rPr>
        <w:t xml:space="preserve">” </w:t>
      </w:r>
      <w:r>
        <w:rPr>
          <w:rFonts w:ascii="Times New Roman;serif" w:hAnsi="Times New Roman;serif"/>
          <w:b w:val="false"/>
          <w:sz w:val="22"/>
        </w:rPr>
        <w:t>means the Securities Act of 1933, as amended, and the rules and regulations of the SEC promulgated thereunder.</w:t>
      </w:r>
    </w:p>
    <w:p>
      <w:pPr>
        <w:pStyle w:val="TextBody"/>
        <w:bidi w:val="0"/>
        <w:spacing w:before="0" w:after="240"/>
        <w:jc w:val="left"/>
        <w:rPr/>
      </w:pPr>
      <w:r>
        <w:rPr/>
        <w:t>“</w:t>
      </w:r>
      <w:r>
        <w:rPr>
          <w:rFonts w:ascii="Times New Roman;serif" w:hAnsi="Times New Roman;serif"/>
          <w:b w:val="false"/>
          <w:sz w:val="22"/>
          <w:u w:val="single"/>
        </w:rPr>
        <w:t>Senior Credit Facilities</w:t>
      </w:r>
      <w:r>
        <w:rPr>
          <w:rFonts w:ascii="Times New Roman" w:hAnsi="Times New Roman"/>
          <w:sz w:val="20"/>
        </w:rPr>
        <w:t xml:space="preserve">” </w:t>
      </w:r>
      <w:r>
        <w:rPr>
          <w:rFonts w:ascii="Times New Roman;serif" w:hAnsi="Times New Roman;serif"/>
          <w:b w:val="false"/>
          <w:sz w:val="22"/>
        </w:rPr>
        <w:t>means, collectively, the term and revolving credit facilities under the credit agreement to be entered into on or about the Completion Date by and among the Company, the lenders party thereto in their capacities as lenders thereunder and Barclays Bank PLC, as “Administrative Agent,” including any guarantees, collateral documents, instruments and agreements executed in connection therewith, and any amendments, supplements, modifications, extensions,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renewals, restatements, refundings or refinancings thereof and any indentures, guarantees, credit facilities or commercial paper facilities that replace, refund, exchange or refinance (or successively replace, refund, exchange or refinance) any part of the loans, notes, guarantees, other credit facilities or commitments thereunder, including any such replacement, refunding or refinancing facility or indenture (or successive replacement, refunding, exchange or refinancing facility or indenture) that increases the amount borrowable thereunder or alters the maturity thereof; </w:t>
      </w:r>
      <w:r>
        <w:rPr>
          <w:rFonts w:ascii="Times New Roman;serif" w:hAnsi="Times New Roman;serif"/>
          <w:b w:val="false"/>
          <w:i/>
          <w:sz w:val="22"/>
        </w:rPr>
        <w:t>provided</w:t>
      </w:r>
      <w:r>
        <w:rPr>
          <w:rFonts w:ascii="Times New Roman;serif" w:hAnsi="Times New Roman;serif"/>
          <w:b w:val="false"/>
          <w:sz w:val="22"/>
        </w:rPr>
        <w:t>, that such increase in borrowings is permitted under Section 4.09 hereof.</w:t>
      </w:r>
    </w:p>
    <w:p>
      <w:pPr>
        <w:pStyle w:val="TextBody"/>
        <w:bidi w:val="0"/>
        <w:spacing w:before="0" w:after="240"/>
        <w:jc w:val="left"/>
        <w:rPr/>
      </w:pPr>
      <w:r>
        <w:rPr/>
        <w:t>“</w:t>
      </w:r>
      <w:r>
        <w:rPr>
          <w:rFonts w:ascii="Times New Roman;serif" w:hAnsi="Times New Roman;serif"/>
          <w:b w:val="false"/>
          <w:sz w:val="22"/>
          <w:u w:val="single"/>
        </w:rPr>
        <w:t>Senior Credit Facilities Collateral Agent</w:t>
      </w:r>
      <w:r>
        <w:rPr>
          <w:rFonts w:ascii="Times New Roman" w:hAnsi="Times New Roman"/>
          <w:sz w:val="20"/>
        </w:rPr>
        <w:t xml:space="preserve">” </w:t>
      </w:r>
      <w:r>
        <w:rPr>
          <w:rFonts w:ascii="Times New Roman;serif" w:hAnsi="Times New Roman;serif"/>
          <w:b w:val="false"/>
          <w:sz w:val="22"/>
        </w:rPr>
        <w:t>means Barclays Bank PLC together with its successors and assigns.</w:t>
      </w:r>
    </w:p>
    <w:p>
      <w:pPr>
        <w:pStyle w:val="TextBody"/>
        <w:bidi w:val="0"/>
        <w:spacing w:before="0" w:after="240"/>
        <w:jc w:val="left"/>
        <w:rPr/>
      </w:pPr>
      <w:r>
        <w:rPr/>
        <w:t>“</w:t>
      </w:r>
      <w:r>
        <w:rPr>
          <w:rFonts w:ascii="Times New Roman;serif" w:hAnsi="Times New Roman;serif"/>
          <w:b w:val="false"/>
          <w:sz w:val="22"/>
          <w:u w:val="single"/>
        </w:rPr>
        <w:t>Senior Credit Facilities Obligations</w:t>
      </w:r>
      <w:r>
        <w:rPr>
          <w:rFonts w:ascii="Times New Roman" w:hAnsi="Times New Roman"/>
          <w:sz w:val="20"/>
        </w:rPr>
        <w:t xml:space="preserve">” </w:t>
      </w:r>
      <w:r>
        <w:rPr>
          <w:rFonts w:ascii="Times New Roman;serif" w:hAnsi="Times New Roman;serif"/>
          <w:b w:val="false"/>
          <w:sz w:val="22"/>
        </w:rPr>
        <w:t>means any Indebtedness or other Obligations under the Senior Credit Facilities.</w:t>
      </w:r>
    </w:p>
    <w:p>
      <w:pPr>
        <w:pStyle w:val="TextBody"/>
        <w:bidi w:val="0"/>
        <w:spacing w:before="0" w:after="240"/>
        <w:jc w:val="left"/>
        <w:rPr/>
      </w:pPr>
      <w:r>
        <w:rPr/>
        <w:t>“</w:t>
      </w:r>
      <w:r>
        <w:rPr>
          <w:rFonts w:ascii="Times New Roman;serif" w:hAnsi="Times New Roman;serif"/>
          <w:b w:val="false"/>
          <w:sz w:val="22"/>
          <w:u w:val="single"/>
        </w:rPr>
        <w:t>Senior Indebtedness</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left"/>
        <w:rPr>
          <w:rFonts w:ascii="Times New Roman" w:hAnsi="Times New Roman"/>
          <w:sz w:val="20"/>
        </w:rPr>
      </w:pPr>
      <w:r>
        <w:rPr>
          <w:rFonts w:ascii="Times New Roman;serif" w:hAnsi="Times New Roman;serif"/>
          <w:b w:val="false"/>
          <w:sz w:val="22"/>
        </w:rPr>
        <w:t>(1) all Indebtedness of the Issuers or any Guarantor outstanding under the Senior Credit Facilities or Notes and related Guarantees (including interest accruing on or after the filing of any petition in bankruptcy or similar proceeding or for reorganization of the Issuers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Completion Date or thereafter created or incurred) and all obligations of the Issuers or any Guarantor to reimburse any bank or other Person in respect of amounts paid under letters of credit, acceptances or other similar instruments;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 all Hedging Obligations (and guarantees thereof) owing to a Lender (as defined in the Senior Credit Facilities) or any Affiliate of such Lender (or any Person that was a Lender or an Affiliate of such Lender at the time the applicable agreement giving rise to such Hedging Obligation was entered into), </w:t>
      </w:r>
      <w:r>
        <w:rPr>
          <w:rFonts w:ascii="Times New Roman;serif" w:hAnsi="Times New Roman;serif"/>
          <w:b w:val="false"/>
          <w:i/>
          <w:sz w:val="22"/>
        </w:rPr>
        <w:t>provided</w:t>
      </w:r>
      <w:r>
        <w:rPr>
          <w:rFonts w:ascii="Times New Roman;serif" w:hAnsi="Times New Roman;serif"/>
          <w:b w:val="false"/>
          <w:sz w:val="22"/>
        </w:rPr>
        <w:t>, that such Hedging Obligations are permitted to be incurred under the terms of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any other Indebtedness of the Issuers or any Guarantor permitted to be incurred under the terms of this Indenture, unless the instrument under which such Indebtedness is incurred expressly provides that it is subordinated in right of payment to the Notes or any related Guarantee;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all Obligations with respect to the items listed in the preceding clauses (1), (2) and (3);</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Senior Indebtedness shall not include: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any obligation of such Person to the Company or any of its Subsidiaries;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any liability for federal, state, local or other taxes owed or owing by such Person;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(c) any accounts payable or other liability to trade creditors arising in the ordinary course of business;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(d) any Indebtedness or other Obligation of such Person which is subordinate or junior in any respect to any other Indebtedness or other Obligation of such Person;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that portion of any Indebtedness which at the time of incurrence is incurred in violation of this Indenture.</w:t>
      </w:r>
    </w:p>
    <w:p>
      <w:pPr>
        <w:pStyle w:val="TextBody"/>
        <w:bidi w:val="0"/>
        <w:spacing w:before="0" w:after="240"/>
        <w:jc w:val="left"/>
        <w:rPr/>
      </w:pPr>
      <w:r>
        <w:rPr/>
        <w:t>“</w:t>
      </w:r>
      <w:r>
        <w:rPr>
          <w:rFonts w:ascii="Times New Roman;serif" w:hAnsi="Times New Roman;serif"/>
          <w:b w:val="false"/>
          <w:sz w:val="22"/>
          <w:u w:val="single"/>
        </w:rPr>
        <w:t>Senior Secured First Lien Net Leverage Ratio</w:t>
      </w:r>
      <w:r>
        <w:rPr>
          <w:rFonts w:ascii="Times New Roman" w:hAnsi="Times New Roman"/>
          <w:sz w:val="20"/>
        </w:rPr>
        <w:t xml:space="preserve">” </w:t>
      </w:r>
      <w:r>
        <w:rPr>
          <w:rFonts w:ascii="Times New Roman;serif" w:hAnsi="Times New Roman;serif"/>
          <w:b w:val="false"/>
          <w:sz w:val="22"/>
        </w:rPr>
        <w:t>means, as of any date of determination, the ratio of (a) the sum of (i) Consolidated Senior Secured First Lien Indebtedness of the Company and its Restricted Subsidiaries as of such date and (ii) the Reserved Indebtedness Amount applicable at such time to the calculation of the Senior Secured First Lien Net Leverage Ratio with respect to commitments first obtained as of such date but not utilized as of such date (but only the extent such commitments are being obtained in reliance on a test based on such ratio) to</w:t>
      </w:r>
      <w:r>
        <w:rPr>
          <w:rFonts w:ascii="Times New Roman" w:hAnsi="Times New Roman"/>
          <w:sz w:val="20"/>
        </w:rPr>
        <w:t xml:space="preserve"> </w:t>
      </w:r>
      <w:r>
        <w:rPr>
          <w:rFonts w:ascii="Times New Roman;serif" w:hAnsi="Times New Roman;serif"/>
          <w:b w:val="false"/>
          <w:sz w:val="22"/>
        </w:rPr>
        <w:t>(b) the Company’s Consolidated EBITDA for the most recently ended four full fiscal quarters for which internal financial statements are available immediately preceding the date on which such event for which such calculation is being made shall occur, with such ratio being calculated on a pro forma basis in a manner consistent with the pro forma provisions set forth in the definition of “Fixed Charge Coverage Ratio,” to the extent appropriate.</w:t>
      </w:r>
    </w:p>
    <w:p>
      <w:pPr>
        <w:pStyle w:val="TextBody"/>
        <w:bidi w:val="0"/>
        <w:spacing w:before="0" w:after="240"/>
        <w:jc w:val="left"/>
        <w:rPr/>
      </w:pPr>
      <w:r>
        <w:rPr/>
        <w:t>“</w:t>
      </w:r>
      <w:r>
        <w:rPr>
          <w:rFonts w:ascii="Times New Roman;serif" w:hAnsi="Times New Roman;serif"/>
          <w:b w:val="false"/>
          <w:sz w:val="22"/>
          <w:u w:val="single"/>
        </w:rPr>
        <w:t>Senior Secured Net Leverage Ratio</w:t>
      </w:r>
      <w:r>
        <w:rPr>
          <w:rFonts w:ascii="Times New Roman" w:hAnsi="Times New Roman"/>
          <w:sz w:val="20"/>
        </w:rPr>
        <w:t xml:space="preserve">” </w:t>
      </w:r>
      <w:r>
        <w:rPr>
          <w:rFonts w:ascii="Times New Roman;serif" w:hAnsi="Times New Roman;serif"/>
          <w:b w:val="false"/>
          <w:sz w:val="22"/>
        </w:rPr>
        <w:t>means, as of any date of determination, the ratio of (a) the sum of (i) Consolidated Senior Secured Indebtedness of the Company and its Restricted Subsidiaries as of such date and (ii) the Reserved Indebtedness Amount applicable at such time to the calculation of the Senior Secured Net Leverage Ratio with respect to commitments first obtained as of such date but not utilized as of such date (but only the extent such commitments are being obtained in reliance on a test based on such ratio) to</w:t>
      </w:r>
      <w:r>
        <w:rPr>
          <w:rFonts w:ascii="Times New Roman" w:hAnsi="Times New Roman"/>
          <w:sz w:val="20"/>
        </w:rPr>
        <w:t xml:space="preserve"> </w:t>
      </w:r>
      <w:r>
        <w:rPr>
          <w:rFonts w:ascii="Times New Roman;serif" w:hAnsi="Times New Roman;serif"/>
          <w:b w:val="false"/>
          <w:sz w:val="22"/>
        </w:rPr>
        <w:t>(b) the Company’s Consolidated EBITDA for the most recently ended four full fiscal quarters for which internal financial statements are available immediately preceding the date on which such event for which such calculation is being made shall occur, with such ratio being calculated on a pro forma basis in a manner consistent with the pro forma provisions set forth in the definition of “Fixed Charge Coverage Ratio,” to the extent appropriate.</w:t>
      </w:r>
    </w:p>
    <w:p>
      <w:pPr>
        <w:pStyle w:val="TextBody"/>
        <w:bidi w:val="0"/>
        <w:spacing w:before="0" w:after="240"/>
        <w:jc w:val="left"/>
        <w:rPr/>
      </w:pPr>
      <w:r>
        <w:rPr/>
        <w:t>“</w:t>
      </w:r>
      <w:r>
        <w:rPr>
          <w:rFonts w:ascii="Times New Roman;serif" w:hAnsi="Times New Roman;serif"/>
          <w:b w:val="false"/>
          <w:sz w:val="22"/>
          <w:u w:val="single"/>
        </w:rPr>
        <w:t>Settlement</w:t>
      </w:r>
      <w:r>
        <w:rPr>
          <w:rFonts w:ascii="Times New Roman" w:hAnsi="Times New Roman"/>
          <w:sz w:val="20"/>
        </w:rPr>
        <w:t xml:space="preserve">” </w:t>
      </w:r>
      <w:r>
        <w:rPr>
          <w:rFonts w:ascii="Times New Roman;serif" w:hAnsi="Times New Roman;serif"/>
          <w:b w:val="false"/>
          <w:sz w:val="22"/>
        </w:rPr>
        <w:t>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pStyle w:val="TextBody"/>
        <w:bidi w:val="0"/>
        <w:spacing w:before="0" w:after="240"/>
        <w:jc w:val="left"/>
        <w:rPr/>
      </w:pPr>
      <w:r>
        <w:rPr/>
        <w:t>“</w:t>
      </w:r>
      <w:r>
        <w:rPr>
          <w:rFonts w:ascii="Times New Roman;serif" w:hAnsi="Times New Roman;serif"/>
          <w:b w:val="false"/>
          <w:sz w:val="22"/>
          <w:u w:val="single"/>
        </w:rPr>
        <w:t>Settlement Asset</w:t>
      </w:r>
      <w:r>
        <w:rPr>
          <w:rFonts w:ascii="Times New Roman" w:hAnsi="Times New Roman"/>
          <w:sz w:val="20"/>
        </w:rPr>
        <w:t xml:space="preserve">” </w:t>
      </w:r>
      <w:r>
        <w:rPr>
          <w:rFonts w:ascii="Times New Roman;serif" w:hAnsi="Times New Roman;serif"/>
          <w:b w:val="false"/>
          <w:sz w:val="22"/>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before="0" w:after="240"/>
        <w:jc w:val="left"/>
        <w:rPr/>
      </w:pPr>
      <w:r>
        <w:rPr/>
        <w:t>“</w:t>
      </w:r>
      <w:r>
        <w:rPr>
          <w:rFonts w:ascii="Times New Roman;serif" w:hAnsi="Times New Roman;serif"/>
          <w:b w:val="false"/>
          <w:sz w:val="22"/>
          <w:u w:val="single"/>
        </w:rPr>
        <w:t>Settlement Indebtedness</w:t>
      </w:r>
      <w:r>
        <w:rPr>
          <w:rFonts w:ascii="Times New Roman" w:hAnsi="Times New Roman"/>
          <w:sz w:val="20"/>
        </w:rPr>
        <w:t xml:space="preserve">” </w:t>
      </w:r>
      <w:r>
        <w:rPr>
          <w:rFonts w:ascii="Times New Roman;serif" w:hAnsi="Times New Roman;serif"/>
          <w:b w:val="false"/>
          <w:sz w:val="22"/>
        </w:rPr>
        <w:t>means any payment or reimbursement obligation in respect of a Settlement Payment.</w:t>
      </w:r>
    </w:p>
    <w:p>
      <w:pPr>
        <w:pStyle w:val="TextBody"/>
        <w:bidi w:val="0"/>
        <w:spacing w:before="0" w:after="240"/>
        <w:jc w:val="left"/>
        <w:rPr/>
      </w:pPr>
      <w:r>
        <w:rPr/>
        <w:t>“</w:t>
      </w:r>
      <w:r>
        <w:rPr>
          <w:rFonts w:ascii="Times New Roman;serif" w:hAnsi="Times New Roman;serif"/>
          <w:b w:val="false"/>
          <w:sz w:val="22"/>
          <w:u w:val="single"/>
        </w:rPr>
        <w:t>Settlement Lien</w:t>
      </w:r>
      <w:r>
        <w:rPr>
          <w:rFonts w:ascii="Times New Roman" w:hAnsi="Times New Roman"/>
          <w:sz w:val="20"/>
        </w:rPr>
        <w:t xml:space="preserve">” </w:t>
      </w:r>
      <w:r>
        <w:rPr>
          <w:rFonts w:ascii="Times New Roman;serif" w:hAnsi="Times New Roman;serif"/>
          <w:b w:val="false"/>
          <w:sz w:val="22"/>
        </w:rPr>
        <w:t>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pStyle w:val="TextBody"/>
        <w:bidi w:val="0"/>
        <w:spacing w:before="0" w:after="240"/>
        <w:jc w:val="left"/>
        <w:rPr/>
      </w:pPr>
      <w:r>
        <w:rPr/>
        <w:t>“</w:t>
      </w:r>
      <w:r>
        <w:rPr>
          <w:rFonts w:ascii="Times New Roman;serif" w:hAnsi="Times New Roman;serif"/>
          <w:b w:val="false"/>
          <w:sz w:val="22"/>
          <w:u w:val="single"/>
        </w:rPr>
        <w:t>Settlement Payment</w:t>
      </w:r>
      <w:r>
        <w:rPr>
          <w:rFonts w:ascii="Times New Roman" w:hAnsi="Times New Roman"/>
          <w:sz w:val="20"/>
        </w:rPr>
        <w:t xml:space="preserve">” </w:t>
      </w:r>
      <w:r>
        <w:rPr>
          <w:rFonts w:ascii="Times New Roman;serif" w:hAnsi="Times New Roman;serif"/>
          <w:b w:val="false"/>
          <w:sz w:val="22"/>
        </w:rPr>
        <w:t>means the transfer, or contractual undertaking (including by automated clearing house transaction) to effect a transfer, of cash or other property to effect a Settlement.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Settlement Receivable</w:t>
      </w:r>
      <w:r>
        <w:rPr>
          <w:rFonts w:ascii="Times New Roman" w:hAnsi="Times New Roman"/>
          <w:sz w:val="20"/>
        </w:rPr>
        <w:t xml:space="preserve">” </w:t>
      </w:r>
      <w:r>
        <w:rPr>
          <w:rFonts w:ascii="Times New Roman;serif" w:hAnsi="Times New Roman;serif"/>
          <w:b w:val="false"/>
          <w:sz w:val="22"/>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before="0" w:after="240"/>
        <w:jc w:val="left"/>
        <w:rPr/>
      </w:pPr>
      <w:r>
        <w:rPr/>
        <w:t>“</w:t>
      </w:r>
      <w:r>
        <w:rPr>
          <w:rFonts w:ascii="Times New Roman;serif" w:hAnsi="Times New Roman;serif"/>
          <w:b w:val="false"/>
          <w:sz w:val="22"/>
          <w:u w:val="single"/>
        </w:rPr>
        <w:t>Significant Subsidiary</w:t>
      </w:r>
      <w:r>
        <w:rPr>
          <w:rFonts w:ascii="Times New Roman" w:hAnsi="Times New Roman"/>
          <w:sz w:val="20"/>
        </w:rPr>
        <w:t xml:space="preserve">” </w:t>
      </w:r>
      <w:r>
        <w:rPr>
          <w:rFonts w:ascii="Times New Roman;serif" w:hAnsi="Times New Roman;serif"/>
          <w:b w:val="false"/>
          <w:sz w:val="22"/>
        </w:rPr>
        <w:t>means any Restricted Subsidiary that would be a “significant subsidiary” as defined in Article 1, Rule 1-02(w)(2) of Regulation S-X, promulgated pursuant to the Securities Act, as such regulation is in effect on the Completion Date.</w:t>
      </w:r>
    </w:p>
    <w:p>
      <w:pPr>
        <w:pStyle w:val="TextBody"/>
        <w:bidi w:val="0"/>
        <w:spacing w:before="0" w:after="240"/>
        <w:jc w:val="left"/>
        <w:rPr/>
      </w:pPr>
      <w:r>
        <w:rPr/>
        <w:t>“</w:t>
      </w:r>
      <w:r>
        <w:rPr>
          <w:rFonts w:ascii="Times New Roman;serif" w:hAnsi="Times New Roman;serif"/>
          <w:b w:val="false"/>
          <w:sz w:val="22"/>
          <w:u w:val="single"/>
        </w:rPr>
        <w:t>Similar Business</w:t>
      </w:r>
      <w:r>
        <w:rPr>
          <w:rFonts w:ascii="Times New Roman" w:hAnsi="Times New Roman"/>
          <w:sz w:val="20"/>
        </w:rPr>
        <w:t xml:space="preserve">” </w:t>
      </w:r>
      <w:r>
        <w:rPr>
          <w:rFonts w:ascii="Times New Roman;serif" w:hAnsi="Times New Roman;serif"/>
          <w:b w:val="false"/>
          <w:sz w:val="22"/>
        </w:rPr>
        <w:t>means (1) any business conducted or proposed to be conducted by the Company or any of its Subsidiaries on the Completion Date or (2) any business or other activities that are reasonably similar, incidental, ancillary, complementary or related to, or a reasonable extension, development or expansion of, the businesses in which the Company and any of its Subsidiaries were engaged on the Completion Date.</w:t>
      </w:r>
    </w:p>
    <w:p>
      <w:pPr>
        <w:pStyle w:val="TextBody"/>
        <w:bidi w:val="0"/>
        <w:spacing w:before="0" w:after="240"/>
        <w:jc w:val="left"/>
        <w:rPr/>
      </w:pPr>
      <w:r>
        <w:rPr/>
        <w:t>“</w:t>
      </w:r>
      <w:r>
        <w:rPr>
          <w:rFonts w:ascii="Times New Roman;serif" w:hAnsi="Times New Roman;serif"/>
          <w:b w:val="false"/>
          <w:sz w:val="22"/>
          <w:u w:val="single"/>
        </w:rPr>
        <w:t>Specified Event of Default</w:t>
      </w:r>
      <w:r>
        <w:rPr>
          <w:rFonts w:ascii="Times New Roman" w:hAnsi="Times New Roman"/>
          <w:sz w:val="20"/>
        </w:rPr>
        <w:t xml:space="preserve">” </w:t>
      </w:r>
      <w:r>
        <w:rPr>
          <w:rFonts w:ascii="Times New Roman;serif" w:hAnsi="Times New Roman;serif"/>
          <w:b w:val="false"/>
          <w:sz w:val="22"/>
        </w:rPr>
        <w:t>means an Event of Default pursuant to clauses (1), (2), (6) or (7) of Section 6.01(a) hereof.</w:t>
      </w:r>
    </w:p>
    <w:p>
      <w:pPr>
        <w:pStyle w:val="TextBody"/>
        <w:bidi w:val="0"/>
        <w:spacing w:before="0" w:after="240"/>
        <w:jc w:val="left"/>
        <w:rPr/>
      </w:pPr>
      <w:r>
        <w:rPr/>
        <w:t>“</w:t>
      </w:r>
      <w:r>
        <w:rPr>
          <w:rFonts w:ascii="Times New Roman;serif" w:hAnsi="Times New Roman;serif"/>
          <w:b w:val="false"/>
          <w:sz w:val="22"/>
          <w:u w:val="single"/>
        </w:rPr>
        <w:t>Specified Transaction</w:t>
      </w:r>
      <w:r>
        <w:rPr>
          <w:rFonts w:ascii="Times New Roman" w:hAnsi="Times New Roman"/>
          <w:sz w:val="20"/>
        </w:rPr>
        <w:t xml:space="preserve">” </w:t>
      </w:r>
      <w:r>
        <w:rPr>
          <w:rFonts w:ascii="Times New Roman;serif" w:hAnsi="Times New Roman;serif"/>
          <w:b w:val="false"/>
          <w:sz w:val="22"/>
        </w:rPr>
        <w:t>means, with respect to any period, any Investment, sale, transfer or other disposition of assets, incurrence or repayment of Indebtedness, Restricted Payment, subsidiary designation, New Project or other event that by the terms of this Indenture requires such covenant to be calculated on a pro forma basis after giving pro forma effect thereto.</w:t>
      </w:r>
    </w:p>
    <w:p>
      <w:pPr>
        <w:pStyle w:val="TextBody"/>
        <w:bidi w:val="0"/>
        <w:spacing w:before="0" w:after="240"/>
        <w:jc w:val="left"/>
        <w:rPr/>
      </w:pPr>
      <w:r>
        <w:rPr/>
        <w:t>“</w:t>
      </w:r>
      <w:r>
        <w:rPr>
          <w:rFonts w:ascii="Times New Roman;serif" w:hAnsi="Times New Roman;serif"/>
          <w:b w:val="false"/>
          <w:sz w:val="22"/>
          <w:u w:val="single"/>
        </w:rPr>
        <w:t>Sponsor Management Agreement</w:t>
      </w:r>
      <w:r>
        <w:rPr>
          <w:rFonts w:ascii="Times New Roman" w:hAnsi="Times New Roman"/>
          <w:sz w:val="20"/>
        </w:rPr>
        <w:t xml:space="preserve">” </w:t>
      </w:r>
      <w:r>
        <w:rPr>
          <w:rFonts w:ascii="Times New Roman;serif" w:hAnsi="Times New Roman;serif"/>
          <w:b w:val="false"/>
          <w:sz w:val="22"/>
        </w:rPr>
        <w:t>means any management agreement between certain of the management companies associated with the Investors and Holdings, the Company or its Restricted Subsidiaries.</w:t>
      </w:r>
    </w:p>
    <w:p>
      <w:pPr>
        <w:pStyle w:val="TextBody"/>
        <w:bidi w:val="0"/>
        <w:spacing w:before="0" w:after="240"/>
        <w:jc w:val="left"/>
        <w:rPr/>
      </w:pPr>
      <w:r>
        <w:rPr/>
        <w:t>“</w:t>
      </w:r>
      <w:r>
        <w:rPr>
          <w:rFonts w:ascii="Times New Roman;serif" w:hAnsi="Times New Roman;serif"/>
          <w:b w:val="false"/>
          <w:sz w:val="22"/>
          <w:u w:val="single"/>
        </w:rPr>
        <w:t>Subordinated Indebtedness</w:t>
      </w:r>
      <w:r>
        <w:rPr>
          <w:rFonts w:ascii="Times New Roman" w:hAnsi="Times New Roman"/>
          <w:sz w:val="20"/>
        </w:rPr>
        <w:t xml:space="preserve">” </w:t>
      </w:r>
      <w:r>
        <w:rPr>
          <w:rFonts w:ascii="Times New Roman;serif" w:hAnsi="Times New Roman;serif"/>
          <w:b w:val="false"/>
          <w:sz w:val="22"/>
        </w:rPr>
        <w:t>means, with respect to the Notes,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any Indebtedness </w:t>
      </w:r>
      <w:r>
        <w:rPr>
          <w:rFonts w:ascii="Times New Roman;serif" w:hAnsi="Times New Roman;serif"/>
          <w:b w:val="false"/>
          <w:sz w:val="20"/>
        </w:rPr>
        <w:t xml:space="preserve">(other than (i) any permitted intercompany Indebtedness owing to direct and indirect parent companies of the </w:t>
      </w:r>
      <w:r>
        <w:rPr>
          <w:rFonts w:ascii="Times New Roman;serif" w:hAnsi="Times New Roman;serif"/>
          <w:b w:val="false"/>
          <w:sz w:val="22"/>
        </w:rPr>
        <w:t>Company</w:t>
      </w:r>
      <w:r>
        <w:rPr>
          <w:rFonts w:ascii="Times New Roman;serif" w:hAnsi="Times New Roman;serif"/>
          <w:b w:val="false"/>
          <w:sz w:val="20"/>
        </w:rPr>
        <w:t xml:space="preserve">, the </w:t>
      </w:r>
      <w:r>
        <w:rPr>
          <w:rFonts w:ascii="Times New Roman;serif" w:hAnsi="Times New Roman;serif"/>
          <w:b w:val="false"/>
          <w:sz w:val="22"/>
        </w:rPr>
        <w:t>Company</w:t>
      </w:r>
      <w:r>
        <w:rPr>
          <w:rFonts w:ascii="Times New Roman" w:hAnsi="Times New Roman"/>
          <w:sz w:val="20"/>
        </w:rPr>
        <w:t xml:space="preserve"> </w:t>
      </w:r>
      <w:r>
        <w:rPr>
          <w:rFonts w:ascii="Times New Roman;serif" w:hAnsi="Times New Roman;serif"/>
          <w:b w:val="false"/>
          <w:sz w:val="20"/>
        </w:rPr>
        <w:t xml:space="preserve">or any Restricted Subsidiary or (ii) any Indebtedness in an aggregate principal amount not exceeding $25.0 million) </w:t>
      </w:r>
      <w:r>
        <w:rPr>
          <w:rFonts w:ascii="Times New Roman;serif" w:hAnsi="Times New Roman;serif"/>
          <w:b w:val="false"/>
          <w:sz w:val="22"/>
        </w:rPr>
        <w:t>of the Company which is by its terms subordinated in right of payment to the Notes,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 any Indebtedness </w:t>
      </w:r>
      <w:r>
        <w:rPr>
          <w:rFonts w:ascii="Times New Roman;serif" w:hAnsi="Times New Roman;serif"/>
          <w:b w:val="false"/>
          <w:sz w:val="20"/>
        </w:rPr>
        <w:t xml:space="preserve">(other than (i) any permitted intercompany Indebtedness owing to direct and indirect parent companies of the </w:t>
      </w:r>
      <w:r>
        <w:rPr>
          <w:rFonts w:ascii="Times New Roman;serif" w:hAnsi="Times New Roman;serif"/>
          <w:b w:val="false"/>
          <w:sz w:val="22"/>
        </w:rPr>
        <w:t>Company</w:t>
      </w:r>
      <w:r>
        <w:rPr>
          <w:rFonts w:ascii="Times New Roman;serif" w:hAnsi="Times New Roman;serif"/>
          <w:b w:val="false"/>
          <w:sz w:val="20"/>
        </w:rPr>
        <w:t xml:space="preserve">, the </w:t>
      </w:r>
      <w:r>
        <w:rPr>
          <w:rFonts w:ascii="Times New Roman;serif" w:hAnsi="Times New Roman;serif"/>
          <w:b w:val="false"/>
          <w:sz w:val="22"/>
        </w:rPr>
        <w:t>Company</w:t>
      </w:r>
      <w:r>
        <w:rPr>
          <w:rFonts w:ascii="Times New Roman" w:hAnsi="Times New Roman"/>
          <w:sz w:val="20"/>
        </w:rPr>
        <w:t xml:space="preserve"> </w:t>
      </w:r>
      <w:r>
        <w:rPr>
          <w:rFonts w:ascii="Times New Roman;serif" w:hAnsi="Times New Roman;serif"/>
          <w:b w:val="false"/>
          <w:sz w:val="20"/>
        </w:rPr>
        <w:t>or any Restricted Subsidiary or (ii) any Indebtedness in an aggregate principal amount not exceeding $25.0 million)</w:t>
      </w:r>
      <w:r>
        <w:rPr>
          <w:rFonts w:ascii="Times New Roman" w:hAnsi="Times New Roman"/>
          <w:sz w:val="20"/>
        </w:rPr>
        <w:t xml:space="preserve"> </w:t>
      </w:r>
      <w:r>
        <w:rPr>
          <w:rFonts w:ascii="Times New Roman;serif" w:hAnsi="Times New Roman;serif"/>
          <w:b w:val="false"/>
          <w:sz w:val="22"/>
        </w:rPr>
        <w:t>of any Guarantor which is by its terms subordinated in right of payment to the Guarantee of such entity of the Notes.</w:t>
      </w:r>
    </w:p>
    <w:p>
      <w:pPr>
        <w:pStyle w:val="TextBody"/>
        <w:bidi w:val="0"/>
        <w:spacing w:before="0" w:after="240"/>
        <w:jc w:val="left"/>
        <w:rPr/>
      </w:pPr>
      <w:r>
        <w:rPr/>
        <w:t>“</w:t>
      </w:r>
      <w:r>
        <w:rPr>
          <w:rFonts w:ascii="Times New Roman;serif" w:hAnsi="Times New Roman;serif"/>
          <w:b w:val="false"/>
          <w:sz w:val="22"/>
          <w:u w:val="single"/>
        </w:rPr>
        <w:t>Subsidiary</w:t>
      </w:r>
      <w:r>
        <w:rPr>
          <w:rFonts w:ascii="Times New Roman" w:hAnsi="Times New Roman"/>
          <w:sz w:val="20"/>
        </w:rPr>
        <w:t xml:space="preserve">” </w:t>
      </w:r>
      <w:r>
        <w:rPr>
          <w:rFonts w:ascii="Times New Roman;serif" w:hAnsi="Times New Roman;serif"/>
          <w:b w:val="false"/>
          <w:sz w:val="22"/>
        </w:rPr>
        <w:t>means, with respect to any Person: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any partnership, joint venture, limited liability company or similar entity of which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(x) 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(y) such Person or any Restricted Subsidiary of such Person is a controlling general partner or otherwise controls such entity.</w:t>
      </w:r>
    </w:p>
    <w:p>
      <w:pPr>
        <w:pStyle w:val="TextBody"/>
        <w:bidi w:val="0"/>
        <w:spacing w:before="0" w:after="240"/>
        <w:jc w:val="left"/>
        <w:rPr/>
      </w:pPr>
      <w:r>
        <w:rPr/>
        <w:t>“</w:t>
      </w:r>
      <w:r>
        <w:rPr>
          <w:rFonts w:ascii="Times New Roman;serif" w:hAnsi="Times New Roman;serif"/>
          <w:b w:val="false"/>
          <w:sz w:val="22"/>
          <w:u w:val="single"/>
        </w:rPr>
        <w:t>taxes</w:t>
      </w:r>
      <w:r>
        <w:rPr>
          <w:rFonts w:ascii="Times New Roman" w:hAnsi="Times New Roman"/>
          <w:sz w:val="20"/>
        </w:rPr>
        <w:t xml:space="preserve">” </w:t>
      </w:r>
      <w:r>
        <w:rPr>
          <w:rFonts w:ascii="Times New Roman;serif" w:hAnsi="Times New Roman;serif"/>
          <w:b w:val="false"/>
          <w:sz w:val="22"/>
        </w:rPr>
        <w:t>means any and all present or future taxes, levies, imposts, duties, deductions, charges or withholdings imposed by any Governmental Authority, including any interest, additions to tax or penalties applicable thereto.</w:t>
      </w:r>
    </w:p>
    <w:p>
      <w:pPr>
        <w:pStyle w:val="TextBody"/>
        <w:bidi w:val="0"/>
        <w:spacing w:before="0" w:after="240"/>
        <w:jc w:val="left"/>
        <w:rPr/>
      </w:pPr>
      <w:r>
        <w:rPr/>
        <w:t>“</w:t>
      </w:r>
      <w:r>
        <w:rPr>
          <w:rFonts w:ascii="Times New Roman;serif" w:hAnsi="Times New Roman;serif"/>
          <w:b w:val="false"/>
          <w:sz w:val="22"/>
          <w:u w:val="single"/>
        </w:rPr>
        <w:t>Test Period</w:t>
      </w:r>
      <w:r>
        <w:rPr>
          <w:rFonts w:ascii="Times New Roman" w:hAnsi="Times New Roman"/>
          <w:sz w:val="20"/>
        </w:rPr>
        <w:t xml:space="preserve">” </w:t>
      </w:r>
      <w:r>
        <w:rPr>
          <w:rFonts w:ascii="Times New Roman;serif" w:hAnsi="Times New Roman;serif"/>
          <w:b w:val="false"/>
          <w:sz w:val="22"/>
        </w:rPr>
        <w:t>means, as of any date of determination, the most recently completed four fiscal quarters of the Company ending on or prior to such date for which internal financial statements are available immediately preceding such date of determination.</w:t>
      </w:r>
    </w:p>
    <w:p>
      <w:pPr>
        <w:pStyle w:val="TextBody"/>
        <w:bidi w:val="0"/>
        <w:spacing w:before="0" w:after="240"/>
        <w:jc w:val="left"/>
        <w:rPr/>
      </w:pPr>
      <w:r>
        <w:rPr/>
        <w:t>“</w:t>
      </w:r>
      <w:r>
        <w:rPr>
          <w:rFonts w:ascii="Times New Roman;serif" w:hAnsi="Times New Roman;serif"/>
          <w:b w:val="false"/>
          <w:sz w:val="22"/>
          <w:u w:val="single"/>
        </w:rPr>
        <w:t>TISE</w:t>
      </w:r>
      <w:r>
        <w:rPr>
          <w:rFonts w:ascii="Times New Roman" w:hAnsi="Times New Roman"/>
          <w:sz w:val="20"/>
        </w:rPr>
        <w:t xml:space="preserve">” </w:t>
      </w:r>
      <w:r>
        <w:rPr>
          <w:rFonts w:ascii="Times New Roman;serif" w:hAnsi="Times New Roman;serif"/>
          <w:b w:val="false"/>
          <w:sz w:val="22"/>
        </w:rPr>
        <w:t>means The International Stock Exchange Authority Limited and its successors and assigns.</w:t>
      </w:r>
    </w:p>
    <w:p>
      <w:pPr>
        <w:pStyle w:val="TextBody"/>
        <w:bidi w:val="0"/>
        <w:spacing w:before="0" w:after="240"/>
        <w:jc w:val="left"/>
        <w:rPr/>
      </w:pPr>
      <w:r>
        <w:rPr/>
        <w:t>“</w:t>
      </w:r>
      <w:r>
        <w:rPr>
          <w:rFonts w:ascii="Times New Roman;serif" w:hAnsi="Times New Roman;serif"/>
          <w:b w:val="false"/>
          <w:sz w:val="22"/>
          <w:u w:val="single"/>
        </w:rPr>
        <w:t>Total Assets</w:t>
      </w:r>
      <w:r>
        <w:rPr>
          <w:rFonts w:ascii="Times New Roman" w:hAnsi="Times New Roman"/>
          <w:sz w:val="20"/>
        </w:rPr>
        <w:t xml:space="preserve">” </w:t>
      </w:r>
      <w:r>
        <w:rPr>
          <w:rFonts w:ascii="Times New Roman;serif" w:hAnsi="Times New Roman;serif"/>
          <w:b w:val="false"/>
          <w:sz w:val="22"/>
        </w:rPr>
        <w:t>means, as of any date, the total consolidated assets of the Company and its Restricted Subsidiaries on a consolidated basis, as shown on the most recent consolidated balance sheet of the Company and its Restricted Subsidiaries, determined on a pro forma basis in a manner consistent with the pro forma basis contained in the definition of Fixed Charge Coverage Ratio.</w:t>
      </w:r>
    </w:p>
    <w:p>
      <w:pPr>
        <w:pStyle w:val="TextBody"/>
        <w:bidi w:val="0"/>
        <w:spacing w:before="0" w:after="240"/>
        <w:jc w:val="left"/>
        <w:rPr/>
      </w:pPr>
      <w:r>
        <w:rPr/>
        <w:t>“</w:t>
      </w:r>
      <w:r>
        <w:rPr>
          <w:rFonts w:ascii="Times New Roman;serif" w:hAnsi="Times New Roman;serif"/>
          <w:b w:val="false"/>
          <w:sz w:val="22"/>
          <w:u w:val="single"/>
        </w:rPr>
        <w:t>Total Net Leverage Ratio</w:t>
      </w:r>
      <w:r>
        <w:rPr>
          <w:rFonts w:ascii="Times New Roman" w:hAnsi="Times New Roman"/>
          <w:sz w:val="20"/>
        </w:rPr>
        <w:t xml:space="preserve">” </w:t>
      </w:r>
      <w:r>
        <w:rPr>
          <w:rFonts w:ascii="Times New Roman;serif" w:hAnsi="Times New Roman;serif"/>
          <w:b w:val="false"/>
          <w:sz w:val="22"/>
        </w:rPr>
        <w:t>means, as of any date of determination, the ratio of (a) the sum of (i) Consolidated Total Indebtedness of the Company and its Restricted Subsidiaries as of such date and (ii) the Reserved Indebtedness Amount applicable at such time to the calculation of the Total Net Leverage Ratio with respect to commitments first obtained as of such date but not utilized as of such date (but only the extent such commitments are being obtained in reliance on a test based on such ratio) to (b) the Company’s Consolidated EBITDA for the most recently ended Test Period immediately preceding the date on which such event for which such calculation is being made shall occur, with such ratio being calculated on a pro forma basis in a manner consistent with the pro forma provisions set forth in the definition of “Fixed Charge Coverage Ratio,” to the extent appropriate.</w:t>
      </w:r>
    </w:p>
    <w:p>
      <w:pPr>
        <w:pStyle w:val="TextBody"/>
        <w:bidi w:val="0"/>
        <w:spacing w:before="0" w:after="240"/>
        <w:jc w:val="left"/>
        <w:rPr/>
      </w:pPr>
      <w:r>
        <w:rPr/>
        <w:t>“</w:t>
      </w:r>
      <w:r>
        <w:rPr>
          <w:rFonts w:ascii="Times New Roman;serif" w:hAnsi="Times New Roman;serif"/>
          <w:b w:val="false"/>
          <w:sz w:val="22"/>
          <w:u w:val="single"/>
        </w:rPr>
        <w:t>Transaction Costs</w:t>
      </w:r>
      <w:r>
        <w:rPr>
          <w:rFonts w:ascii="Times New Roman" w:hAnsi="Times New Roman"/>
          <w:sz w:val="20"/>
        </w:rPr>
        <w:t xml:space="preserve">” </w:t>
      </w:r>
      <w:r>
        <w:rPr>
          <w:rFonts w:ascii="Times New Roman;serif" w:hAnsi="Times New Roman;serif"/>
          <w:b w:val="false"/>
          <w:sz w:val="22"/>
        </w:rPr>
        <w:t>means all fees, costs and expenses incurred or payable by Holdings, the Company or any other Subsidiary in connection with the Transactions.</w:t>
      </w:r>
    </w:p>
    <w:p>
      <w:pPr>
        <w:pStyle w:val="TextBody"/>
        <w:bidi w:val="0"/>
        <w:spacing w:before="0" w:after="240"/>
        <w:jc w:val="left"/>
        <w:rPr/>
      </w:pPr>
      <w:r>
        <w:rPr/>
        <w:t>“</w:t>
      </w:r>
      <w:r>
        <w:rPr>
          <w:rFonts w:ascii="Times New Roman;serif" w:hAnsi="Times New Roman;serif"/>
          <w:b w:val="false"/>
          <w:sz w:val="22"/>
          <w:u w:val="single"/>
        </w:rPr>
        <w:t>Transactions</w:t>
      </w:r>
      <w:r>
        <w:rPr>
          <w:rFonts w:ascii="Times New Roman" w:hAnsi="Times New Roman"/>
          <w:sz w:val="20"/>
        </w:rPr>
        <w:t xml:space="preserve">” </w:t>
      </w:r>
      <w:r>
        <w:rPr>
          <w:rFonts w:ascii="Times New Roman;serif" w:hAnsi="Times New Roman;serif"/>
          <w:b w:val="false"/>
          <w:sz w:val="22"/>
        </w:rPr>
        <w:t>means (1) the funding of the Senior Credit Facilities and the consummation of the other transactions contemplated by the Senior Credit Facilities, (2) the issuance of the Notes, (3) the contribution by the Investors, the Management Investors and the other Investors, directly or indirectly of cash equity contributions to the Company on the Completion Date in exchange for Equity Interests, (4) the Acquisition and the other transactions contemplated by the Acquisition Documents, (5) the repayment of all the existing third party Indebtedness for borrowed money of the Acquired Company and its subsidiaries as of the Completion Date (other than Indebtedness permitted to remain outstanding under each of this Indenture and the Senior Credit Facilities) and the discharge (or the making of arrangements for discharge) of all Liens (other than Liens permitted to remain in place under each of this Indenture and the Senior Credit Facilities) and (6) the payment of the fees and expenses incurred in connection with any of the foregoing.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2"/>
          <w:u w:val="single"/>
        </w:rPr>
        <w:t>Treasury Rate</w:t>
      </w:r>
      <w:r>
        <w:rPr>
          <w:rFonts w:ascii="Times New Roman" w:hAnsi="Times New Roman"/>
          <w:sz w:val="20"/>
        </w:rPr>
        <w:t xml:space="preserve">” </w:t>
      </w:r>
      <w:r>
        <w:rPr>
          <w:rFonts w:ascii="Times New Roman;serif" w:hAnsi="Times New Roman;serif"/>
          <w:b w:val="false"/>
          <w:sz w:val="22"/>
        </w:rPr>
        <w:t xml:space="preserve">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 2022;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if the period from the Redemption Date to October 1, 2022 is not equal to the constant maturity of a United States Treasury security for which a yield is given, the Treasury Rate shall be obtained by linear interpolation (calculated to the nearest one-twelfth of a year) from the yields of United States Treasury securities for which such yields are given, except that if the period from the Redemption Date to such date is less than one year, the weekly average yield on actually traded United States Treasury securities adjusted to a constant maturity of one year will be used.</w:t>
      </w:r>
    </w:p>
    <w:p>
      <w:pPr>
        <w:pStyle w:val="TextBody"/>
        <w:bidi w:val="0"/>
        <w:spacing w:before="0" w:after="240"/>
        <w:jc w:val="left"/>
        <w:rPr/>
      </w:pPr>
      <w:r>
        <w:rPr/>
        <w:t>“</w:t>
      </w:r>
      <w:r>
        <w:rPr>
          <w:rFonts w:ascii="Times New Roman;serif" w:hAnsi="Times New Roman;serif"/>
          <w:b w:val="false"/>
          <w:sz w:val="22"/>
          <w:u w:val="single"/>
        </w:rPr>
        <w:t>Trust Indenture Act</w:t>
      </w:r>
      <w:r>
        <w:rPr>
          <w:rFonts w:ascii="Times New Roman" w:hAnsi="Times New Roman"/>
          <w:sz w:val="20"/>
        </w:rPr>
        <w:t xml:space="preserve">” </w:t>
      </w:r>
      <w:r>
        <w:rPr>
          <w:rFonts w:ascii="Times New Roman;serif" w:hAnsi="Times New Roman;serif"/>
          <w:b w:val="false"/>
          <w:sz w:val="22"/>
        </w:rPr>
        <w:t>means the Trust Indenture Act of 1939, as amended.</w:t>
      </w:r>
    </w:p>
    <w:p>
      <w:pPr>
        <w:pStyle w:val="TextBody"/>
        <w:bidi w:val="0"/>
        <w:spacing w:before="0" w:after="240"/>
        <w:jc w:val="left"/>
        <w:rPr/>
      </w:pPr>
      <w:r>
        <w:rPr/>
        <w:t>“</w:t>
      </w:r>
      <w:r>
        <w:rPr>
          <w:rFonts w:ascii="Times New Roman;serif" w:hAnsi="Times New Roman;serif"/>
          <w:b w:val="false"/>
          <w:sz w:val="22"/>
          <w:u w:val="single"/>
        </w:rPr>
        <w:t>Trustee</w:t>
      </w:r>
      <w:r>
        <w:rPr>
          <w:rFonts w:ascii="Times New Roman" w:hAnsi="Times New Roman"/>
          <w:sz w:val="20"/>
        </w:rPr>
        <w:t xml:space="preserve">” </w:t>
      </w:r>
      <w:r>
        <w:rPr>
          <w:rFonts w:ascii="Times New Roman;serif" w:hAnsi="Times New Roman;serif"/>
          <w:b w:val="false"/>
          <w:sz w:val="22"/>
        </w:rPr>
        <w:t>means Wilmington Trust, National Association, as trustee, until a successor replaces it in accordance with the applicable provisions of this Indenture and thereafter means the successor serving hereunder.</w:t>
      </w:r>
    </w:p>
    <w:p>
      <w:pPr>
        <w:pStyle w:val="TextBody"/>
        <w:bidi w:val="0"/>
        <w:spacing w:before="0" w:after="240"/>
        <w:jc w:val="left"/>
        <w:rPr/>
      </w:pPr>
      <w:r>
        <w:rPr/>
        <w:t>“</w:t>
      </w:r>
      <w:r>
        <w:rPr>
          <w:rFonts w:ascii="Times New Roman;serif" w:hAnsi="Times New Roman;serif"/>
          <w:b w:val="false"/>
          <w:sz w:val="22"/>
          <w:u w:val="single"/>
        </w:rPr>
        <w:t>UCC</w:t>
      </w:r>
      <w:r>
        <w:rPr>
          <w:rFonts w:ascii="Times New Roman" w:hAnsi="Times New Roman"/>
          <w:sz w:val="20"/>
        </w:rPr>
        <w:t xml:space="preserve">” </w:t>
      </w:r>
      <w:r>
        <w:rPr>
          <w:rFonts w:ascii="Times New Roman;serif" w:hAnsi="Times New Roman;serif"/>
          <w:b w:val="false"/>
          <w:sz w:val="22"/>
        </w:rPr>
        <w:t>means the Uniform Commercial Code.</w:t>
      </w:r>
    </w:p>
    <w:p>
      <w:pPr>
        <w:pStyle w:val="TextBody"/>
        <w:bidi w:val="0"/>
        <w:spacing w:before="0" w:after="240"/>
        <w:jc w:val="left"/>
        <w:rPr/>
      </w:pPr>
      <w:r>
        <w:rPr/>
        <w:t>“</w:t>
      </w:r>
      <w:r>
        <w:rPr>
          <w:rFonts w:ascii="Times New Roman;serif" w:hAnsi="Times New Roman;serif"/>
          <w:b w:val="false"/>
          <w:sz w:val="22"/>
          <w:u w:val="single"/>
        </w:rPr>
        <w:t>Unrestricted Definitive Note</w:t>
      </w:r>
      <w:r>
        <w:rPr>
          <w:rFonts w:ascii="Times New Roman" w:hAnsi="Times New Roman"/>
          <w:sz w:val="20"/>
        </w:rPr>
        <w:t xml:space="preserve">” </w:t>
      </w:r>
      <w:r>
        <w:rPr>
          <w:rFonts w:ascii="Times New Roman;serif" w:hAnsi="Times New Roman;serif"/>
          <w:b w:val="false"/>
          <w:sz w:val="22"/>
        </w:rPr>
        <w:t>means one or more Definitive Notes that do not bear and are not required to bear the Private Placement Legend.</w:t>
      </w:r>
    </w:p>
    <w:p>
      <w:pPr>
        <w:pStyle w:val="TextBody"/>
        <w:bidi w:val="0"/>
        <w:spacing w:before="0" w:after="240"/>
        <w:jc w:val="left"/>
        <w:rPr/>
      </w:pPr>
      <w:r>
        <w:rPr/>
        <w:t>“</w:t>
      </w:r>
      <w:r>
        <w:rPr>
          <w:rFonts w:ascii="Times New Roman;serif" w:hAnsi="Times New Roman;serif"/>
          <w:b w:val="false"/>
          <w:sz w:val="22"/>
          <w:u w:val="single"/>
        </w:rPr>
        <w:t>Unrestricted Global Note</w:t>
      </w:r>
      <w:r>
        <w:rPr>
          <w:rFonts w:ascii="Times New Roman" w:hAnsi="Times New Roman"/>
          <w:sz w:val="20"/>
        </w:rPr>
        <w:t xml:space="preserve">” </w:t>
      </w:r>
      <w:r>
        <w:rPr>
          <w:rFonts w:ascii="Times New Roman;serif" w:hAnsi="Times New Roman;serif"/>
          <w:b w:val="false"/>
          <w:sz w:val="22"/>
        </w:rPr>
        <w:t xml:space="preserve">means a permanent Global Note,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pStyle w:val="TextBody"/>
        <w:bidi w:val="0"/>
        <w:spacing w:before="0" w:after="240"/>
        <w:jc w:val="left"/>
        <w:rPr/>
      </w:pPr>
      <w:r>
        <w:rPr/>
        <w:t>“</w:t>
      </w:r>
      <w:r>
        <w:rPr>
          <w:rFonts w:ascii="Times New Roman;serif" w:hAnsi="Times New Roman;serif"/>
          <w:b w:val="false"/>
          <w:sz w:val="22"/>
          <w:u w:val="single"/>
        </w:rPr>
        <w:t>Unrestricted Subsidiary</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left"/>
        <w:rPr>
          <w:rFonts w:ascii="Times New Roman" w:hAnsi="Times New Roman"/>
          <w:sz w:val="20"/>
        </w:rPr>
      </w:pPr>
      <w:r>
        <w:rPr>
          <w:rFonts w:ascii="Times New Roman;serif" w:hAnsi="Times New Roman;serif"/>
          <w:b w:val="false"/>
          <w:sz w:val="22"/>
        </w:rPr>
        <w:t>(1) any Subsidiary of the Company which at the time of determination is an Unrestricted Subsidiary (as designated by the Company, as provided below);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any Subsidiary of an Unrestricted Subsidiary.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Company may designate any Subsidiary of the Company (including any existing Subsidiary and any newly acquired or newly formed Subsidiary) to be an Unrestricted Subsidiary unless such Subsidiary or any of its Subsidiaries owns any Equity Interests or Indebtedness of, or owns or holds any Lien on, any property of, the Company or any Subsidiary of the Company (other than solely any Subsidiary of the Subsidiary to be so designated); </w:t>
      </w:r>
      <w:r>
        <w:rPr>
          <w:rFonts w:ascii="Times New Roman;serif" w:hAnsi="Times New Roman;serif"/>
          <w:b w:val="false"/>
          <w:i/>
          <w:sz w:val="22"/>
        </w:rPr>
        <w:t>provided</w:t>
      </w:r>
      <w:r>
        <w:rPr>
          <w:rFonts w:ascii="Times New Roman;serif" w:hAnsi="Times New Roman;serif"/>
          <w:b w:val="false"/>
          <w:sz w:val="22"/>
        </w:rPr>
        <w:t>, that:</w:t>
      </w:r>
    </w:p>
    <w:p>
      <w:pPr>
        <w:pStyle w:val="TextBody"/>
        <w:bidi w:val="0"/>
        <w:spacing w:before="0" w:after="240"/>
        <w:jc w:val="left"/>
        <w:rPr>
          <w:rFonts w:ascii="Times New Roman" w:hAnsi="Times New Roman"/>
          <w:sz w:val="20"/>
        </w:rPr>
      </w:pPr>
      <w:r>
        <w:rPr>
          <w:rFonts w:ascii="Times New Roman;serif" w:hAnsi="Times New Roman;serif"/>
          <w:b w:val="false"/>
          <w:sz w:val="22"/>
        </w:rPr>
        <w:t>(1) such designation is not prohibited by Section 4.07 hereof;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each 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the Subsidiary to be so designated;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its Subsidiaries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has not at the time of designation, and does not thereafter, create, incur, issue, assume, guarantee or otherwise become directly or indirectly liable with respect to any Indebtedness pursuant to which the lender has recourse to any of the assets of the Company or any Restricted Subsidiary except for guarantees by the Company or any of its Restricted Subsidiaries incurred in accordance with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Company may designate any Unrestricted Subsidiary to be a Restricted Subsidiary; </w:t>
      </w:r>
      <w:r>
        <w:rPr>
          <w:rFonts w:ascii="Times New Roman;serif" w:hAnsi="Times New Roman;serif"/>
          <w:b w:val="false"/>
          <w:i/>
          <w:sz w:val="22"/>
        </w:rPr>
        <w:t>provided</w:t>
      </w:r>
      <w:r>
        <w:rPr>
          <w:rFonts w:ascii="Times New Roman;serif" w:hAnsi="Times New Roman;serif"/>
          <w:b w:val="false"/>
          <w:sz w:val="22"/>
        </w:rPr>
        <w:t>, that immediately after giving effect to such designation, no Default shall have occurred and be continuing and either: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the Company would be permitted to incur at least $1.00 of additional Indebtedness pursuant to the Ratio Test; or</w:t>
      </w:r>
    </w:p>
    <w:p>
      <w:pPr>
        <w:pStyle w:val="TextBody"/>
        <w:bidi w:val="0"/>
        <w:spacing w:before="0" w:after="240"/>
        <w:jc w:val="left"/>
        <w:rPr>
          <w:rFonts w:ascii="Times New Roman" w:hAnsi="Times New Roman"/>
          <w:sz w:val="20"/>
        </w:rPr>
      </w:pPr>
      <w:r>
        <w:rPr>
          <w:rFonts w:ascii="Times New Roman;serif" w:hAnsi="Times New Roman;serif"/>
          <w:b w:val="false"/>
          <w:sz w:val="22"/>
        </w:rPr>
        <w:t>(2) the Fixed Charge Coverage Ratio of the Company and its Restricted Subsidiaries would be equal to or greater than it was immediately prior to such designation, on a pro forma basis taking into account such designation.</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 such designation by the Company shall be notified by the Company to the Trustee by promptly delivering to the Trustee a copy of the resolution of the board of directors of the Company or any committee thereof giving effect to such designation and an Officer’s Certificate certifying that such designation complied with the foregoing provisions</w:t>
      </w:r>
    </w:p>
    <w:p>
      <w:pPr>
        <w:pStyle w:val="TextBody"/>
        <w:bidi w:val="0"/>
        <w:spacing w:before="0" w:after="240"/>
        <w:jc w:val="left"/>
        <w:rPr/>
      </w:pPr>
      <w:r>
        <w:rPr/>
        <w:t>“</w:t>
      </w:r>
      <w:r>
        <w:rPr>
          <w:rFonts w:ascii="Times New Roman;serif" w:hAnsi="Times New Roman;serif"/>
          <w:b w:val="false"/>
          <w:sz w:val="22"/>
          <w:u w:val="single"/>
        </w:rPr>
        <w:t>U.S. Person</w:t>
      </w:r>
      <w:r>
        <w:rPr>
          <w:rFonts w:ascii="Times New Roman" w:hAnsi="Times New Roman"/>
          <w:sz w:val="20"/>
        </w:rPr>
        <w:t xml:space="preserve">” </w:t>
      </w:r>
      <w:r>
        <w:rPr>
          <w:rFonts w:ascii="Times New Roman;serif" w:hAnsi="Times New Roman;serif"/>
          <w:b w:val="false"/>
          <w:sz w:val="22"/>
        </w:rPr>
        <w:t>means a U.S. person as defined in Rule 902(k) under the Securities Act.</w:t>
      </w:r>
    </w:p>
    <w:p>
      <w:pPr>
        <w:pStyle w:val="TextBody"/>
        <w:bidi w:val="0"/>
        <w:spacing w:before="0" w:after="240"/>
        <w:jc w:val="left"/>
        <w:rPr/>
      </w:pPr>
      <w:r>
        <w:rPr/>
        <w:t>“</w:t>
      </w:r>
      <w:r>
        <w:rPr>
          <w:rFonts w:ascii="Times New Roman;serif" w:hAnsi="Times New Roman;serif"/>
          <w:b w:val="false"/>
          <w:sz w:val="22"/>
          <w:u w:val="single"/>
        </w:rPr>
        <w:t>Voting Stock</w:t>
      </w:r>
      <w:r>
        <w:rPr>
          <w:rFonts w:ascii="Times New Roman" w:hAnsi="Times New Roman"/>
          <w:sz w:val="20"/>
        </w:rPr>
        <w:t xml:space="preserve">” </w:t>
      </w:r>
      <w:r>
        <w:rPr>
          <w:rFonts w:ascii="Times New Roman;serif" w:hAnsi="Times New Roman;serif"/>
          <w:b w:val="false"/>
          <w:sz w:val="22"/>
        </w:rPr>
        <w:t>of any Person as of any date means the Capital Stock of such Person that is at the time entitled to vote in the election of the board of directors of such Person.</w:t>
      </w:r>
    </w:p>
    <w:p>
      <w:pPr>
        <w:pStyle w:val="TextBody"/>
        <w:bidi w:val="0"/>
        <w:spacing w:before="0" w:after="240"/>
        <w:jc w:val="left"/>
        <w:rPr/>
      </w:pPr>
      <w:r>
        <w:rPr/>
        <w:t>“</w:t>
      </w:r>
      <w:r>
        <w:rPr>
          <w:rFonts w:ascii="Times New Roman;serif" w:hAnsi="Times New Roman;serif"/>
          <w:b w:val="false"/>
          <w:sz w:val="22"/>
          <w:u w:val="single"/>
        </w:rPr>
        <w:t>Weighted Average Life to Maturity</w:t>
      </w:r>
      <w:r>
        <w:rPr>
          <w:rFonts w:ascii="Times New Roman" w:hAnsi="Times New Roman"/>
          <w:sz w:val="20"/>
        </w:rPr>
        <w:t xml:space="preserve">” </w:t>
      </w:r>
      <w:r>
        <w:rPr>
          <w:rFonts w:ascii="Times New Roman;serif" w:hAnsi="Times New Roman;serif"/>
          <w:b w:val="false"/>
          <w:sz w:val="22"/>
        </w:rPr>
        <w:t>means, when applied to any Indebtedness, Disqualified Stock or Preferred Stock, as the case may be, at any date, the quotient obtained by dividing:</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the sum of all such payments.</w:t>
      </w:r>
    </w:p>
    <w:p>
      <w:pPr>
        <w:pStyle w:val="TextBody"/>
        <w:bidi w:val="0"/>
        <w:spacing w:before="0" w:after="240"/>
        <w:jc w:val="left"/>
        <w:rPr/>
      </w:pPr>
      <w:r>
        <w:rPr/>
        <w:t>“</w:t>
      </w:r>
      <w:r>
        <w:rPr>
          <w:rFonts w:ascii="Times New Roman;serif" w:hAnsi="Times New Roman;serif"/>
          <w:b w:val="false"/>
          <w:sz w:val="22"/>
          <w:u w:val="single"/>
        </w:rPr>
        <w:t>Wholly Owned Subsidiary</w:t>
      </w:r>
      <w:r>
        <w:rPr>
          <w:rFonts w:ascii="Times New Roman" w:hAnsi="Times New Roman"/>
          <w:sz w:val="20"/>
        </w:rPr>
        <w:t xml:space="preserve">” </w:t>
      </w:r>
      <w:r>
        <w:rPr>
          <w:rFonts w:ascii="Times New Roman;serif" w:hAnsi="Times New Roman;serif"/>
          <w:b w:val="false"/>
          <w:sz w:val="22"/>
        </w:rPr>
        <w:t>of any Person means a Subsidiary of such Person, 100.0% of the outstanding Equity Interests of which (other than directors’ qualifying shares and shares issued to foreign nationals as required by applicable law) shall at the time be owned by such Person or by one or more Wholly Owned Subsidiaries of such Person or by such Person and one or more Wholly Owned Subsidiaries of such Person.</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1.02 Other Definitions</w:t>
      </w:r>
      <w:r>
        <w:rPr>
          <w:rFonts w:ascii="Times New Roman;serif" w:hAnsi="Times New Roman;serif"/>
          <w:b w:val="false"/>
          <w:sz w:val="22"/>
        </w:rPr>
        <w:t>.</w:t>
      </w:r>
    </w:p>
    <w:tbl>
      <w:tblPr>
        <w:tblW w:w="4547" w:type="dxa"/>
        <w:jc w:val="left"/>
        <w:tblInd w:w="0" w:type="dxa"/>
        <w:tblLayout w:type="fixed"/>
        <w:tblCellMar>
          <w:top w:w="28" w:type="dxa"/>
          <w:left w:w="28" w:type="dxa"/>
          <w:bottom w:w="28" w:type="dxa"/>
          <w:right w:w="28" w:type="dxa"/>
        </w:tblCellMar>
      </w:tblPr>
      <w:tblGrid>
        <w:gridCol w:w="2656"/>
        <w:gridCol w:w="1891"/>
      </w:tblGrid>
      <w:tr>
        <w:trPr/>
        <w:tc>
          <w:tcPr>
            <w:tcW w:w="2656"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shd w:fill="FFFFFF" w:val="clear"/>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2"/>
              </w:rPr>
            </w:pPr>
            <w:r>
              <w:rPr>
                <w:rFonts w:ascii="Times New Roman;serif" w:hAnsi="Times New Roman;serif"/>
                <w:b w:val="false"/>
                <w:sz w:val="22"/>
              </w:rPr>
              <w:br/>
            </w:r>
            <w:r>
              <w:rPr>
                <w:rFonts w:ascii="Times New Roman;serif" w:hAnsi="Times New Roman;serif"/>
                <w:b w:val="false"/>
                <w:sz w:val="22"/>
                <w:u w:val="single"/>
              </w:rPr>
              <w:t>Term</w:t>
            </w:r>
          </w:p>
        </w:tc>
        <w:tc>
          <w:tcPr>
            <w:tcW w:w="1891"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hanging="0"/>
              <w:jc w:val="center"/>
              <w:rPr>
                <w:rFonts w:ascii="Times New Roman;serif" w:hAnsi="Times New Roman;serif"/>
                <w:b w:val="false"/>
                <w:sz w:val="22"/>
              </w:rPr>
            </w:pPr>
            <w:r>
              <w:rPr>
                <w:rFonts w:ascii="Times New Roman;serif" w:hAnsi="Times New Roman;serif"/>
                <w:b w:val="false"/>
                <w:sz w:val="22"/>
              </w:rPr>
              <w:t>Defined in Section</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Acceptable Commitment”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4.10</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Additional Amounts”</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4.17</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Affiliate Transaction”</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4.11</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Asset Sale Offer”</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4.10</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827" w:type="dxa"/>
        <w:jc w:val="left"/>
        <w:tblInd w:w="0" w:type="dxa"/>
        <w:tblLayout w:type="fixed"/>
        <w:tblCellMar>
          <w:top w:w="28" w:type="dxa"/>
          <w:left w:w="28" w:type="dxa"/>
          <w:bottom w:w="28" w:type="dxa"/>
          <w:right w:w="28" w:type="dxa"/>
        </w:tblCellMar>
      </w:tblPr>
      <w:tblGrid>
        <w:gridCol w:w="4936"/>
        <w:gridCol w:w="1891"/>
      </w:tblGrid>
      <w:tr>
        <w:trPr/>
        <w:tc>
          <w:tcPr>
            <w:tcW w:w="4936" w:type="dxa"/>
            <w:tcBorders/>
            <w:shd w:fill="FFFFFF" w:val="clear"/>
            <w:vAlign w:val="center"/>
          </w:tcPr>
          <w:p>
            <w:pPr>
              <w:pStyle w:val="TableContents"/>
              <w:bidi w:val="0"/>
              <w:spacing w:before="0" w:after="283"/>
              <w:jc w:val="left"/>
              <w:rPr>
                <w:sz w:val="4"/>
                <w:szCs w:val="4"/>
              </w:rPr>
            </w:pPr>
            <w:r>
              <w:rPr>
                <w:sz w:val="4"/>
                <w:szCs w:val="4"/>
              </w:rPr>
            </w:r>
          </w:p>
        </w:tc>
        <w:tc>
          <w:tcPr>
            <w:tcW w:w="1891" w:type="dxa"/>
            <w:tcBorders/>
            <w:shd w:fill="FFFFFF" w:val="clear"/>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120"/>
              <w:ind w:left="0" w:right="0" w:hanging="0"/>
              <w:jc w:val="left"/>
              <w:rPr>
                <w:rFonts w:ascii="Times New Roman" w:hAnsi="Times New Roman"/>
                <w:sz w:val="22"/>
              </w:rPr>
            </w:pPr>
            <w:r>
              <w:rPr>
                <w:rFonts w:ascii="Times New Roman;serif" w:hAnsi="Times New Roman;serif"/>
                <w:b w:val="false"/>
                <w:sz w:val="22"/>
              </w:rPr>
              <w:br/>
            </w:r>
            <w:r>
              <w:rPr>
                <w:rFonts w:ascii="Times New Roman;serif" w:hAnsi="Times New Roman;serif"/>
                <w:b w:val="false"/>
                <w:sz w:val="22"/>
                <w:u w:val="single"/>
              </w:rPr>
              <w:t>Term</w:t>
            </w:r>
          </w:p>
        </w:tc>
        <w:tc>
          <w:tcPr>
            <w:tcW w:w="1891"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hanging="0"/>
              <w:jc w:val="center"/>
              <w:rPr>
                <w:rFonts w:ascii="Times New Roman;serif" w:hAnsi="Times New Roman;serif"/>
                <w:b w:val="false"/>
                <w:sz w:val="22"/>
              </w:rPr>
            </w:pPr>
            <w:r>
              <w:rPr>
                <w:rFonts w:ascii="Times New Roman;serif" w:hAnsi="Times New Roman;serif"/>
                <w:b w:val="false"/>
                <w:sz w:val="22"/>
              </w:rPr>
              <w:t>Defined in Section</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Authentication Order”</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2.02</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Change of Control Offer”</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4.14</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Change of Control Payment”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4.14</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Change of Control Payment Date”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4.14</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Covenant Defeasance”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8.03</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Covenant Suspension Event”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4.16</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DTC”</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2.03</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Event of Default”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6.01</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Escrow Agent”</w:t>
            </w:r>
            <w:r>
              <w:rPr>
                <w:rFonts w:ascii="Times New Roman" w:hAnsi="Times New Roman"/>
                <w:sz w:val="22"/>
              </w:rPr>
              <w:t xml:space="preserve"> </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Escrow Amount”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Escrow Conditions”</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Escrow Release”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Escrow Release Date”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Excess Proceeds”</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4.10</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incur”</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4.09</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Increased Amount”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4.12</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Legal Defeasance”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8.02</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Note Register”</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2.03</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Offer Amount”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3.09</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Offer Period”</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3.09</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Outside Date”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Paying Agent”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2.03</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Purchase Date”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3.09</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Ratio Test”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4.07</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Redemption Date”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3.07</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Refinancing Indebtedness”</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4.09</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Refunding Capital Stock”</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4.07</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Registrar”</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2.03</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Reserved Indebtedness Amount”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4.09</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Restricted Payments”</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4.07</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Reversion Date”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4.16</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Second Commitment”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4.10</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Special Mandatory Redemption Price”</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Special Mandatory Redemption Triggering Event”</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3.08</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Successor Company”</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5.01</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Successor Person”</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5.01</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Suspended Covenants”</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4.16</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Suspension Period”</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4.16</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Tax Group”</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4.07</w:t>
            </w:r>
          </w:p>
        </w:tc>
      </w:tr>
      <w:tr>
        <w:trPr/>
        <w:tc>
          <w:tcPr>
            <w:tcW w:w="493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r>
              <w:rPr>
                <w:rFonts w:ascii="Times New Roman;serif" w:hAnsi="Times New Roman;serif"/>
                <w:b w:val="false"/>
                <w:sz w:val="22"/>
              </w:rPr>
              <w:t>Treasury Capital Stock”</w:t>
            </w:r>
          </w:p>
        </w:tc>
        <w:tc>
          <w:tcPr>
            <w:tcW w:w="18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4.07</w:t>
            </w:r>
          </w:p>
        </w:tc>
      </w:tr>
    </w:tbl>
    <w:p>
      <w:pPr>
        <w:pStyle w:val="TextBody"/>
        <w:bidi w:val="0"/>
        <w:spacing w:before="240" w:after="240"/>
        <w:jc w:val="left"/>
        <w:rPr>
          <w:rFonts w:ascii="Times New Roman;serif" w:hAnsi="Times New Roman;serif"/>
          <w:b w:val="false"/>
          <w:sz w:val="22"/>
          <w:u w:val="single"/>
        </w:rPr>
      </w:pPr>
      <w:r>
        <w:rPr>
          <w:rFonts w:ascii="Times New Roman;serif" w:hAnsi="Times New Roman;serif"/>
          <w:b w:val="false"/>
          <w:sz w:val="22"/>
          <w:u w:val="single"/>
        </w:rPr>
        <w:t>Section 1.03 [Reserved]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1.04 </w:t>
      </w:r>
      <w:r>
        <w:rPr>
          <w:rFonts w:ascii="Times New Roman;serif" w:hAnsi="Times New Roman;serif"/>
          <w:b w:val="false"/>
          <w:sz w:val="22"/>
          <w:u w:val="single"/>
        </w:rPr>
        <w:t>Rules of Construction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Unless the context otherwise requires: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a term has the meaning assigned to it;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an accounting term not otherwise defined has the meaning assigned to it in accordance with IFRS;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“or” is not exclusive;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words in the singular include the plural, and in the plural include the singular;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“will” shall be interpreted to express a command;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provisions apply to successive events and transactions;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references to sections of, or rules under, the Securities Act shall be deemed to include substitute, replacement or successor sections or rules adopted by the SEC from time to time;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unless the context otherwise requires, any reference to an “Article,” “Section,” “clause” or “Exhibit” refers to an Article, Section, clause or Exhibit, as the case may be, of this Indenture;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the words “herein,” “hereof” and “hereunder” and other words of similar import refer to this Indenture as a whole and not any particular Article, Section, clause, other subdivision or Exhibit.</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1.05 Acts of Holders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the Notes Collateral Agent, if applicable, and, where it is hereby expressly required, to the Issuers. Proof of execution of any such instrument or of a writing appointing any such agent, or the holding by any Person of a Note, shall be sufficient for any purpose of this Indenture and (subject to Section 7.01) conclusive in favor of the Trustee, the Notes Collateral Agent and the Issuers, if made in the manner provided in this Section 1.05.</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ownership of Notes shall be proved by the Note Register.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the Notes Collateral Agent or the Issuers in reliance thereon, whether or not notation of such action is made upon such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The Issuers may, in the circumstances permitted by the Trust Indenture Act,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Issuers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1.05(f) shall have the same effect as if given or taken by separate Holders of each such different part.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The Issuers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2</w:t>
        <w:br/>
        <w:br/>
        <w:t>THE NOTES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2.01 Form and Dating; Terms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w:t>
      </w:r>
      <w:r>
        <w:rPr>
          <w:rFonts w:ascii="Times New Roman;serif" w:hAnsi="Times New Roman;serif"/>
          <w:b w:val="false"/>
          <w:sz w:val="22"/>
          <w:u w:val="single"/>
        </w:rPr>
        <w:t>General</w:t>
      </w:r>
      <w:r>
        <w:rPr>
          <w:rFonts w:ascii="Times New Roman;serif" w:hAnsi="Times New Roman;serif"/>
          <w:b w:val="false"/>
          <w:sz w:val="22"/>
        </w:rPr>
        <w:t xml:space="preserve">. The Notes and the Trustee’s certificate of authentication shall be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The Notes may have notations, legends or endorsements required by law, stock exchange rules or usage. Each Note shall be dated the date of its authentication.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The Notes shall be in minimum denominations of $200,000 and integral multiples of $1,000 in excess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Global Notes</w:t>
      </w:r>
      <w:r>
        <w:rPr>
          <w:rFonts w:ascii="Times New Roman;serif" w:hAnsi="Times New Roman;serif"/>
          <w:b w:val="false"/>
          <w:sz w:val="22"/>
        </w:rPr>
        <w:t xml:space="preserve">. Notes issued in global form shall be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 xml:space="preserve">hereto (including the Global Note Legend thereon and the “Schedule of Exchanges of Interests in the Global Note” attached thereto). Notes issued in definitive form shall be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w:t>
      </w:r>
      <w:r>
        <w:rPr>
          <w:rFonts w:ascii="Times New Roman;serif" w:hAnsi="Times New Roman;serif"/>
          <w:b w:val="false"/>
          <w:sz w:val="22"/>
          <w:u w:val="single"/>
        </w:rPr>
        <w:t>Temporary Global Notes</w:t>
      </w:r>
      <w:r>
        <w:rPr>
          <w:rFonts w:ascii="Times New Roman;serif" w:hAnsi="Times New Roman;serif"/>
          <w:b w:val="false"/>
          <w:sz w:val="22"/>
        </w:rPr>
        <w:t>. Notes offered and sold in reliance on Regulation S shall be issued initially in the form of the Regulation S Temporary Global Note, which shall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(d) </w:t>
      </w:r>
      <w:r>
        <w:rPr>
          <w:rFonts w:ascii="Times New Roman;serif" w:hAnsi="Times New Roman;serif"/>
          <w:b w:val="false"/>
          <w:sz w:val="22"/>
          <w:u w:val="single"/>
        </w:rPr>
        <w:t>Terms</w:t>
      </w:r>
      <w:r>
        <w:rPr>
          <w:rFonts w:ascii="Times New Roman;serif" w:hAnsi="Times New Roman;serif"/>
          <w:b w:val="false"/>
          <w:sz w:val="22"/>
        </w:rPr>
        <w:t>. The aggregate principal amount of Notes that may be authenticated and delivered under this Indenture is unlimited.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Notes shall be subject to repurchase by the Issuers pursuant to an Asset Sale Offer as provided in Section 4.10 hereof or a Change of Control Offer as provided in Section 4.14 hereof. The Notes shall not be redeemable, other than as provided in Article 3.</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Additional Notes ranking </w:t>
      </w:r>
      <w:r>
        <w:rPr>
          <w:rFonts w:ascii="Times New Roman;serif" w:hAnsi="Times New Roman;serif"/>
          <w:b w:val="false"/>
          <w:i/>
          <w:sz w:val="22"/>
        </w:rPr>
        <w:t>pari</w:t>
      </w:r>
      <w:r>
        <w:rPr>
          <w:rFonts w:ascii="Times New Roman" w:hAnsi="Times New Roman"/>
          <w:sz w:val="20"/>
          <w:u w:val="single"/>
        </w:rPr>
        <w:t xml:space="preserve"> </w:t>
      </w:r>
      <w:r>
        <w:rPr>
          <w:rFonts w:ascii="Times New Roman;serif" w:hAnsi="Times New Roman;serif"/>
          <w:b w:val="false"/>
          <w:i/>
          <w:sz w:val="22"/>
        </w:rPr>
        <w:t>passu</w:t>
      </w:r>
      <w:r>
        <w:rPr>
          <w:rFonts w:ascii="Times New Roman" w:hAnsi="Times New Roman"/>
          <w:sz w:val="20"/>
        </w:rPr>
        <w:t xml:space="preserve"> </w:t>
      </w:r>
      <w:r>
        <w:rPr>
          <w:rFonts w:ascii="Times New Roman;serif" w:hAnsi="Times New Roman;serif"/>
          <w:b w:val="false"/>
          <w:sz w:val="22"/>
        </w:rPr>
        <w:t xml:space="preserve">with the Initial Notes may be created and issued from time to time by the Issuers without notice to or consent of the Holders and shall be consolidated with and form a single class with the Initial Notes and shall have the same terms as to status, redemption or otherwise as the Initial Notes; </w:t>
      </w:r>
      <w:r>
        <w:rPr>
          <w:rFonts w:ascii="Times New Roman;serif" w:hAnsi="Times New Roman;serif"/>
          <w:b w:val="false"/>
          <w:i/>
          <w:sz w:val="22"/>
        </w:rPr>
        <w:t>provided</w:t>
      </w:r>
      <w:r>
        <w:rPr>
          <w:rFonts w:ascii="Times New Roman;serif" w:hAnsi="Times New Roman;serif"/>
          <w:b w:val="false"/>
          <w:sz w:val="22"/>
        </w:rPr>
        <w:t>, that the Issuers’ ability to issue Additional Notes shall be subject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the Issuers’ compliance with Section 4.09 hereof. Any Additional Notes shall be issued with the benefit of an indenture supplemental to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w:t>
      </w:r>
      <w:r>
        <w:rPr>
          <w:rFonts w:ascii="Times New Roman;serif" w:hAnsi="Times New Roman;serif"/>
          <w:b w:val="false"/>
          <w:sz w:val="22"/>
          <w:u w:val="single"/>
        </w:rPr>
        <w:t>Euroclear and Clearstream Procedures Applicable</w:t>
      </w:r>
      <w:r>
        <w:rPr>
          <w:rFonts w:ascii="Times New Roman;serif" w:hAnsi="Times New Roman;serif"/>
          <w:b w:val="false"/>
          <w:sz w:val="22"/>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Notes that are held by Participants through Euroclear or Clearstream.</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2.02 Execution and Authentication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One Officer of each Issuer shall execute the Notes on behalf of the Issuers by manual or facsimile signature.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 Officer whose signature is on a Note no longer holds that office at the time a Note is authenticated, the Note shall nevertheless be valid.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Note shall not be entitled to any benefit under this Indenture or be valid or obligatory for any purpose until authenticated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attached hereto by the manual signature of the Trustee. The signature shall be conclusive evidence that the Note has been duly authenticated and delivered under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On the Issue Date, the Trustee shall, upon receipt of an Issuer Order (an “</w:t>
      </w:r>
      <w:r>
        <w:rPr>
          <w:rFonts w:ascii="Times New Roman;serif" w:hAnsi="Times New Roman;serif"/>
          <w:b w:val="false"/>
          <w:sz w:val="22"/>
          <w:u w:val="single"/>
        </w:rPr>
        <w:t>Authentication Order</w:t>
      </w:r>
      <w:r>
        <w:rPr>
          <w:rFonts w:ascii="Times New Roman" w:hAnsi="Times New Roman"/>
          <w:sz w:val="20"/>
        </w:rPr>
        <w:t>”</w:t>
      </w:r>
      <w:r>
        <w:rPr>
          <w:rFonts w:ascii="Times New Roman;serif" w:hAnsi="Times New Roman;serif"/>
          <w:b w:val="false"/>
          <w:sz w:val="22"/>
        </w:rPr>
        <w:t>), authenticate and deliver the Initial Notes.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2.03 Registrar and Paying Agent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The Issuers shall maintain an office or agency where Notes may be presented for registration of transfer or for exchange (“</w:t>
      </w:r>
      <w:r>
        <w:rPr>
          <w:rFonts w:ascii="Times New Roman;serif" w:hAnsi="Times New Roman;serif"/>
          <w:b w:val="false"/>
          <w:sz w:val="22"/>
          <w:u w:val="single"/>
        </w:rPr>
        <w:t>Registrar</w:t>
      </w:r>
      <w:r>
        <w:rPr>
          <w:rFonts w:ascii="Times New Roman" w:hAnsi="Times New Roman"/>
          <w:sz w:val="20"/>
        </w:rPr>
        <w:t>”</w:t>
      </w:r>
      <w:r>
        <w:rPr>
          <w:rFonts w:ascii="Times New Roman;serif" w:hAnsi="Times New Roman;serif"/>
          <w:b w:val="false"/>
          <w:sz w:val="22"/>
        </w:rPr>
        <w:t>) and an office or agency where Notes may be presented for payment (“</w:t>
      </w:r>
      <w:r>
        <w:rPr>
          <w:rFonts w:ascii="Times New Roman;serif" w:hAnsi="Times New Roman;serif"/>
          <w:b w:val="false"/>
          <w:sz w:val="22"/>
          <w:u w:val="single"/>
        </w:rPr>
        <w:t>Paying Agent</w:t>
      </w:r>
      <w:r>
        <w:rPr>
          <w:rFonts w:ascii="Times New Roman" w:hAnsi="Times New Roman"/>
          <w:sz w:val="20"/>
        </w:rPr>
        <w:t>”</w:t>
      </w:r>
      <w:r>
        <w:rPr>
          <w:rFonts w:ascii="Times New Roman;serif" w:hAnsi="Times New Roman;serif"/>
          <w:b w:val="false"/>
          <w:sz w:val="22"/>
        </w:rPr>
        <w:t>). The Registrar shall keep a register of the Notes (“</w:t>
      </w:r>
      <w:r>
        <w:rPr>
          <w:rFonts w:ascii="Times New Roman;serif" w:hAnsi="Times New Roman;serif"/>
          <w:b w:val="false"/>
          <w:sz w:val="22"/>
          <w:u w:val="single"/>
        </w:rPr>
        <w:t>Note Register</w:t>
      </w:r>
      <w:r>
        <w:rPr>
          <w:rFonts w:ascii="Times New Roman" w:hAnsi="Times New Roman"/>
          <w:sz w:val="20"/>
        </w:rPr>
        <w:t>”</w:t>
      </w:r>
      <w:r>
        <w:rPr>
          <w:rFonts w:ascii="Times New Roman;serif" w:hAnsi="Times New Roman;serif"/>
          <w:b w:val="false"/>
          <w:sz w:val="22"/>
        </w:rPr>
        <w:t>)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prior notice to any Holder. The Issuers shall notify the Trustee in writing of the name and address of any Agent not a party to this Indenture. If the Issuers fail to appoint or maintain another entity as Registrar or Paying Agent, the Trustee shall act as such. The Issuers or any of their Subsidiaries may act as Paying Agent or Registrar.</w:t>
      </w:r>
    </w:p>
    <w:p>
      <w:pPr>
        <w:pStyle w:val="TextBody"/>
        <w:bidi w:val="0"/>
        <w:spacing w:before="0" w:after="240"/>
        <w:jc w:val="left"/>
        <w:rPr>
          <w:rFonts w:ascii="Times New Roman" w:hAnsi="Times New Roman"/>
          <w:sz w:val="20"/>
        </w:rPr>
      </w:pPr>
      <w:r>
        <w:rPr>
          <w:rFonts w:ascii="Times New Roman;serif" w:hAnsi="Times New Roman;serif"/>
          <w:b w:val="false"/>
          <w:sz w:val="22"/>
        </w:rPr>
        <w:t>The Issuers initially appoint The Depository Trust Company (“</w:t>
      </w:r>
      <w:r>
        <w:rPr>
          <w:rFonts w:ascii="Times New Roman;serif" w:hAnsi="Times New Roman;serif"/>
          <w:b w:val="false"/>
          <w:sz w:val="22"/>
          <w:u w:val="single"/>
        </w:rPr>
        <w:t>DTC</w:t>
      </w:r>
      <w:r>
        <w:rPr>
          <w:rFonts w:ascii="Times New Roman" w:hAnsi="Times New Roman"/>
          <w:sz w:val="20"/>
        </w:rPr>
        <w:t>”</w:t>
      </w:r>
      <w:r>
        <w:rPr>
          <w:rFonts w:ascii="Times New Roman;serif" w:hAnsi="Times New Roman;serif"/>
          <w:b w:val="false"/>
          <w:sz w:val="22"/>
        </w:rPr>
        <w:t>) to act as Depositary with respect to the Global Notes.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initially appoint the Trustee to act as the Paying Agent and Registrar for the Notes and to act as Custodian with respect to the Global Notes.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2.04 Paying Agent to Hold Money in Trust</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shall have no further liability for the money. If the Issuers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2.05 Holder Lists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preserve in as current a form as is reasonably practicable the most recent list available to it of the names and addresses of all Holders and shall otherwise comply with Trust Indenture Act Section 312(a). If the Trustee is not the Registrar, the Issuers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 and the Issuers shall otherwise comply with Trust Indenture Act Section 312(a).</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2.06 Transfer and Exchange</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w:t>
      </w:r>
      <w:r>
        <w:rPr>
          <w:rFonts w:ascii="Times New Roman;serif" w:hAnsi="Times New Roman;serif"/>
          <w:b w:val="false"/>
          <w:sz w:val="22"/>
          <w:u w:val="single"/>
        </w:rPr>
        <w:t>Transfer and Exchange of Global Notes</w:t>
      </w:r>
      <w:r>
        <w:rPr>
          <w:rFonts w:ascii="Times New Roman;serif" w:hAnsi="Times New Roman;serif"/>
          <w:b w:val="false"/>
          <w:sz w:val="22"/>
        </w:rPr>
        <w:t xml:space="preserve">. Except as otherwise set forth in this Section 2.06,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Issuers that it is unwilling or unable to continue as Depositary for such Global Note or (y) has ceased to be a clearing agency registered under the Exchange Act and, in either case, a successor Depositary is not appointed by the Issuers within 120 days or (ii) there shall have occurred and be continuing a Default with respect to the Notes. Upon the occurrence of any of the preceding events in (i) or (ii)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except for Definitive Notes issued subsequent to any of the preceding events in (i) or (ii) above and pursuant to Section 2.06(b)(ii)(B) and 2.06(c) hereof. A Global Note may not be exchanged for another Note other than as provided in this Section 2.06(a);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beneficial interests in a Global Note may be transferred and exchanged as provided in Section 2.06(b) or (c)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Transfer and Exchange of Beneficial Interests in the Global Notes</w:t>
      </w:r>
      <w:r>
        <w:rPr>
          <w:rFonts w:ascii="Times New Roman;serif" w:hAnsi="Times New Roman;serif"/>
          <w:b w:val="false"/>
          <w:sz w:val="22"/>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the extent required by the Securities Act. Transfers of beneficial interests in the Global Notes also shall require compliance with either subparagraph (i) or (ii) below, as applicable, as well as one or more of the other following subparagraphs, as applicable: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Transfer of Beneficial Interests in the Same Global Note</w:t>
      </w:r>
      <w:r>
        <w:rPr>
          <w:rFonts w:ascii="Times New Roman;serif" w:hAnsi="Times New Roman;serif"/>
          <w:b w:val="false"/>
          <w:sz w:val="22"/>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prior to the expiration of the Restricted Period, transfers of beneficial interests in the Regulation S Temporary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 </w:t>
      </w:r>
      <w:r>
        <w:rPr>
          <w:rFonts w:ascii="Times New Roman;serif" w:hAnsi="Times New Roman;serif"/>
          <w:b w:val="false"/>
          <w:sz w:val="22"/>
          <w:u w:val="single"/>
        </w:rPr>
        <w:t>All Other Transfers and Exchanges of Beneficial Interests in Global Notes</w:t>
      </w:r>
      <w:r>
        <w:rPr>
          <w:rFonts w:ascii="Times New Roman;serif" w:hAnsi="Times New Roman;serif"/>
          <w:b w:val="false"/>
          <w:sz w:val="22"/>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serif" w:hAnsi="Times New Roman;serif"/>
          <w:b w:val="false"/>
          <w:i/>
          <w:sz w:val="22"/>
        </w:rPr>
        <w:t>provided</w:t>
      </w:r>
      <w:r>
        <w:rPr>
          <w:rFonts w:ascii="Times New Roman;serif" w:hAnsi="Times New Roman;serif"/>
          <w:b w:val="false"/>
          <w:sz w:val="22"/>
        </w:rPr>
        <w:t>, that in no event shall Definitive Notes be issued upon the transfer or exchange of beneficial interests in the Regulation S Temporary Global Note prior to (A) the expiration of the Restricted Period and (B) the receipt by the Registrar of the certificates in the form of Exhibit B.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(iii) </w:t>
      </w:r>
      <w:r>
        <w:rPr>
          <w:rFonts w:ascii="Times New Roman;serif" w:hAnsi="Times New Roman;serif"/>
          <w:b w:val="false"/>
          <w:sz w:val="22"/>
          <w:u w:val="single"/>
        </w:rPr>
        <w:t>Transfer of Beneficial Interests to Another Restricted Global Note</w:t>
      </w:r>
      <w:r>
        <w:rPr>
          <w:rFonts w:ascii="Times New Roman;serif" w:hAnsi="Times New Roman;serif"/>
          <w:b w:val="false"/>
          <w:sz w:val="22"/>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transferee will take delivery in the form of a beneficial interest in the 144A Global Note, then the transferor must deliver a certificate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(1)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the transferee will take delivery in the form of a beneficial interest in the Regulation S Global Note, then the transferor must deliver a certificate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(2)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(iv) </w:t>
      </w:r>
      <w:r>
        <w:rPr>
          <w:rFonts w:ascii="Times New Roman;serif" w:hAnsi="Times New Roman;serif"/>
          <w:b w:val="false"/>
          <w:sz w:val="22"/>
          <w:u w:val="single"/>
        </w:rPr>
        <w:t>Transfer and Exchange of Beneficial Interests in a Restricted Global Note for Beneficial Interests in an Unrestricted Global Note</w:t>
      </w:r>
      <w:r>
        <w:rPr>
          <w:rFonts w:ascii="Times New Roman;serif" w:hAnsi="Times New Roman;serif"/>
          <w:b w:val="false"/>
          <w:sz w:val="22"/>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Registrar receives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holder of such beneficial interest in a Restricted Global Note proposes to exchange such beneficial interest for a beneficial interest in an Unrestricted Global Note, a certificate from such Holder substantially in the form of </w:t>
      </w:r>
      <w:r>
        <w:rPr>
          <w:rFonts w:ascii="Times New Roman;serif" w:hAnsi="Times New Roman;serif"/>
          <w:b w:val="false"/>
          <w:sz w:val="22"/>
          <w:u w:val="single"/>
        </w:rPr>
        <w:t>Exhibit C</w:t>
      </w:r>
      <w:r>
        <w:rPr>
          <w:rFonts w:ascii="Times New Roman" w:hAnsi="Times New Roman"/>
          <w:sz w:val="20"/>
        </w:rPr>
        <w:t xml:space="preserve"> </w:t>
      </w:r>
      <w:r>
        <w:rPr>
          <w:rFonts w:ascii="Times New Roman;serif" w:hAnsi="Times New Roman;serif"/>
          <w:b w:val="false"/>
          <w:sz w:val="22"/>
        </w:rPr>
        <w:t>hereto, including the certifications in item (1)(a)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(4)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and, in each such case set forth in this Section 2.06(b)(iv), if the Registrar or Issuers so requests or if the Applicable Procedures so require,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any such transfer is effected pursuant to this Section 2.06(b)(iv)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2.06(b)(iv).</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Beneficial interests in an Unrestricted Global Note cannot be exchanged for, or transferred to Persons who take delivery thereof in the form of, a beneficial interest in a Restricted Global Note.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w:t>
      </w:r>
      <w:r>
        <w:rPr>
          <w:rFonts w:ascii="Times New Roman;serif" w:hAnsi="Times New Roman;serif"/>
          <w:b w:val="false"/>
          <w:sz w:val="22"/>
          <w:u w:val="single"/>
        </w:rPr>
        <w:t>Transfer or Exchange of Beneficial Interests for Definitive Notes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Beneficial Interests in Restricted Global Notes to Restricted Definitive Notes</w:t>
      </w:r>
      <w:r>
        <w:rPr>
          <w:rFonts w:ascii="Times New Roman;serif" w:hAnsi="Times New Roman;serif"/>
          <w:b w:val="false"/>
          <w:sz w:val="22"/>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clauses (i) or (ii) of Section 2.06(a) hereof and receipt by the Registrar of the following documentation: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holder of such beneficial interest in a Restricted Global Note proposes to exchange such beneficial interest for a Restricted Definitive Note, a certificate from such holder substantially in the form of </w:t>
      </w:r>
      <w:r>
        <w:rPr>
          <w:rFonts w:ascii="Times New Roman;serif" w:hAnsi="Times New Roman;serif"/>
          <w:b w:val="false"/>
          <w:sz w:val="22"/>
          <w:u w:val="single"/>
        </w:rPr>
        <w:t>Exhibit C</w:t>
      </w:r>
      <w:r>
        <w:rPr>
          <w:rFonts w:ascii="Times New Roman" w:hAnsi="Times New Roman"/>
          <w:sz w:val="20"/>
        </w:rPr>
        <w:t xml:space="preserve"> </w:t>
      </w:r>
      <w:r>
        <w:rPr>
          <w:rFonts w:ascii="Times New Roman;serif" w:hAnsi="Times New Roman;serif"/>
          <w:b w:val="false"/>
          <w:sz w:val="22"/>
        </w:rPr>
        <w:t>hereto, including the certifications in item (2)(a)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such beneficial interest is being transferred to a QIB in accordance with Rule 144A,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(1)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if such beneficial interest is being transferred to a Non-U.S. Person in an offshore transaction in accordance with Rule 903 or Rule 904,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(2)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(D) if such beneficial interest is being transferred pursuant to an exemption from the registration requirements of the Securities Act in accordance with Rule 144,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(3)(a)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if such beneficial interest is being transferred to the Issuers, the Guarantors or any of the Restricted Subsidiaries,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(3)(b)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 if such beneficial interest is being transferred pursuant to an effective registration statement under the Securities Act,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(3)(c)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cause the aggregate principal amount of the applicable Global Note to be reduced accordingly pursuant to Section 2.06(h) hereof, and the Issuers shall execute and upon receipt of an Authentication Order,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 </w:t>
      </w:r>
      <w:r>
        <w:rPr>
          <w:rFonts w:ascii="Times New Roman;serif" w:hAnsi="Times New Roman;serif"/>
          <w:b w:val="false"/>
          <w:sz w:val="22"/>
          <w:u w:val="single"/>
        </w:rPr>
        <w:t>Beneficial Interests in Regulation S Temporary Global Note to Definitive Notes</w:t>
      </w:r>
      <w:r>
        <w:rPr>
          <w:rFonts w:ascii="Times New Roman;serif" w:hAnsi="Times New Roman;serif"/>
          <w:b w:val="false"/>
          <w:sz w:val="22"/>
        </w:rPr>
        <w:t>. Notwithstanding Sections 2.06(c)(i)(A)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Exhibit B, except in the case of a transfer pursuant to an exemption from the registration requirements of the Securities Act other than Rule 903 or Rule 904.</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(iii) </w:t>
      </w:r>
      <w:r>
        <w:rPr>
          <w:rFonts w:ascii="Times New Roman;serif" w:hAnsi="Times New Roman;serif"/>
          <w:b w:val="false"/>
          <w:sz w:val="22"/>
          <w:u w:val="single"/>
        </w:rPr>
        <w:t>Beneficial Interests in Restricted Global Notes to Unrestricted Definitive Notes</w:t>
      </w:r>
      <w:r>
        <w:rPr>
          <w:rFonts w:ascii="Times New Roman;serif" w:hAnsi="Times New Roman;serif"/>
          <w:b w:val="false"/>
          <w:sz w:val="22"/>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(i) or (ii) of Section 2.06(a) hereof and if the Registrar receives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holder of such beneficial interest in a Restricted Global Note proposes to exchange such beneficial interest for an Unrestricted Definitive Note, a certificate from such holder substantially in the form of </w:t>
      </w:r>
      <w:r>
        <w:rPr>
          <w:rFonts w:ascii="Times New Roman;serif" w:hAnsi="Times New Roman;serif"/>
          <w:b w:val="false"/>
          <w:sz w:val="22"/>
          <w:u w:val="single"/>
        </w:rPr>
        <w:t>Exhibit C</w:t>
      </w:r>
      <w:r>
        <w:rPr>
          <w:rFonts w:ascii="Times New Roman" w:hAnsi="Times New Roman"/>
          <w:sz w:val="20"/>
        </w:rPr>
        <w:t xml:space="preserve"> </w:t>
      </w:r>
      <w:r>
        <w:rPr>
          <w:rFonts w:ascii="Times New Roman;serif" w:hAnsi="Times New Roman;serif"/>
          <w:b w:val="false"/>
          <w:sz w:val="22"/>
        </w:rPr>
        <w:t>hereto, including the certifications in item (1)(b) thereof; or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(4)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and, in each such case, if the Registrar or Issuers so requests or if the Applicable Procedures so require,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(iv) </w:t>
      </w:r>
      <w:r>
        <w:rPr>
          <w:rFonts w:ascii="Times New Roman;serif" w:hAnsi="Times New Roman;serif"/>
          <w:b w:val="false"/>
          <w:sz w:val="22"/>
          <w:u w:val="single"/>
        </w:rPr>
        <w:t>Beneficial Interests in Unrestricted Global Notes to Unrestricted Definitive Notes</w:t>
      </w:r>
      <w:r>
        <w:rPr>
          <w:rFonts w:ascii="Times New Roman;serif" w:hAnsi="Times New Roman;serif"/>
          <w:b w:val="false"/>
          <w:sz w:val="22"/>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(i) or (ii) of Section 2.06(a) hereof and satisfaction of the conditions set forth in Section 2.06(b)(ii) hereof, the Trustee shall cause the aggregate principal amount of the applicable Global Note to be reduced accordingly pursuant to Section 2.06(h) hereof, and the Issuers shall execute and, upon receipt of an Authentication Order,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(d) </w:t>
      </w:r>
      <w:r>
        <w:rPr>
          <w:rFonts w:ascii="Times New Roman;serif" w:hAnsi="Times New Roman;serif"/>
          <w:b w:val="false"/>
          <w:sz w:val="22"/>
          <w:u w:val="single"/>
        </w:rPr>
        <w:t>Transfer and Exchange of Definitive Notes for Beneficial Interests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Restricted Definitive Notes to Beneficial Interests in Restricted Global Notes</w:t>
      </w:r>
      <w:r>
        <w:rPr>
          <w:rFonts w:ascii="Times New Roman;serif" w:hAnsi="Times New Roman;serif"/>
          <w:b w:val="false"/>
          <w:sz w:val="22"/>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Holder of such Restricted Definitive Note proposes to exchange such Note for a beneficial interest in a Restricted Global Note, a certificate from such Holder substantially in the form of </w:t>
      </w:r>
      <w:r>
        <w:rPr>
          <w:rFonts w:ascii="Times New Roman;serif" w:hAnsi="Times New Roman;serif"/>
          <w:b w:val="false"/>
          <w:sz w:val="22"/>
          <w:u w:val="single"/>
        </w:rPr>
        <w:t>Exhibit C</w:t>
      </w:r>
      <w:r>
        <w:rPr>
          <w:rFonts w:ascii="Times New Roman" w:hAnsi="Times New Roman"/>
          <w:sz w:val="20"/>
        </w:rPr>
        <w:t xml:space="preserve"> </w:t>
      </w:r>
      <w:r>
        <w:rPr>
          <w:rFonts w:ascii="Times New Roman;serif" w:hAnsi="Times New Roman;serif"/>
          <w:b w:val="false"/>
          <w:sz w:val="22"/>
        </w:rPr>
        <w:t>hereto, including the certifications in item (2)(b)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such Restricted Definitive Note is being transferred to a QIB in accordance with Rule 144A,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(1)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if such Restricted Definitive Note is being transferred to a Non-U.S. Person in an offshore transaction in accordance with Rule 903 or Rule 904,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(2)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(D) if such Restricted Definitive Note is being transferred pursuant to an exemption from the registration requirements of the Securities Act in accordance with Rule 144,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(3)(a)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if such Restricted Definitive Note is being transferred to the Issuers, the Guarantors or any of the Restricted Subsidiaries,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(3)(b)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 if such Restricted Definitive Note is being transferred pursuant to an effective registration statement under the Securities Act,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(3)(c)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 </w:t>
      </w:r>
      <w:r>
        <w:rPr>
          <w:rFonts w:ascii="Times New Roman;serif" w:hAnsi="Times New Roman;serif"/>
          <w:b w:val="false"/>
          <w:sz w:val="22"/>
          <w:u w:val="single"/>
        </w:rPr>
        <w:t>Restricted Definitive Notes to Beneficial Interests in Unrestricted Global Notes</w:t>
      </w:r>
      <w:r>
        <w:rPr>
          <w:rFonts w:ascii="Times New Roman;serif" w:hAnsi="Times New Roman;serif"/>
          <w:b w:val="false"/>
          <w:sz w:val="22"/>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Holder of such Definitive Notes proposes to exchange such Notes for a beneficial interest in the Unrestricted Global Note, a certificate from such Holder substantially in the form of </w:t>
      </w:r>
      <w:r>
        <w:rPr>
          <w:rFonts w:ascii="Times New Roman;serif" w:hAnsi="Times New Roman;serif"/>
          <w:b w:val="false"/>
          <w:sz w:val="22"/>
          <w:u w:val="single"/>
        </w:rPr>
        <w:t>Exhibit C</w:t>
      </w:r>
      <w:r>
        <w:rPr>
          <w:rFonts w:ascii="Times New Roman" w:hAnsi="Times New Roman"/>
          <w:sz w:val="20"/>
        </w:rPr>
        <w:t xml:space="preserve"> </w:t>
      </w:r>
      <w:r>
        <w:rPr>
          <w:rFonts w:ascii="Times New Roman;serif" w:hAnsi="Times New Roman;serif"/>
          <w:b w:val="false"/>
          <w:sz w:val="22"/>
        </w:rPr>
        <w:t>hereto, including the certifications in item (1)(c)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(4)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and, in each such case set forth in this Section 2.06(d)(ii), if the Registrar or Issuers so requests or if the Applicable Procedures so require,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Upon satisfaction of the applicable conditions in this Section 2.06(d)(ii), the Trustee shall cancel the Definitive Notes and increase or cause to be increased the aggregate principal amount of the Unrestricted Global Note.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(iii) </w:t>
      </w:r>
      <w:r>
        <w:rPr>
          <w:rFonts w:ascii="Times New Roman;serif" w:hAnsi="Times New Roman;serif"/>
          <w:b w:val="false"/>
          <w:sz w:val="22"/>
          <w:u w:val="single"/>
        </w:rPr>
        <w:t>Unrestricted Definitive Notes to Beneficial Interests in Unrestricted Global Notes</w:t>
      </w:r>
      <w:r>
        <w:rPr>
          <w:rFonts w:ascii="Times New Roman;serif" w:hAnsi="Times New Roman;serif"/>
          <w:b w:val="false"/>
          <w:sz w:val="22"/>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any such exchange or transfer from a Definitive Note to a beneficial interest is effected pursuant to clauses (ii) or (iii)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w:t>
      </w:r>
      <w:r>
        <w:rPr>
          <w:rFonts w:ascii="Times New Roman;serif" w:hAnsi="Times New Roman;serif"/>
          <w:b w:val="false"/>
          <w:sz w:val="22"/>
          <w:u w:val="single"/>
        </w:rPr>
        <w:t>Transfer and Exchange of Definitive Notes for Definitive Notes</w:t>
      </w:r>
      <w:r>
        <w:rPr>
          <w:rFonts w:ascii="Times New Roman;serif" w:hAnsi="Times New Roman;serif"/>
          <w:b w:val="false"/>
          <w:sz w:val="22"/>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Restricted Definitive Notes to Restricted Definitive Notes</w:t>
      </w:r>
      <w:r>
        <w:rPr>
          <w:rFonts w:ascii="Times New Roman;serif" w:hAnsi="Times New Roman;serif"/>
          <w:b w:val="false"/>
          <w:sz w:val="22"/>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transfer will be made pursuant to a QIB in accordance with Rule 144A, then the transferor must deliver a certificate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(1) thereof;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the transfer will be made pursuant to Rule 903 or Rule 904 then the transferor must deliver a certificate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(2)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if the transfer will be made pursuant to any other exemption from the registration requirements of the Securities Act, then the transferor must deliver a certificate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required by item (3) thereof, if applicable.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 </w:t>
      </w:r>
      <w:r>
        <w:rPr>
          <w:rFonts w:ascii="Times New Roman;serif" w:hAnsi="Times New Roman;serif"/>
          <w:b w:val="false"/>
          <w:sz w:val="22"/>
          <w:u w:val="single"/>
        </w:rPr>
        <w:t>Restricted Definitive Notes to Unrestricted Definitive Notes</w:t>
      </w:r>
      <w:r>
        <w:rPr>
          <w:rFonts w:ascii="Times New Roman;serif" w:hAnsi="Times New Roman;serif"/>
          <w:b w:val="false"/>
          <w:sz w:val="22"/>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the Holder of such Restricted Definitive Notes proposes to exchange such Notes for an Unrestricted Definitive Note, a certificate from such Holder substantially in the form of </w:t>
      </w:r>
      <w:r>
        <w:rPr>
          <w:rFonts w:ascii="Times New Roman;serif" w:hAnsi="Times New Roman;serif"/>
          <w:b w:val="false"/>
          <w:sz w:val="22"/>
          <w:u w:val="single"/>
        </w:rPr>
        <w:t>Exhibit C</w:t>
      </w:r>
      <w:r>
        <w:rPr>
          <w:rFonts w:ascii="Times New Roman" w:hAnsi="Times New Roman"/>
          <w:sz w:val="20"/>
        </w:rPr>
        <w:t xml:space="preserve"> </w:t>
      </w:r>
      <w:r>
        <w:rPr>
          <w:rFonts w:ascii="Times New Roman;serif" w:hAnsi="Times New Roman;serif"/>
          <w:b w:val="false"/>
          <w:sz w:val="22"/>
        </w:rPr>
        <w:t>hereto, including the certifications in item (1)(d) thereof;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if the Holder of such Restricted Definitive Notes proposes to transfer such Notes to a Person who shall take delivery thereof in the form of an Unrestricted Definitive Note, a certificate from such Holder substantially in the form of </w:t>
      </w:r>
      <w:r>
        <w:rPr>
          <w:rFonts w:ascii="Times New Roman;serif" w:hAnsi="Times New Roman;serif"/>
          <w:b w:val="false"/>
          <w:sz w:val="22"/>
          <w:u w:val="single"/>
        </w:rPr>
        <w:t>Exhibit B</w:t>
      </w:r>
      <w:r>
        <w:rPr>
          <w:rFonts w:ascii="Times New Roman" w:hAnsi="Times New Roman"/>
          <w:sz w:val="20"/>
        </w:rPr>
        <w:t xml:space="preserve"> </w:t>
      </w:r>
      <w:r>
        <w:rPr>
          <w:rFonts w:ascii="Times New Roman;serif" w:hAnsi="Times New Roman;serif"/>
          <w:b w:val="false"/>
          <w:sz w:val="22"/>
        </w:rPr>
        <w:t>hereto, including the certifications in item (4)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and, in each such case set forth in this Section 2.06(e)(ii), if the Registrar or Issuers so requests, an Opinion of Counsel in form reasonably acceptable to the Registrar and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(iii) </w:t>
      </w:r>
      <w:r>
        <w:rPr>
          <w:rFonts w:ascii="Times New Roman;serif" w:hAnsi="Times New Roman;serif"/>
          <w:b w:val="false"/>
          <w:sz w:val="22"/>
          <w:u w:val="single"/>
        </w:rPr>
        <w:t>Unrestricted Definitive Notes to Unrestricted Definitive Notes</w:t>
      </w:r>
      <w:r>
        <w:rPr>
          <w:rFonts w:ascii="Times New Roman;serif" w:hAnsi="Times New Roman;serif"/>
          <w:b w:val="false"/>
          <w:sz w:val="22"/>
        </w:rPr>
        <w:t>. A Holder of Unrestricted Definitive Notes may transfer such Notes to a Person who takes delivery thereof in the form of an Unrestricted Definitive Note. Upon receipt of a request to register such a transfer,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Registrar shall register the Unrestricted Definitive Notes pursuant to the instructions from the Holder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[Reserved].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(g) </w:t>
      </w:r>
      <w:r>
        <w:rPr>
          <w:rFonts w:ascii="Times New Roman;serif" w:hAnsi="Times New Roman;serif"/>
          <w:b w:val="false"/>
          <w:sz w:val="22"/>
          <w:u w:val="single"/>
        </w:rPr>
        <w:t>Legends</w:t>
      </w:r>
      <w:r>
        <w:rPr>
          <w:rFonts w:ascii="Times New Roman;serif" w:hAnsi="Times New Roman;serif"/>
          <w:b w:val="false"/>
          <w:sz w:val="22"/>
        </w:rPr>
        <w:t>. The following legends shall appear on the face of all Global Notes and Definitive Notes issued under this Indenture unless specifically stated otherwise in the applicable provisions of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Private Placement Legend</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Except as permitted by subparagraph (B) below, each Global Note and each Definitive Note (and all Notes issued in exchange therefor or substitution thereof) shall bear the legend in substantially the following form:</w:t>
      </w:r>
    </w:p>
    <w:p>
      <w:pPr>
        <w:pStyle w:val="TextBody"/>
        <w:bidi w:val="0"/>
        <w:spacing w:before="0" w:after="240"/>
        <w:jc w:val="left"/>
        <w:rPr/>
      </w:pPr>
      <w:r>
        <w:rPr/>
        <w:t>“</w:t>
      </w:r>
      <w:r>
        <w:rPr>
          <w:rFonts w:ascii="Times New Roman;serif" w:hAnsi="Times New Roman;serif"/>
          <w:b w:val="false"/>
          <w:sz w:val="22"/>
        </w:rPr>
        <w:t>THIS SECURITY HAS NOT BEEN REGISTERED UNDER THE U.S. SECURITIES ACT OF 1933, AS AMENDED (THE “</w:t>
      </w:r>
      <w:r>
        <w:rPr>
          <w:rFonts w:ascii="Times New Roman;serif" w:hAnsi="Times New Roman;serif"/>
          <w:b w:val="false"/>
          <w:sz w:val="22"/>
          <w:u w:val="single"/>
        </w:rPr>
        <w:t>SECURITIES ACT</w:t>
      </w:r>
      <w:r>
        <w:rPr>
          <w:rFonts w:ascii="Times New Roman" w:hAnsi="Times New Roman"/>
          <w:sz w:val="20"/>
        </w:rPr>
        <w:t>”</w:t>
      </w:r>
      <w:r>
        <w:rPr>
          <w:rFonts w:ascii="Times New Roman;serif" w:hAnsi="Times New Roman;serif"/>
          <w:b w:val="false"/>
          <w:sz w:val="22"/>
        </w:rPr>
        <w:t>)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SECURITY IN AN OFFSHORE TRANSACTION IN COMPLIANCE WITH REGULATION S UNDER THE SECURITIES ACT, (2) AGREES THAT IT WILL NOT RESELL OR OTHERWISE TRANSFER THIS SECURITY EXCEPT (A) TO THE ISSUERS OR ANY SUBSIDIARY THEREOF, (B) INSIDE THE UNITED STATES TO A “QUALIFIED INSTITUTIONAL BUYER” (AS DEFINED IN RULE 144A UNDER THE SECURITIES ACT) IN COMPLIANCE WITH RULE 144A UNDER THE SECURITIES ACT, (C) OUTSIDE THE UNITED STATES IN AN OFFSHORE TRANSACTION IN COMPLIANCE WITH REGULATION S UNDER THE SECURITIES ACT, (D) PURSUANT TO THE EXEMPTION FROM REGISTRATION PROVIDED BY RULE 144 UNDER THE SECURITIES ACT (IF AVAILABLE), (E) IN ACCORDANCE WITH ANOTHER EXEMPTION FROM THE REGISTRATION REQUIREMENTS OF THE SECURITIES ACT (AND BASED UPON AN OPINION OF COUNSEL IF THE ISSUERS OR REGISTRAR SO REQUEST), OR (F) PURSUANT TO AN EFFECTIVE REGISTRATION STATEMENT UNDER THE SECURITIES ACT AND (3) AGREES THAT IT WILL GIVE TO EACH PERSON TO WHOM THIS SECURITY IS TRANSFERRED A NOTICE SUBSTANTIALLY TO THE EFFECT OF THIS LEGEND. AS USED HEREIN, THE TERMS “OFFSHORE TRANSACTION,” “UNITED STATES” AND “U.S. PERSON” HAVE THE MEANING GIVEN TO THEM BY REGULATION S UNDER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Notwithstanding the foregoing, any Global Note or Definitive Note issued pursuant to subparagraph (b)(iv), (c)(iii), (c)(iv), (d)(ii), (d)(iii), (e)(ii), or (e)(iii) of this Section 2.06 (and all Notes issued in exchange therefor or substitution thereof) shall not bear the Private Placement Legend.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 </w:t>
      </w:r>
      <w:r>
        <w:rPr>
          <w:rFonts w:ascii="Times New Roman;serif" w:hAnsi="Times New Roman;serif"/>
          <w:b w:val="false"/>
          <w:sz w:val="22"/>
          <w:u w:val="single"/>
        </w:rPr>
        <w:t>Global Note Legend</w:t>
      </w:r>
      <w:r>
        <w:rPr>
          <w:rFonts w:ascii="Times New Roman;serif" w:hAnsi="Times New Roman;serif"/>
          <w:b w:val="false"/>
          <w:sz w:val="22"/>
        </w:rPr>
        <w:t>. Each Global Note shall bear a legend in substantially the following form:</w:t>
      </w:r>
    </w:p>
    <w:p>
      <w:pPr>
        <w:pStyle w:val="TextBody"/>
        <w:bidi w:val="0"/>
        <w:spacing w:before="0" w:after="240"/>
        <w:jc w:val="left"/>
        <w:rPr/>
      </w:pPr>
      <w:r>
        <w:rPr/>
        <w:t>“</w:t>
      </w:r>
      <w:r>
        <w:rPr>
          <w:rFonts w:ascii="Times New Roman;serif" w:hAnsi="Times New Roman;serif"/>
          <w:b w:val="false"/>
          <w:sz w:val="22"/>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w:t>
      </w:r>
      <w:r>
        <w:rPr>
          <w:rFonts w:ascii="Times New Roman;serif" w:hAnsi="Times New Roman;serif"/>
          <w:b w:val="false"/>
          <w:sz w:val="22"/>
          <w:u w:val="single"/>
        </w:rPr>
        <w:t>DTC</w:t>
      </w:r>
      <w:r>
        <w:rPr>
          <w:rFonts w:ascii="Times New Roman" w:hAnsi="Times New Roman"/>
          <w:sz w:val="20"/>
        </w:rPr>
        <w:t>”</w:t>
      </w:r>
      <w:r>
        <w:rPr>
          <w:rFonts w:ascii="Times New Roman;serif" w:hAnsi="Times New Roman;serif"/>
          <w:b w:val="false"/>
          <w:sz w:val="22"/>
        </w:rPr>
        <w:t>)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(iii) </w:t>
      </w:r>
      <w:r>
        <w:rPr>
          <w:rFonts w:ascii="Times New Roman;serif" w:hAnsi="Times New Roman;serif"/>
          <w:b w:val="false"/>
          <w:sz w:val="22"/>
          <w:u w:val="single"/>
        </w:rPr>
        <w:t>Regulation S Temporary Global Note Legend</w:t>
      </w:r>
      <w:r>
        <w:rPr>
          <w:rFonts w:ascii="Times New Roman;serif" w:hAnsi="Times New Roman;serif"/>
          <w:b w:val="false"/>
          <w:sz w:val="22"/>
        </w:rPr>
        <w:t>. The Regulation S Temporary Global Note shall bear a legend in substantially the following form:</w:t>
      </w:r>
    </w:p>
    <w:p>
      <w:pPr>
        <w:pStyle w:val="TextBody"/>
        <w:bidi w:val="0"/>
        <w:spacing w:before="0" w:after="240"/>
        <w:jc w:val="left"/>
        <w:rPr/>
      </w:pPr>
      <w:r>
        <w:rPr/>
        <w:t>“</w:t>
      </w:r>
      <w:r>
        <w:rPr>
          <w:rFonts w:ascii="Times New Roman;serif" w:hAnsi="Times New Roman;serif"/>
          <w:b w:val="false"/>
          <w:sz w:val="22"/>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RIGHTS ATTACHING TO THIS REGULATION S TEMPORARY GLOBAL NOTE, AND THE CONDITIONS AND PROCEDURES GOVERNING ITS EXCHANGE FOR CERTIFICATED NOTES, ARE AS SPECIFIED IN THE INDENTURE (AS DEFINED HEREIN).”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(h) </w:t>
      </w:r>
      <w:r>
        <w:rPr>
          <w:rFonts w:ascii="Times New Roman;serif" w:hAnsi="Times New Roman;serif"/>
          <w:b w:val="false"/>
          <w:sz w:val="22"/>
          <w:u w:val="single"/>
        </w:rPr>
        <w:t>Cancellation and/or Adjustment of Global Notes</w:t>
      </w:r>
      <w:r>
        <w:rPr>
          <w:rFonts w:ascii="Times New Roman;serif" w:hAnsi="Times New Roman;serif"/>
          <w:b w:val="false"/>
          <w:sz w:val="22"/>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General Provisions Relating to Transfers and Exchanges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To permit registrations of transfers and exchanges, the Issuers shall execute and the Trustee shall authenticate Global Notes and Definitive Notes upon receipt of an Authentication Order in accordance with Section 2.02 hereof or at the Registrar’s request.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No service charge shall be made to a holder of a beneficial interest in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9.05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Neither the Registrar nor the Issuers shall be required to register the transfer of or exchange any Note selected for redemption in whole or in part, except the unredeemed portion of any Note being redeemed in part.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(iv) 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 The Issuers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or tendered (and not withdrawn) for repurchase in connection with a Change of Control Offer, an Asset Sale Offer or other tender offer, in whole or in part, except the unredeemed portion of any Note being redeemed in part or (C) to register the transfer of or to exchange a Note between a Record Date and the next succeeding Interest Payment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(vi) Prior to due presentment for the registration of a transfer of any Note, the Trustee, any Agent and the Issuers may deem and treat the Person in whose name any Note is registered as the absolute owner of such Note for the purpose of receiving payment of principal of (and premium, if any) and interest on such Notes and for all other purposes, and none of the Trustee, any Agent or the Issuers shall be affected by notice to the contrary.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(vii) Upon surrender for registration of transfer of any Note at the office or agency of the Issuers designated pursuant to Section 4.02 hereof, the Issuers shall execute, and the Trustee shall authenticate and deliver, in the name of the designated transferee or transferees, one or more replacement Notes of any authorized denomination or denominations of a like aggregate principal amount.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(viii) 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Issuers shall execute, and the Trustee shall authenticate and deliver, the replacement Global Notes and Definitive Notes which the Holder making the exchange is entitled to in accordance with the provisions of Section 2.02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(ix) All certifications, certificates and Opinions of Counsel required to be submitted to the Registrar pursuant to this Section 2.06 to effect a registration of transfer or exchange may be submitted by facsimile.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(x) The Trustee shall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The Trustee may rely and shall be fully protected in relying upon information furnished by the Depositary with respect to its members, participants, and any beneficial owners.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(xi)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the Depositary’s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None of the Trustee, the Notes Collateral Agent nor any of their agents shall have any responsibility for any actions taken or not taken by the Depositary.</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2.07 Replacement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any mutilated Note is surrendered to the Trustee, the Registrar or the Issuers and the Trustee receives evidence to its satisfaction of the ownership and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to protect the Trustee and its agents and in the judgment of the Issuers to protect the Issuers, the Trustee, any Agent and any authenticating agent from any loss that any of them may suffer if a Note is replaced. The Issuers may charge for its expenses in replacing a Note, including the Trustee’s expenses.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Every replacement Note is a contractual obligation of the Issuers and shall be entitled to all of the benefits of this Indenture equally and proportionately with all other Notes duly issued hereunder.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2.08 Outstanding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the Issuers holds the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 Note is replaced pursuant to Section 2.07 hereof, it ceases to be outstanding unless the Trustee receives proof satisfactory to it that the replaced Note is held by a bona fide purchaser.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principal amount of any Note is considered paid under Section 4.01 hereof, it ceases to be outstanding and interest on it ceases to accrue.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Paying Agent (other than the Issuers,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2.09 Treasury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determining whether the Holders of the required principal amount of Notes have concurred in any direction, waiver or consent, Notes owned by the Issuers, or by any Affiliate of the Issuers,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Issuers or any obligor upon the Notes or any Affiliate of the Issuers or of such other obligor.</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2.10 Temporary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shall be reasonably acceptable to the Trustee. Without unreasonable delay, the Issuers shall prepare and the Trustee shall authenticate definitive Notes in exchange for temporary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Holders and beneficial holders, as the case may be, of temporary Notes shall be entitled to all of the benefits accorded to Holders, or beneficial holders, respectively, of Notes under this Indenture.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2.11 Cancellation</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The Issuers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requirement of the Exchange Act) in accordance with its customary procedures. Certification of the disposal of all cancelled Notes shall be delivered to the Issuers upon its written request. The Issuers may not issue new Notes to replace Notes that it has paid or that have been delivered to the Trustee for cancellation.</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2.12 Defaulted Interest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and at the same time the Issuers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Issuers shall fix or cause to be fixed each such special record date and payment date; </w:t>
      </w:r>
      <w:r>
        <w:rPr>
          <w:rFonts w:ascii="Times New Roman;serif" w:hAnsi="Times New Roman;serif"/>
          <w:b w:val="false"/>
          <w:i/>
          <w:sz w:val="22"/>
        </w:rPr>
        <w:t>provided</w:t>
      </w:r>
      <w:r>
        <w:rPr>
          <w:rFonts w:ascii="Times New Roman;serif" w:hAnsi="Times New Roman;serif"/>
          <w:b w:val="false"/>
          <w:sz w:val="22"/>
        </w:rPr>
        <w:t>, that no such special record date shall be less than 10 days prior to the related payment date for such defaulted interest. The Issuers shall promptly notify the Trustee of such special record date and payment date. At least 15 days before the special record date, the Issuers (or, upon the written request of the Issuers, the Trustee in the name and at the expense of the Issuers) shall send or cause to be sent to each Holder a notice at his or her address as it appears in the Note Register that states the special record date, the related payment date and the amount of such interest to be paid.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2.13 CUSIP and ISIN Numbers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Issuers in issuing the Notes may use CUSIP and/or ISIN numbers (if then generally in use) and, if so, the Trustee shall use CUSIP and/or ISIN numbers in notices of redemption as a convenience to Holders; </w:t>
      </w:r>
      <w:r>
        <w:rPr>
          <w:rFonts w:ascii="Times New Roman;serif" w:hAnsi="Times New Roman;serif"/>
          <w:b w:val="false"/>
          <w:i/>
          <w:sz w:val="22"/>
        </w:rPr>
        <w:t>provided</w:t>
      </w:r>
      <w:r>
        <w:rPr>
          <w:rFonts w:ascii="Times New Roman;serif" w:hAnsi="Times New Roman;serif"/>
          <w:b w:val="false"/>
          <w:sz w:val="22"/>
        </w:rPr>
        <w:t>,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Issuers shall as promptly as practicable notify the Trustee of any change in the CUSIP and/or ISIN numbers.</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3</w:t>
        <w:br/>
        <w:br/>
        <w:t>REDEMPTION</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3.01 Notices to Trustee</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If the Issuers elect to redeem Notes pursuant to Section 3.07 hereof, they shall furnish to the Trustee, at least 5 Business Days before notice of redemption is required to be sent or caused to be sent to Holders pursuant to Section 3.03 hereof but not more than 60 days before a redemption date (except that redemption notices may be delivered more than 60 days prior to a redemption date if the notice is issued in connection with a defeasance of the Notes or a satisfaction and discharge of this Indenture), an Officer’s Certificate setting forth (i) the paragraph or subparagraph of such Note and/or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of this Indenture pursuant to which the redemption shall occur, (ii) the redemption date, (iii) the principal amount of the Notes to be redeemed and (iv) the redemption price.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3.02 Selection of Notes to Be Redeemed</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If less than all of the Notes are to be redeemed at any time, such Notes shall be selected for redemption by the Trustee (1) if the Notes are listed on an exchange and such listing is known to the Trustee, in compliance with the requirements of such exchange or in the case of Global Notes, in accordance with customary procedures of the Depositary or (2) on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 xml:space="preserve">basis to the extent practicable, or, if the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 xml:space="preserve">basis is not practicable for any reason, by lot or by such other method as most nearly approximates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basis subject to customary procedures of the Depositary. Such Notes to be redeemed shall be selected, unless otherwise provided herein, not less than 10 nor more than 60 days prior to the redemption date from the outstanding Notes not previously called for redemption.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promptly notify the Issuers in writing of the Notes selected for redemption and, in the case of any Note selected for partial redemption, the principal amount thereof to be redeemed. Notes and portions of Notes selected shall be in minimum amounts of $200,000 or whole multiples of $1,000 in excess thereof; no Notes of $200,000 or less can be redeemed in part,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not be responsible for any actions taken or not taken by DTC pursuant to its Applicable Procedures.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3.03 Notice of Redemption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Section 3.09 hereof, the Issuers shall deliver notices of redemption electronically or by first-class mail, postage prepaid, at least 10 but not more than 60 days before the purchase or redemption date to each Holder of Notes (with a copy to the Trustee) at such Holder’s registered address or otherwise in accordance with the procedures of DTC, except that redemption notices may be delivered electronically or mailed more than 60 days prior to a redemption date if the notice is issued in connection with Article 8 or Article 11 hereof. Notices of redemption may be conditional.</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notice shall identify the Notes to be redeemed and shall state: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redemption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redemption price;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shall be issued in the name of the Holder of the Notes upon cancellation of the original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the name and address of the Paying Agent;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that Notes called for redemption must be surrendered to the Paying Agent to collect the redemption price;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that, unless the Issuers default in making such redemption payment, interest on Notes called for redemption ceases to accrue on and after the redemption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the paragraph or subparagraph of the Notes and/or Section of this Indenture pursuant to which the Notes called for redemption are being redeemed;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that no representation is made as to the correctness or accuracy of the CUSIP number, if any, listed in such notice or printed on the Notes;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any condition to such redemption.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and for so long as any Notes are listed on the Official List of TISE and if and to the extent the rules of TISE so require, the Issuers will notify TISE of any such notice to the Holders and, in connection with any redemption, the Issuers will notify TISE of any change in the principal amount of Notes outstanding.</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At the Issuers’ request, the Trustee shall give the notice of redemption in the Issuers’ names and at their expense; provided that the Issuers shall have delivered written notice to the Trustee, at least 5 Business Days prior to the date on which notice of redemption is to be sent (unless a shorter notice shall be agreed to by the Trustee) in the form of an Officer’s Certificate requesting that the Trustee give such notice and setting forth the information to be stated in such notice as provided in the preceding paragraph.</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3.04 Effect of Notice of Redemption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Once notice of redemption is sent in accordance with Section 3.03 hereof, Notes called for redemption become irrevocably due and payable on the redemption date at the redemption price, unless such redemption is conditioned on the happening of a future event.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3.05 Deposit of Redemption or Purchase Price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Prior to noon (Eastern time) on the redemption or purchase date, the Issuers shall deposit with the Trustee or with the Paying Agent money sufficient to pay the redemption or purchase price of and accrued and unpaid interest on all Notes to be redeemed or purchased on that date. The Trustee or the Paying Agent shall promptly return to the Issuers any money deposited with the Trustee or the Paying Agent by the Issuers in excess of the amounts necessary to pay the redemption price of, and accrued and unpaid interest on, all Notes to be redeemed or purchased.</w:t>
      </w:r>
    </w:p>
    <w:p>
      <w:pPr>
        <w:pStyle w:val="TextBody"/>
        <w:bidi w:val="0"/>
        <w:spacing w:before="0" w:after="240"/>
        <w:jc w:val="left"/>
        <w:rPr>
          <w:rFonts w:ascii="Times New Roman" w:hAnsi="Times New Roman"/>
          <w:sz w:val="20"/>
        </w:rPr>
      </w:pPr>
      <w:r>
        <w:rPr>
          <w:rFonts w:ascii="Times New Roman;serif" w:hAnsi="Times New Roman;serif"/>
          <w:b w:val="false"/>
          <w:sz w:val="22"/>
        </w:rPr>
        <w:t>If the Issuers comply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shall be paid to the Person in whose name such Note was registered at the close of business on such Record Date. If any Note called for redemption or purchase shall not be so paid upon surrender for redemption or purchase because of the failure of the Issuers to comply with the preceding paragraph, interest shall be paid on the unpaid principal, from the redemption or purchase date until such principal is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paid, and to the extent lawful on any interest accrued to the redemption or purchase date not paid on such unpaid principal, in each case at the rate provided in the Notes and in Section 4.01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3.06 Notes Redeemed or Purchased in Part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Upon surrender of a Definitive Note that is redeemed or purchased in part, the Issuers shall issue and the Trustee shall authenticate for the Holder at the expense of the Issuers a new Note equal in principal amount to the unredeemed or unpurchased portion of the Note surrendered representing the same indebtedness to the extent not redeemed or purchased; </w:t>
      </w:r>
      <w:r>
        <w:rPr>
          <w:rFonts w:ascii="Times New Roman;serif" w:hAnsi="Times New Roman;serif"/>
          <w:b w:val="false"/>
          <w:i/>
          <w:sz w:val="22"/>
        </w:rPr>
        <w:t>provided</w:t>
      </w:r>
      <w:r>
        <w:rPr>
          <w:rFonts w:ascii="Times New Roman;serif" w:hAnsi="Times New Roman;serif"/>
          <w:b w:val="false"/>
          <w:sz w:val="22"/>
        </w:rPr>
        <w:t>, that each new Note shall be in a principal amount of $200,000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3.07 Optional Redemption</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At any time prior to October 1, 2022, the Issuers may on one or more occasions redeem all or a part of the Notes, upon notice as described under Section 3.03 hereof, at a redemption price equal to 100.0% of the principal amount of the Notes to be redeemed plus the Applicable Premium as of, and accrued and unpaid interest, if any, thereon, to, but not including, the date of redemption (the “</w:t>
      </w:r>
      <w:r>
        <w:rPr>
          <w:rFonts w:ascii="Times New Roman;serif" w:hAnsi="Times New Roman;serif"/>
          <w:b w:val="false"/>
          <w:sz w:val="22"/>
          <w:u w:val="single"/>
        </w:rPr>
        <w:t>Redemption Date</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On and after October 1, 2022, the Issuers may on one or more occasions redeem all or a part of the Notes upon notice as described under Section 3.03 hereof, at the redemption prices (expressed as percentages of principal amount of the Notes to be redeemed) set forth in this Section 3.07(b), plus accrued and unpaid interest, if any, thereon to, but not including, the applicable Redemption Date, if redeemed during the twelve-month period </w:t>
      </w:r>
      <w:r>
        <w:rPr>
          <w:rFonts w:ascii="Times New Roman;serif" w:hAnsi="Times New Roman;serif"/>
          <w:b w:val="false"/>
          <w:sz w:val="24"/>
        </w:rPr>
        <w:t xml:space="preserve">beginning </w:t>
      </w:r>
      <w:r>
        <w:rPr>
          <w:rFonts w:ascii="Times New Roman;serif" w:hAnsi="Times New Roman;serif"/>
          <w:b w:val="false"/>
          <w:sz w:val="22"/>
        </w:rPr>
        <w:t>on October 1 of each of the years indicated below:</w:t>
      </w:r>
      <w:r>
        <w:rPr>
          <w:rFonts w:ascii="Times New Roman" w:hAnsi="Times New Roman"/>
          <w:sz w:val="20"/>
        </w:rPr>
        <w:t xml:space="preserve"> </w:t>
      </w:r>
    </w:p>
    <w:tbl>
      <w:tblPr>
        <w:tblW w:w="3497" w:type="dxa"/>
        <w:jc w:val="left"/>
        <w:tblInd w:w="0" w:type="dxa"/>
        <w:tblLayout w:type="fixed"/>
        <w:tblCellMar>
          <w:top w:w="28" w:type="dxa"/>
          <w:left w:w="28" w:type="dxa"/>
          <w:bottom w:w="28" w:type="dxa"/>
          <w:right w:w="28" w:type="dxa"/>
        </w:tblCellMar>
      </w:tblPr>
      <w:tblGrid>
        <w:gridCol w:w="1951"/>
        <w:gridCol w:w="1546"/>
      </w:tblGrid>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Year</w:t>
            </w:r>
          </w:p>
        </w:tc>
        <w:tc>
          <w:tcPr>
            <w:tcW w:w="1546" w:type="dxa"/>
            <w:tcBorders/>
            <w:tcMar>
              <w:top w:w="0" w:type="dxa"/>
              <w:left w:w="0" w:type="dxa"/>
              <w:bottom w:w="0" w:type="dxa"/>
              <w:right w:w="0" w:type="dxa"/>
            </w:tcMar>
            <w:vAlign w:val="center"/>
          </w:tcPr>
          <w:p>
            <w:pPr>
              <w:pStyle w:val="TableContents"/>
              <w:bidi w:val="0"/>
              <w:spacing w:before="0" w:after="0"/>
              <w:ind w:left="0" w:right="0" w:firstLine="240"/>
              <w:jc w:val="center"/>
              <w:rPr>
                <w:rFonts w:ascii="Times New Roman" w:hAnsi="Times New Roman"/>
                <w:sz w:val="22"/>
              </w:rPr>
            </w:pPr>
            <w:r>
              <w:rPr>
                <w:rFonts w:ascii="Times New Roman;serif" w:hAnsi="Times New Roman;serif"/>
                <w:b/>
                <w:sz w:val="22"/>
              </w:rPr>
              <w:t>Percentage</w:t>
            </w:r>
            <w:r>
              <w:rPr>
                <w:rFonts w:ascii="Times New Roman" w:hAnsi="Times New Roman"/>
                <w:sz w:val="22"/>
              </w:rPr>
              <w:t xml:space="preserve"> </w:t>
            </w:r>
          </w:p>
        </w:tc>
      </w:tr>
      <w:tr>
        <w:trPr/>
        <w:tc>
          <w:tcPr>
            <w:tcW w:w="1951" w:type="dxa"/>
            <w:tcBorders/>
            <w:vAlign w:val="center"/>
          </w:tcPr>
          <w:p>
            <w:pPr>
              <w:pStyle w:val="TableContents"/>
              <w:pBdr/>
              <w:bidi w:val="0"/>
              <w:spacing w:before="0" w:after="0"/>
              <w:ind w:left="0" w:right="0" w:hanging="240"/>
              <w:jc w:val="left"/>
              <w:rPr>
                <w:rFonts w:ascii="Times New Roman;serif" w:hAnsi="Times New Roman;serif"/>
                <w:b w:val="false"/>
                <w:sz w:val="22"/>
              </w:rPr>
            </w:pPr>
            <w:r>
              <w:rPr>
                <w:rFonts w:ascii="Times New Roman;serif" w:hAnsi="Times New Roman;serif"/>
                <w:b w:val="false"/>
                <w:sz w:val="22"/>
              </w:rPr>
              <w:t>2022</w:t>
            </w:r>
          </w:p>
        </w:tc>
        <w:tc>
          <w:tcPr>
            <w:tcW w:w="1546" w:type="dxa"/>
            <w:tcBorders/>
            <w:tcMar>
              <w:top w:w="0" w:type="dxa"/>
              <w:left w:w="0" w:type="dxa"/>
              <w:bottom w:w="0" w:type="dxa"/>
              <w:right w:w="0" w:type="dxa"/>
            </w:tcMar>
            <w:vAlign w:val="center"/>
          </w:tcPr>
          <w:p>
            <w:pPr>
              <w:pStyle w:val="TableContents"/>
              <w:bidi w:val="0"/>
              <w:spacing w:before="0" w:after="15"/>
              <w:ind w:left="0" w:right="0" w:firstLine="240"/>
              <w:jc w:val="right"/>
              <w:rPr>
                <w:rFonts w:ascii="Times New Roman;serif" w:hAnsi="Times New Roman;serif"/>
                <w:b w:val="false"/>
                <w:sz w:val="22"/>
              </w:rPr>
            </w:pPr>
            <w:r>
              <w:rPr>
                <w:rFonts w:ascii="Times New Roman;serif" w:hAnsi="Times New Roman;serif"/>
                <w:b w:val="false"/>
                <w:sz w:val="22"/>
              </w:rPr>
              <w:t>103.375%</w:t>
            </w:r>
          </w:p>
        </w:tc>
      </w:tr>
      <w:tr>
        <w:trPr/>
        <w:tc>
          <w:tcPr>
            <w:tcW w:w="1951" w:type="dxa"/>
            <w:tcBorders/>
            <w:vAlign w:val="center"/>
          </w:tcPr>
          <w:p>
            <w:pPr>
              <w:pStyle w:val="TableContents"/>
              <w:pBdr/>
              <w:bidi w:val="0"/>
              <w:spacing w:before="0" w:after="0"/>
              <w:ind w:left="0" w:right="0" w:hanging="240"/>
              <w:jc w:val="left"/>
              <w:rPr>
                <w:rFonts w:ascii="Times New Roman;serif" w:hAnsi="Times New Roman;serif"/>
                <w:b w:val="false"/>
                <w:sz w:val="22"/>
              </w:rPr>
            </w:pPr>
            <w:r>
              <w:rPr>
                <w:rFonts w:ascii="Times New Roman;serif" w:hAnsi="Times New Roman;serif"/>
                <w:b w:val="false"/>
                <w:sz w:val="22"/>
              </w:rPr>
              <w:t>2023</w:t>
            </w:r>
          </w:p>
        </w:tc>
        <w:tc>
          <w:tcPr>
            <w:tcW w:w="1546" w:type="dxa"/>
            <w:tcBorders/>
            <w:tcMar>
              <w:top w:w="0" w:type="dxa"/>
              <w:left w:w="0" w:type="dxa"/>
              <w:bottom w:w="0" w:type="dxa"/>
              <w:right w:w="0" w:type="dxa"/>
            </w:tcMar>
            <w:vAlign w:val="center"/>
          </w:tcPr>
          <w:p>
            <w:pPr>
              <w:pStyle w:val="TableContents"/>
              <w:bidi w:val="0"/>
              <w:spacing w:before="0" w:after="15"/>
              <w:ind w:left="0" w:right="0" w:firstLine="240"/>
              <w:jc w:val="right"/>
              <w:rPr>
                <w:rFonts w:ascii="Times New Roman;serif" w:hAnsi="Times New Roman;serif"/>
                <w:b w:val="false"/>
                <w:sz w:val="22"/>
              </w:rPr>
            </w:pPr>
            <w:r>
              <w:rPr>
                <w:rFonts w:ascii="Times New Roman;serif" w:hAnsi="Times New Roman;serif"/>
                <w:b w:val="false"/>
                <w:sz w:val="22"/>
              </w:rPr>
              <w:t>101.688%</w:t>
            </w:r>
          </w:p>
        </w:tc>
      </w:tr>
      <w:tr>
        <w:trPr/>
        <w:tc>
          <w:tcPr>
            <w:tcW w:w="1951" w:type="dxa"/>
            <w:tcBorders/>
            <w:vAlign w:val="center"/>
          </w:tcPr>
          <w:p>
            <w:pPr>
              <w:pStyle w:val="TableContents"/>
              <w:pBdr/>
              <w:bidi w:val="0"/>
              <w:spacing w:before="0" w:after="0"/>
              <w:ind w:left="0" w:right="0" w:hanging="240"/>
              <w:jc w:val="left"/>
              <w:rPr>
                <w:rFonts w:ascii="Times New Roman;serif" w:hAnsi="Times New Roman;serif"/>
                <w:b w:val="false"/>
                <w:sz w:val="22"/>
              </w:rPr>
            </w:pPr>
            <w:r>
              <w:rPr>
                <w:rFonts w:ascii="Times New Roman;serif" w:hAnsi="Times New Roman;serif"/>
                <w:b w:val="false"/>
                <w:sz w:val="22"/>
              </w:rPr>
              <w:t>2024 and thereafter</w:t>
            </w:r>
          </w:p>
        </w:tc>
        <w:tc>
          <w:tcPr>
            <w:tcW w:w="1546" w:type="dxa"/>
            <w:tcBorders/>
            <w:tcMar>
              <w:top w:w="0" w:type="dxa"/>
              <w:left w:w="0" w:type="dxa"/>
              <w:bottom w:w="0" w:type="dxa"/>
              <w:right w:w="0" w:type="dxa"/>
            </w:tcMar>
            <w:vAlign w:val="center"/>
          </w:tcPr>
          <w:p>
            <w:pPr>
              <w:pStyle w:val="TableContents"/>
              <w:bidi w:val="0"/>
              <w:spacing w:before="0" w:after="15"/>
              <w:ind w:left="0" w:right="0" w:hanging="0"/>
              <w:jc w:val="right"/>
              <w:rPr>
                <w:rFonts w:ascii="Times New Roman;serif" w:hAnsi="Times New Roman;serif"/>
                <w:b w:val="false"/>
                <w:sz w:val="22"/>
              </w:rPr>
            </w:pPr>
            <w:r>
              <w:rPr>
                <w:rFonts w:ascii="Times New Roman;serif" w:hAnsi="Times New Roman;serif"/>
                <w:b w:val="false"/>
                <w:sz w:val="22"/>
              </w:rPr>
              <w:t>100.000 %</w:t>
            </w:r>
          </w:p>
        </w:tc>
      </w:tr>
    </w:tbl>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Prior to October 1, 2022, the Issuers may, at their option, on one or more occasions redeem up to 40.0% of the aggregate principal amount of Notes issued under this Indenture (including the principal amount of any Additional Notes issued under this Indenture) at a redemption price equal to 106.750% of the aggregate principal amount of the Notes to be redeemed, plus accrued and unpaid interest, if any, thereon, to, but not including, the applicable Redemption Date, with the net cash proceeds received by the Issuers from one or more Equity Offerings; </w:t>
      </w:r>
      <w:r>
        <w:rPr>
          <w:rFonts w:ascii="Times New Roman;serif" w:hAnsi="Times New Roman;serif"/>
          <w:b w:val="false"/>
          <w:i/>
          <w:sz w:val="22"/>
        </w:rPr>
        <w:t>provided</w:t>
      </w:r>
      <w:r>
        <w:rPr>
          <w:rFonts w:ascii="Times New Roman;serif" w:hAnsi="Times New Roman;serif"/>
          <w:b w:val="false"/>
          <w:sz w:val="22"/>
        </w:rPr>
        <w:t>, that (a) at least 50.0% of the aggregate principal amount of Notes originally issued under this Indenture on the Issue Date (other than Notes held by the Issuers or any of their Affiliates) remains outstanding immediately after the occurrence of each such redemption, unless all such Notes are redeemed substantially concurrently and (b) each such redemption occurs within 180 days of the date of closing of each such Equity Offering.</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Prior to October 1, 2022, the Issuers may, at their option, on one or more occasions redeem up to 10.0% of the aggregate principal amount of the Notes issued under this Indenture (including any Additional Notes) during each twelve-month period beginning on the Issue Date at a redemption price of 103.0% of the aggregate principal amount of the Notes to be redeemed, plus accrued and unpaid interest, if any, thereon, to, but not including, the applicable Redemption Date.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Notwithstanding this Section 3.07, in connection with any tender offer for all of the outstanding Notes at such time, including a Change of Control Offer or Asset Sale Offer, if Holders of not less than 90.0% in aggregate principal amount of the outstanding Notes validly tender and do not withdraw such Notes in such tender offer and the Issuers, or any third party making such a tender offer in lieu of the Issuers, purchase all of the Notes validly tendered and not withdrawn by such Holders, the Issuers or such third party will have the right upon not less than 10 nor more than 60 days’ prior notice, given not more than 30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not including, the applicable Redemption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Any notice of any redemption may be given prior to the redemption thereof, and any such redemption or notice may, at the Issuers’ discretion, be subject to one or more conditions precedent, including, without limitation, the consummation of an incurrence or issuance of debt or equity or a Change of Control or other corporate transaction. If such redemption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Issuers may provide in such notice that payment of the redemption price and performance of the Issuers’ obligations with respect to such redemption may be performed by another Person.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If the optional Redemption Date is on or after a Record Date and on or before the corresponding Interest Payment Date, the accrued and unpaid interest, if any, to, but not including, the Redemption Date will be paid on the Redemption Date to the Holder in whose name the Note is registered at the close of business on such record date in accordance with the applicable procedures of DTC, and no additional interest will be payable to Holders whose Notes will be subject to redemption by the Issuers.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Any redemption pursuant to this Section 3.07 shall be made pursuant to the provisions of Sections 3.01 through 3.06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3.08 Mandatory Redemption</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If (i) the Escrow Outside Date occurs and the Escrow Agent and the Trustee shall not have received the Escrow Release Request Instruction on or prior to such date, (ii) the Issuers inform the Escrow Agent and the Trustee in writing that, in the reasonable judgment of the Issuers, the Acquisition will not be consummated on or prior to the Escrow Outside Date, or (iii) the Issuers inform the Escrow Agent and the Trustee in writing that the Acquisition Agreement was terminated prior to the Escrow Outside Date (the date of any such event being the </w:t>
      </w:r>
      <w:r>
        <w:rPr>
          <w:rFonts w:ascii="Times New Roman" w:hAnsi="Times New Roman"/>
          <w:sz w:val="20"/>
          <w:u w:val="single"/>
        </w:rPr>
        <w:t>“</w:t>
      </w:r>
      <w:r>
        <w:rPr>
          <w:rFonts w:ascii="Times New Roman;serif" w:hAnsi="Times New Roman;serif"/>
          <w:b w:val="false"/>
          <w:sz w:val="22"/>
          <w:u w:val="single"/>
        </w:rPr>
        <w:t>Special Termination Date</w:t>
      </w:r>
      <w:r>
        <w:rPr>
          <w:rFonts w:ascii="Times New Roman" w:hAnsi="Times New Roman"/>
          <w:sz w:val="20"/>
        </w:rPr>
        <w:t>”</w:t>
      </w:r>
      <w:r>
        <w:rPr>
          <w:rFonts w:ascii="Times New Roman;serif" w:hAnsi="Times New Roman;serif"/>
          <w:b w:val="false"/>
          <w:sz w:val="22"/>
        </w:rPr>
        <w:t>), the Issuers shall redeem the Notes (the “</w:t>
      </w:r>
      <w:r>
        <w:rPr>
          <w:rFonts w:ascii="Times New Roman;serif" w:hAnsi="Times New Roman;serif"/>
          <w:b w:val="false"/>
          <w:sz w:val="22"/>
          <w:u w:val="single"/>
        </w:rPr>
        <w:t>Special Mandatory Redemption</w:t>
      </w:r>
      <w:r>
        <w:rPr>
          <w:rFonts w:ascii="Times New Roman" w:hAnsi="Times New Roman"/>
          <w:sz w:val="20"/>
        </w:rPr>
        <w:t>”</w:t>
      </w:r>
      <w:r>
        <w:rPr>
          <w:rFonts w:ascii="Times New Roman;serif" w:hAnsi="Times New Roman;serif"/>
          <w:b w:val="false"/>
          <w:sz w:val="22"/>
        </w:rPr>
        <w:t>) at a price (the “</w:t>
      </w:r>
      <w:r>
        <w:rPr>
          <w:rFonts w:ascii="Times New Roman;serif" w:hAnsi="Times New Roman;serif"/>
          <w:b w:val="false"/>
          <w:sz w:val="22"/>
          <w:u w:val="single"/>
        </w:rPr>
        <w:t>Special Mandatory Redemption Price</w:t>
      </w:r>
      <w:r>
        <w:rPr>
          <w:rFonts w:ascii="Times New Roman" w:hAnsi="Times New Roman"/>
          <w:sz w:val="20"/>
        </w:rPr>
        <w:t>”</w:t>
      </w:r>
      <w:r>
        <w:rPr>
          <w:rFonts w:ascii="Times New Roman;serif" w:hAnsi="Times New Roman;serif"/>
          <w:b w:val="false"/>
          <w:sz w:val="22"/>
        </w:rPr>
        <w:t>) equal to 100.0% of the initial issue price of the Notes, plus accrued and unpaid interest on the Notes, if any, from the Issue Date, or the last date from which interest has been paid, to, but not including, the Special Mandatory Redemption Date, subject to the right of Holders of record on the relevant record date to receive interest due on the relevant interest payment date.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The Issuers shall deliver, no later than one Business Day following the Special Termination Date, (i) an Escrow Redemption Notice Instruction to the Trustee and the Escrow Agent and (ii) a notice of Special Mandatory Redemption to the Holders and the Trustee, each of which will provide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that the Notes shall be redeemed on a date that is no later than the third Business Day after such notice is given by the Issuers in accordance with the terms of the Escrow Agreement (the “</w:t>
      </w:r>
      <w:r>
        <w:rPr>
          <w:rFonts w:ascii="Times New Roman;serif" w:hAnsi="Times New Roman;serif"/>
          <w:b w:val="false"/>
          <w:sz w:val="22"/>
          <w:u w:val="single"/>
        </w:rPr>
        <w:t>Special Mandatory Redemption Date</w:t>
      </w:r>
      <w:r>
        <w:rPr>
          <w:rFonts w:ascii="Times New Roman" w:hAnsi="Times New Roman"/>
          <w:sz w:val="20"/>
        </w:rPr>
        <w:t>”</w:t>
      </w:r>
      <w:r>
        <w:rPr>
          <w:rFonts w:ascii="Times New Roman;serif" w:hAnsi="Times New Roman;serif"/>
          <w:b w:val="false"/>
          <w:sz w:val="22"/>
        </w:rPr>
        <w:t>) or otherwise in accordance with the applicable procedures of DTC. Subject to the terms of the Escrow Agreement, prior to 10:00 AM (New York time) on the Special Mandatory Redemption Date, the Escrow Agent shall pay the entire amount of funds on deposit in the Escrow Account (the “</w:t>
      </w:r>
      <w:r>
        <w:rPr>
          <w:rFonts w:ascii="Times New Roman;serif" w:hAnsi="Times New Roman;serif"/>
          <w:b w:val="false"/>
          <w:sz w:val="22"/>
          <w:u w:val="single"/>
        </w:rPr>
        <w:t>Escrow Amount</w:t>
      </w:r>
      <w:r>
        <w:rPr>
          <w:rFonts w:ascii="Times New Roman" w:hAnsi="Times New Roman"/>
          <w:sz w:val="20"/>
        </w:rPr>
        <w:t>”</w:t>
      </w:r>
      <w:r>
        <w:rPr>
          <w:rFonts w:ascii="Times New Roman;serif" w:hAnsi="Times New Roman;serif"/>
          <w:b w:val="false"/>
          <w:sz w:val="22"/>
        </w:rPr>
        <w:t>) (in immediately available funds) to the Trustee for payment to each Holder of Notes the applicable Special Mandatory Redemption Price for such Holder’s Notes and, after payment to such Holders, the Trustee shall deliver any excess Escrow Amount (if any) to, or as directed by, the Issuers.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In the event that the Escrow Amount is not sufficient to fund the Special Mandatory Redemption Price plus Trustee and Notes Collateral Agent fees and expenses, the Issuers shall cause the Investors to fund such shortfall pursuant to the commitment provided by the Investors.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Any redemption made pursuant to this Section 3.08 shall be made pursuant to the procedures set forth in this Indenture, except to the extent inconsistent with this Section 3.08(b). The Issuers shall not be required to make any mandatory redemption or sinking fund payment with respect to the Notes, except pursuant to Section 3.08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3.09 Offers to Repurchase by Application of Excess Proceeds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In the event that, pursuant to Section 4.10 hereof, the Issuers shall be required to commence an Asset Sale Offer, they shall follow the procedures specified below.</w:t>
      </w:r>
    </w:p>
    <w:p>
      <w:pPr>
        <w:pStyle w:val="TextBody"/>
        <w:bidi w:val="0"/>
        <w:spacing w:before="0" w:after="240"/>
        <w:jc w:val="left"/>
        <w:rPr>
          <w:rFonts w:ascii="Times New Roman" w:hAnsi="Times New Roman"/>
          <w:sz w:val="20"/>
        </w:rPr>
      </w:pPr>
      <w:r>
        <w:rPr>
          <w:rFonts w:ascii="Times New Roman;serif" w:hAnsi="Times New Roman;serif"/>
          <w:b w:val="false"/>
          <w:sz w:val="22"/>
        </w:rPr>
        <w:t>(b) The Asset Sale Offer shall remain open for a period of 20 Business Days following its commencement and no longer, except to the extent that a longer period is required by applicable law (the “</w:t>
      </w:r>
      <w:r>
        <w:rPr>
          <w:rFonts w:ascii="Times New Roman;serif" w:hAnsi="Times New Roman;serif"/>
          <w:b w:val="false"/>
          <w:sz w:val="22"/>
          <w:u w:val="single"/>
        </w:rPr>
        <w:t>Offer Period</w:t>
      </w:r>
      <w:r>
        <w:rPr>
          <w:rFonts w:ascii="Times New Roman" w:hAnsi="Times New Roman"/>
          <w:sz w:val="20"/>
        </w:rPr>
        <w:t>”</w:t>
      </w:r>
      <w:r>
        <w:rPr>
          <w:rFonts w:ascii="Times New Roman;serif" w:hAnsi="Times New Roman;serif"/>
          <w:b w:val="false"/>
          <w:sz w:val="22"/>
        </w:rPr>
        <w:t>). No later than five (5) Business Days after the termination of the Offer Period (the “</w:t>
      </w:r>
      <w:r>
        <w:rPr>
          <w:rFonts w:ascii="Times New Roman;serif" w:hAnsi="Times New Roman;serif"/>
          <w:b w:val="false"/>
          <w:sz w:val="22"/>
          <w:u w:val="single"/>
        </w:rPr>
        <w:t>Purchase Date</w:t>
      </w:r>
      <w:r>
        <w:rPr>
          <w:rFonts w:ascii="Times New Roman" w:hAnsi="Times New Roman"/>
          <w:sz w:val="20"/>
        </w:rPr>
        <w:t>”</w:t>
      </w:r>
      <w:r>
        <w:rPr>
          <w:rFonts w:ascii="Times New Roman;serif" w:hAnsi="Times New Roman;serif"/>
          <w:b w:val="false"/>
          <w:sz w:val="22"/>
        </w:rPr>
        <w:t>), the Issuers shall apply all Excess Proceeds (the “</w:t>
      </w:r>
      <w:r>
        <w:rPr>
          <w:rFonts w:ascii="Times New Roman;serif" w:hAnsi="Times New Roman;serif"/>
          <w:b w:val="false"/>
          <w:sz w:val="22"/>
          <w:u w:val="single"/>
        </w:rPr>
        <w:t>Offer Amount</w:t>
      </w:r>
      <w:r>
        <w:rPr>
          <w:rFonts w:ascii="Times New Roman" w:hAnsi="Times New Roman"/>
          <w:sz w:val="20"/>
        </w:rPr>
        <w:t>”</w:t>
      </w:r>
      <w:r>
        <w:rPr>
          <w:rFonts w:ascii="Times New Roman;serif" w:hAnsi="Times New Roman;serif"/>
          <w:b w:val="false"/>
          <w:sz w:val="22"/>
        </w:rPr>
        <w:t>) to the purchase of Notes and, if required, Pari Passu Indebtedness (on a</w:t>
      </w:r>
      <w:r>
        <w:rPr>
          <w:rFonts w:ascii="Times New Roman" w:hAnsi="Times New Roman"/>
          <w:sz w:val="20"/>
        </w:rPr>
        <w:t xml:space="preserve">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basis, if applicable), or, if less than the Offer Amount has been tendered, all Notes and Pari Passu Indebtedness tendered in response to the Asset Sale Offer. Payment for any Notes so purchased shall be made in the same manner as interest payments are made.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If the Purchase Date is on or after a Record Date and on or before the related Interest Payment Date, any accrued and unpaid interest up to but excluding the Purchase Date, shall be paid to the Person in whose name a Note is registered at the close of business on such Record Date, and no additional interest shall be payable to Holders who tender Notes pursuant to the Asset Sale Offer.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Upon the commencement of an Asset Sale Offer, the Issuers shall send electronically or by first-class mail, a notice to each of the Holders, with a copy to the Trustee. The notice shall contain all instructions and materials necessary to enable such Holders to tender Notes pursuant to the Asset Sale Offer. The Asset Sale Offer shall be made to all Holders and holders of Pari Passu Indebtedness. The notice, which shall govern the terms of the Asset Sale Offer, shall state: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that the Asset Sale Offer is being made pursuant to this Section 3.09 and Section 4.10 hereof and the length of time the Asset Sale Offer shall remain open;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the Offer Amount, the purchase price and the Purchase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that any Note not tendered or accepted for payment shall continue to accrue interest;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(iv) that, unless the Issuers default in making such payment, any Note accepted for payment pursuant to the Asset Sale Offer shall cease to accrue interest after the Purchase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 that Holders electing to have a Note purchased pursuant to an Asset Sale Offer may elect to have Notes purchased in minimum amounts of $200,000 or whole multiples of $1,000 in excess thereof only;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(vi) that Holders electing to have a Note purchased pursuant to any Asset Sale Offer shall be required to surrender the Note, with the form entitled “Option of Holder to Elect Purchase” attached to the Note completed, or transfer by book-entry transfer, to the Issuers, the Depositary, if appointed by the Issuers, or a Paying Agent at the address specified in the notice at least three days before the Purchase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(vii) that Holders shall be entitled to withdraw their election if the Issuers, the Depositary or the Paying Agent, as the case may be, receives, not later than the expiration of the Offer Period, a telegram, facsimile transmission or letter setting forth the name of the Holder, the principal amount of the Note the Holder delivered for purchase and a statement that such Holder is withdrawing his election to have such Note purchased;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(viii) that, if the aggregate principal amount of Notes and Pari Passu Indebtedness surrendered by the holders thereof exceeds the Offer Amount, the Trustee shall select the Notes (while the Notes are in global form pursuant to the procedures of the Depositary) and the Issuers shall select such Pari Passu Indebtedness to be purchased on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basis based on the accreted value or principal amount of the Notes or such Pari Passu Indebtedness tendered (with such adjustments as may be deemed appropriate by the Issuers so that only Notes in denominations of $200,000, or integral multiples of $1,000 in excess thereof, shall remain outstanding after such purchase);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(ix) that Holders whose Notes were purchased only in part shall be issued new Notes equal in principal amount to the unpurchased portion of the Notes surrendered (or transferred by book-entry transfer) representing the same indebtedness to the extent not repurchased.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On or before the Purchase Date, the Issuers shall, to the extent lawful, (1) accept for payment, on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basis to the extent necessary, the Offer Amount of Notes or portions thereof validly tendered pursuant to the Asset Sale Offer,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 The Issuers, the Depositary or the Paying Agent, as the case may be, shall promptly mail or deliver to each tendering Holder an amount equal to the purchase price of the Notes properly tendered by such Holder and accepted by the Issuers for purchase, and the Issuers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representing the same indebtedness to the extent not repurchased; </w:t>
      </w:r>
      <w:r>
        <w:rPr>
          <w:rFonts w:ascii="Times New Roman;serif" w:hAnsi="Times New Roman;serif"/>
          <w:b w:val="false"/>
          <w:i/>
          <w:sz w:val="22"/>
        </w:rPr>
        <w:t>provided</w:t>
      </w:r>
      <w:r>
        <w:rPr>
          <w:rFonts w:ascii="Times New Roman;serif" w:hAnsi="Times New Roman;serif"/>
          <w:b w:val="false"/>
          <w:sz w:val="22"/>
        </w:rPr>
        <w:t>, that each such new Note shall be in a minimum denomination of $200,000 or an integral multiple of $1,000 in excess thereof. Any Note not so accepted shall be promptly mailed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delivered by the Issuers to the Holder thereof. The Issuers shall publicly announce the results of the Asset Sale Offer on or as soon as practicable after the Purchase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Other than as specifically provided in this Section 3.09 or Section 4.10 hereof, any purchase pursuant to this Section 3.09 shall be made pursuant to the applicable provisions of Sections 3.01 through 3.06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3.10 </w:t>
      </w:r>
      <w:r>
        <w:rPr>
          <w:rFonts w:ascii="Times New Roman;serif" w:hAnsi="Times New Roman;serif"/>
          <w:b w:val="false"/>
          <w:sz w:val="22"/>
          <w:u w:val="single"/>
        </w:rPr>
        <w:t>Redemption for Changes in Taxes.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may redeem the Notes, in whole but not in part, at their discretion at any time upon giving not less than 10 nor more than 60 days’ prior notice to the Holders (which notice will be irrevocable and given in accordance with the procedures described under Sections 3.02 and 3.03 hereof), at a redemption price equal to 100.0% of the aggregate principal amount thereof, together with accrued and unpaid interest, if any, to the date fixed by the Issuers for redemption (a “Tax Redemption Date”) and all Additional Amounts (if any) then due and which will become due on the Tax Redemption Date as a result of the redemption or otherwise, if the Issuers or a Guarantor as the case may be, on the next date on which any amount would be payable in respect of the Notes or any Guarantee, is or would be required to pay Additional Amounts, and the Company, Issuers or the relevant Guarantor (but, in the case of a Guarantor, only if the payment giving rise to such requirement cannot be made by the Company, Issuers or another Guarantor, who can make such payment without the obligation to pay Additional Amounts) cannot avoid any such payment obligation by taking reasonable measures available (including making payment through a paying agent located in another jurisdiction), as a result 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any change in, or amendment to, the laws (or any regulations or rulings promulgated thereunder) of the relevant Tax Jurisdiction affecting taxation which change or amendment has not been formally announced before the date of this Offering Memorandum and becomes effective on or after the date of the Indenture (or, if a Tax Jurisdiction has been added since the date of this Offering Memorandum, the date on which that Tax Jurisdiction became a Tax Jurisdiction under this Offering Memorandum);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any change in, or amendment to, the existing official position regarding the application, administration or interpretation of such laws, regulations or rulings (including a holding, judgment or order by a court of competent jurisdiction or a change in published practice), which change, amendment, application or interpretation has not been formally announced before the Issue Date (or, if a Tax Jurisdiction has been added since the Issue Date, the date on which that Tax Jurisdiction became a tax jurisdiction under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will not give any such notice of redemption earlier than 60 days prior to the earliest date on which the Company, the Issuers or Guarantor, as the case may be, would be obligated to make such payment or withholding if a payment in respect of the Notes or any Guarantee were then due. Prior to the publication or, where relevant, mailing of any notice of redemption of the Notes pursuant to the foregoing, the Issuers will deliver to the Trustee an Opinion of Counsel, to the effect that there has been such change or amendment which would obligate the Company, the Issuers or a Guarantor to make such payment or withholding and an Officer’s Certificate to the effect that the Company, the Issuers or Guarantor, as the case may be, cannot avoid such payment or withholding by taking reasonable measures available to it. For the avoidance of doubt, reasonable measures shall not include anything which has any material impact on the business of the Company, the Issuers or Guarantor, or which would cause the Company, the Issuers or Guarantor to incur any material costs. The Trustee shall be entitled to conclusively rely on such Opinion of Counsel and Officer’s Certificate as sufficient evidence of the conditions as described above, in which event it will be conclusive and binding on all Holders.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provisions of this Section 3.10 shall apply </w:t>
      </w:r>
      <w:r>
        <w:rPr>
          <w:rFonts w:ascii="Times New Roman;serif" w:hAnsi="Times New Roman;serif"/>
          <w:b w:val="false"/>
          <w:i/>
          <w:sz w:val="22"/>
        </w:rPr>
        <w:t>mutatis mutandis</w:t>
      </w:r>
      <w:r>
        <w:rPr>
          <w:rFonts w:ascii="Times New Roman" w:hAnsi="Times New Roman"/>
          <w:sz w:val="20"/>
        </w:rPr>
        <w:t xml:space="preserve"> </w:t>
      </w:r>
      <w:r>
        <w:rPr>
          <w:rFonts w:ascii="Times New Roman;serif" w:hAnsi="Times New Roman;serif"/>
          <w:b w:val="false"/>
          <w:sz w:val="22"/>
        </w:rPr>
        <w:t>to the laws and official positions of any jurisdiction in which any successor to a payor is organized or otherwise considered to be a resident for tax purposes or any political subdivision or taxing authority or agency thereof or therein. The provisions of this Section 3.10 shall survive any termination, defeasance or discharge of this Indenture.</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4</w:t>
        <w:br/>
        <w:br/>
        <w:t>COVENANTS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4.01 Payment of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holds as of noon (Eastern time) on the due date money deposited by the Issuers in immediately available funds and designated for and sufficient to pay all principal, premium, if any, and interest then due.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pay interest (including post-petition interest in any proceeding under any Bankruptcy Law) on overdue principal at the rate equal to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the event that any Interest Payment Date occurs during the period between the Issue Date and the Escrow Release Date, the Issuers may deliver to the Escrow Agent (with a copy to the Trustee) an Interest Payment Request Instruction in accordance with the Escrow Agreement directing the Escrow Agent to transfer immediately available funds to the Trustee in an amount sufficient to pay accrued and unpaid interest on such Interest Payment Date.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4.02 Maintenance of Office or Agency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maintain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surrenders, notices and demands may be made at the Corporate Trust Office of the Trustee.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Issuers may also from time to time designate one or more other offices or agencies where the Notes may be presented or surrendered for any or all such purposes and may from time to time rescind such designations; </w:t>
      </w:r>
      <w:r>
        <w:rPr>
          <w:rFonts w:ascii="Times New Roman;serif" w:hAnsi="Times New Roman;serif"/>
          <w:b w:val="false"/>
          <w:i/>
          <w:sz w:val="22"/>
        </w:rPr>
        <w:t>provided</w:t>
      </w:r>
      <w:r>
        <w:rPr>
          <w:rFonts w:ascii="Times New Roman;serif" w:hAnsi="Times New Roman;serif"/>
          <w:b w:val="false"/>
          <w:sz w:val="22"/>
        </w:rPr>
        <w:t>, that no such designation or rescission shall in any manner relieve the Issuers of their obligation to maintain an office or agency for such purposes. The Issuers shall give prompt written notice to the Trustee of any such designation or rescission and of any change in the location of any such other office or agency.</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Issuers hereby designate the Corporate Trust Office of the Trustee as one such office or agency of the Issuers in accordance with Section 2.03 hereof; </w:t>
      </w:r>
      <w:r>
        <w:rPr>
          <w:rFonts w:ascii="Times New Roman;serif" w:hAnsi="Times New Roman;serif"/>
          <w:b w:val="false"/>
          <w:i/>
          <w:sz w:val="22"/>
        </w:rPr>
        <w:t>provided</w:t>
      </w:r>
      <w:r>
        <w:rPr>
          <w:rFonts w:ascii="Times New Roman;serif" w:hAnsi="Times New Roman;serif"/>
          <w:b w:val="false"/>
          <w:sz w:val="22"/>
        </w:rPr>
        <w:t>, that no service of legal process on the Issuers or any Guarantor may be made at any office of the Trustee.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4.03 Reports and Other Information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Company shall furnish to the Trustee: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within 125 days after the end of each fiscal year of the Company ending after the Completion Date (or, in the case of financial statements for the fiscal year ended December 31, 2019, on or before the date that is 150 days after the end of such fiscal year), the consolidated financial statements of the Company for such year prepared in accordance with IFRS, together with a report thereon by the Company’s independent auditors, and a “Management’s Discussion and Analysis of Financial Condition and Results of Operations” with respect to such financial statements substantially similar to that which would be included in an Annual Report on Form 10-K (as in effect on the Completion Date, but only to the extent similar information is included in this Offering Memorandum) filed with the SEC by the Company (if the Company were required to prepare and file such form); it being understood that the Company shall not be required to include any consolidating financial information with respect to the Company, any Guarantor or any other affiliate of the Company, or any separate financial statements or information for the Company, any Guarantor or any other Affiliate of the Company;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within 60 days after the end of each of the first three fiscal quarters in each fiscal year of the Company (or, in the case of financial statements for the fiscal quarters ended September 30, 2019 and March 31, 2020, on or before the date that is 90 days after the end of such fiscal quarter), beginning with the first such fiscal quarter ending after the Completion Date, the condensed consolidated financial statements of the Company for such quarter prepared in accordance with IFRS, together with a “Management’s Discussion and Analysis of Financial Condition and Results of Operations” with respect to such financial statements substantially similar to that which would be included in a Quarterly Report on Form 10-Q (as in effect on the Completion Date) filed with the SEC by the Company (if the Company were required to prepare and file such form); it being understood that the Company shall not be required to include any consolidating financial information with respect to the Company, any Guarantor or any other affiliate of the Company, or any separate financial statements or information for the Company, any Guarantor or any other Affiliate of the Company; and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(3) information substantially similar to the information that would be required to be included in a Current Report on Form 8-K (as in effect on the Completion Date) filed with the SEC by the Company (if the Company were required to prepare and file such form) pursuant to Item 1.01 (Entry into a Material Definitive Agreement), Item 1.02 (Termination of a Material Definitive Agreement), Item 1.03 (Bankruptcy or Receivership), Item 2.01 (Completion of Acquisition or Disposition of Assets), Item 2.05 (Costs Associated with Exit or Disposal Activities), Item 2.06 (Material Impairments), Item 4.01 (Changes in Registrant’s Certifying Accountants), Item 4.02 (Non-Reliance on Previously Issued Financial Statements or a Related Audit Report or Completed Interim Review, Item 5.01 (Changes in Control of Registrant) or Items 5.02(b) and (c) (Departure of Directors or Certain Officers); Election of Directors; Appointment of Certain Officers; Compensatory Arrangements of Certain Officers), of such form, within 15 days after the date of filing that would have been required for a current report on Form 8-K;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no report shall be required to include (1) any exhibits or (2) a summary of the terms of, any employment or compensatory arrangement, agreement, plan or understanding between the Company (or any of its Subsidiaries) and any director, manager or executive officer of the Company (or any of its Subsidiaries).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In addition, to the extent not satisfied by the foregoing, for so long as the Notes remain subject to this Section 4.03(a), the Company shall furnish to Holders thereof and prospective investors in such Notes, upon their request, the information required to be delivered pursuant to Rule 144A(d)(4) (as in effect on the Completion Date) of the Securities Act.</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None of the reports referenced in clauses (1), (2) and (3) of Section 4.03(a) hereof shall be required to comply with Section 302 or Section 404 of the Sarbanes-Oxley Act of 2002, or related Items 307 and 308 of Regulation S-K promulgated by the SEC, or Item 302 of Regulation S-K or Item 10(e) of Regulation S-K or Item 601 of Regulation S-K (with respect to exhibits), in each case, as in effect on the date of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(c) The requirements set forth in Section 4.03(a) hereof may be satisfied by (i) delivering such information electronically to the Trustee and (ii) posting copies of such information on a website (which may be nonpublic and may be maintained by the Company or a third party) to which access shall be given to Holders and prospective purchasers of the Notes (which prospective purchasers shall be limited to “qualified institutional buyers” within the meaning of Rule 144A of the Securities Act or non-U.S. persons (as defined in Regulation S under the Securities Act) that certify their status as such to the reasonable satisfaction of the Company and who acknowledge the confidentiality of the information). The Issuers will also make available copies of all reports required by clauses (1) through (3) of Section 4.03(a) hereof, if and for so long as the Notes are listed on the Official List of TISE and if and to the extent that the rules of TISE so require. The Company or the Issuers shall promptly conduct a quarterly conference call that the Holders may attend to discuss the financial condition and results of operations of the Company and its subsidiaries for the most recently ended measurement period for which financial statements have been delivered pursuant to clauses (1) and (2) of this Section 4.03, at a date and time to be determined by the Company or the Issuers with reasonable advance notice to the Trustee.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Notwithstanding the foregoing, at all times that the Company is subject to the reporting requirements of Section 13 or 15(d) of the Exchange Act, the Company may satisfy the requirements of this Section 4.03 by filing with the SEC within the time periods specified in the SEC’s rules and regulations that are then applicable to the Company all the reports and information described in the preceding paragraphs, but without giving effect to any of the provisos contained in such paragraphs, and any other information, documents and other reports that the Company would be required to file with the SEC if it were subject to Section 13 or 15(d) of the Exchange Act, in each case in a manner that complies in all material respects with the requirements specified in the applicable forms promulgated by the SEC.</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In the event that any direct or indirect parent company of the Company guarantees the Notes (which shall be permitted, subject to compliance with this Indenture, at any time, at the Company’s sole discretion) or files the reports specified in Section 4.03(a) hereof with the SEC, this Indenture will permit the Company to satisfy its obligations in this Section 4.03 with respect to the financial information relating to the Company by furnishing financial information relating to such parent;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the same is accompanied by consolidating information that explains in reasonable detail the differences between the information relating to such parent, on the one hand, and the information relating to the Company and its Restricted Subsidiaries on a standalone basis, on the other hand. Such parent shall not be considered a Guarantor by virtue of providing such guarantee, which may be released at any time. The obligations under this Section 4.03 may be satisfied by having the applicable entity file reports containing the information contemplated hereby within the timeframes contemplated hereunder with the SEC.</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At any time that any of the Company’s Subsidiaries are Unrestricted Subsidiaries, then the quarterly and annual financial information required by this Section 4.03 shall include a reasonably detailed presentation, on or in any of (i) the face of the financial statements, (ii) the footnotes thereto or (iii) the “Management’s Discussion and Analysis of Financial Condition and Results of Operations” or other comparable section, of the financial condition and results of operations of the Company and the Restricted Subsidiaries separate from the financial condition and results of operations of the Unrestricted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Delivery of reports, information and documents to the Trustee hereunder is for informational purposes only and the information and the Trustee’s receipt of the foregoing shall not constitute constructive notice of any information contained therein, or determinable from information contained therein including the Company or the Issuers’ compliance with any of their covenants hereunder (as to which the Trustee is entitled to rely exclusively on an Officers’ Certificate).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4.04 Compliance Certificate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Issuers shall deliver to the Trustee, within 120 days after the end of each fiscal year ending after the Completion Date, a certificate from the principal executive officer, principal financial officer or principal accounting officer stating that a review of the activities of the Issuers and their Restricted Subsidiaries during the preceding fiscal year has been made under the supervision of the signing Officer with a view to determining whether the Issuers have kept, observed, performed and fulfilled their obligations under this Indenture, and further stating, as to such Officer signing such certificate, that to the best of his or her knowledge the Issuers have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Issuers are taking or propose to take with respect thereto).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When any Default has occurred and is continuing under this Indenture, or if the Trustee or the holder of any other evidence of Indebtedness of the Issuers or any Subsidiary gives any notice or takes any other action with respect to a claimed Default, the Company shall promptly (which shall be no more than 30 days upon becoming aware of any Default) deliver to the Trustee by registered or certified mail or by facsimile transmission a statement specifying such event, its status and what action the Company is taking or proposes to take with respect thereto. The Trustee will not be deemed to have knowledge of any Defaults or Events of Default unless written notice of an event, which is in fact a Default, has been delivered to the Trustee at the Corporate Trust Office and such notice references the Notes and this Indenture and states that it is a “Notice of Default.”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4.05 </w:t>
      </w:r>
      <w:r>
        <w:rPr>
          <w:rFonts w:ascii="Times New Roman;serif" w:hAnsi="Times New Roman;serif"/>
          <w:b w:val="false"/>
          <w:sz w:val="22"/>
          <w:u w:val="single"/>
        </w:rPr>
        <w:t>Taxes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Company shall pay, and shall cause each of its Restricted Subsidiaries to pay, prior to delinquency, all material taxes, assessments, and governmental levies except such as are contested in good faith and by appropriate negotiations or proceedings or where the failure to effect such payment is not adverse in any material respect to the Holders of the Notes.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4.06 Stay, Extension and Usury Laws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Issuers and each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4.07 Limitation on Restricted Payments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Company shall not, and shall not permit any of its Restricted Subsidiaries to, directly or indirectly: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declare or pay any dividend or make any payment or distribution on account of the Company’s, or any of its Restricted Subsidiaries’ Equity Interests, including any dividend or distribution payable in connection with any merger, amalgamation or consolidation other than: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dividends or distributions by the Company payable solely in Equity Interests (other than any Disqualified Stock) of the Company or in options, warrants or other rights to purchase such Equity Interests;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dividends or distributions by a Restricted Subsidiary so long as, in the case of any dividend or distribution payable on or in respect of any class or series of securities issued by a Restricted Subsidiary other than a Wholly Owned Subsidiary of the Company, the Company or a Restricted Subsidiary receives at least its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share of such dividend or distribution in accordance with its Equity Interests in such class or series of securities;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purchase, redeem, defease or otherwise acquire or retire for value any Equity Interests of the Company or any direct or indirect parent company of the Company, including in connection with any merger, amalgamation or consolidation, held by Persons other than the Company or a Restricted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make any principal payment on, or redeem, repurchase, defease or otherwise acquire or retire for value in each case, prior to any scheduled repayment, sinking fund payment or maturity, any Subordinated Indebtedness, other than;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Indebtedness permitted under clauses (7), (8) and (9) of Section 4.09(b) hereof;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prepayments, redemptions, repurchases, defeasances and other payments in respect of Subordinated Indebtedness prior to their scheduled maturity purchased in anticipation of satisfying a sinking fund obligation, principal installment or final maturity, in each case due within one year of the date of purchase, repurchase or acquisition;</w:t>
      </w:r>
    </w:p>
    <w:p>
      <w:pPr>
        <w:pStyle w:val="TextBody"/>
        <w:bidi w:val="0"/>
        <w:spacing w:before="0" w:after="240"/>
        <w:jc w:val="left"/>
        <w:rPr>
          <w:rFonts w:ascii="Times New Roman" w:hAnsi="Times New Roman"/>
          <w:sz w:val="20"/>
        </w:rPr>
      </w:pPr>
      <w:r>
        <w:rPr>
          <w:rFonts w:ascii="Times New Roman;serif" w:hAnsi="Times New Roman;serif"/>
          <w:b w:val="false"/>
          <w:sz w:val="22"/>
        </w:rPr>
        <w:t>(IV) make any Restricted Investment (the payments and other actions set forth in clause (III) (other than the exceptions thereto) above being collectively referred to as “</w:t>
      </w:r>
      <w:r>
        <w:rPr>
          <w:rFonts w:ascii="Times New Roman;serif" w:hAnsi="Times New Roman;serif"/>
          <w:b w:val="false"/>
          <w:sz w:val="22"/>
          <w:u w:val="single"/>
        </w:rPr>
        <w:t>Restricted Debt Payments</w:t>
      </w:r>
      <w:r>
        <w:rPr>
          <w:rFonts w:ascii="Times New Roman;serif" w:hAnsi="Times New Roman;serif"/>
          <w:b w:val="false"/>
          <w:sz w:val="22"/>
        </w:rPr>
        <w:t>,” and all such payments and other actions set forth in clauses (I) through (IV) (other than any exception thereto) above being collectively referred to as “</w:t>
      </w:r>
      <w:r>
        <w:rPr>
          <w:rFonts w:ascii="Times New Roman;serif" w:hAnsi="Times New Roman;serif"/>
          <w:b w:val="false"/>
          <w:sz w:val="22"/>
          <w:u w:val="single"/>
        </w:rPr>
        <w:t>Restricted Payments</w:t>
      </w:r>
      <w:r>
        <w:rPr>
          <w:rFonts w:ascii="Times New Roman" w:hAnsi="Times New Roman"/>
          <w:sz w:val="20"/>
        </w:rPr>
        <w:t>”</w:t>
      </w:r>
      <w:r>
        <w:rPr>
          <w:rFonts w:ascii="Times New Roman;serif" w:hAnsi="Times New Roman;serif"/>
          <w:b w:val="false"/>
          <w:sz w:val="22"/>
        </w:rPr>
        <w:t>), unless, at the time of such Restricted Payment: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no Specified Event of Default shall have occurred and be continuing or would occur as a consequence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(2) immediately after giving effect to such transaction on a pro forma basis, the Company could incur $1.00 of additional Indebtedness under Section 4.09(a) hereof (the “</w:t>
      </w:r>
      <w:r>
        <w:rPr>
          <w:rFonts w:ascii="Times New Roman;serif" w:hAnsi="Times New Roman;serif"/>
          <w:b w:val="false"/>
          <w:sz w:val="22"/>
          <w:u w:val="single"/>
        </w:rPr>
        <w:t>Ratio Test</w:t>
      </w:r>
      <w:r>
        <w:rPr>
          <w:rFonts w:ascii="Times New Roman" w:hAnsi="Times New Roman"/>
          <w:sz w:val="20"/>
        </w:rPr>
        <w:t>”</w:t>
      </w:r>
      <w:r>
        <w:rPr>
          <w:rFonts w:ascii="Times New Roman;serif" w:hAnsi="Times New Roman;serif"/>
          <w:b w:val="false"/>
          <w:sz w:val="22"/>
        </w:rPr>
        <w:t>); and</w:t>
      </w:r>
    </w:p>
    <w:p>
      <w:pPr>
        <w:pStyle w:val="TextBody"/>
        <w:bidi w:val="0"/>
        <w:spacing w:before="0" w:after="240"/>
        <w:jc w:val="left"/>
        <w:rPr>
          <w:rFonts w:ascii="Times New Roman" w:hAnsi="Times New Roman"/>
          <w:sz w:val="20"/>
        </w:rPr>
      </w:pPr>
      <w:r>
        <w:rPr>
          <w:rFonts w:ascii="Times New Roman;serif" w:hAnsi="Times New Roman;serif"/>
          <w:b w:val="false"/>
          <w:sz w:val="22"/>
        </w:rPr>
        <w:t>(3) such Restricted Payment, together with the aggregate amount of all other Restricted Payments made (and not returned or rescinded) by the Company and its Restricted Subsidiaries under this Section 4.07(a)(3) after the Completion Date (and including Restricted Payments permitted by clause (1) of Section 4.07(b) hereof (without duplication) and clause (2) of Section 4.07(b) hereof (with respect to the payment of dividends on Refunding Capital Stock (as defined below) pursuant to clause (b) thereof only), but excluding all other Restricted Payments permitted by Section 4.07(b) hereof), would not exceed the sum of (without duplication) (the sum or the amounts attributable to clauses (a) through (h) below is referred to herein as the “</w:t>
      </w:r>
      <w:r>
        <w:rPr>
          <w:rFonts w:ascii="Times New Roman;serif" w:hAnsi="Times New Roman;serif"/>
          <w:b w:val="false"/>
          <w:sz w:val="22"/>
          <w:u w:val="single"/>
        </w:rPr>
        <w:t>Available Amount</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50.0% of the Consolidated Net Income, of the Company and its Restricted Subsidiaries for the period (taken as one accounting period) beginning on the first day of the fiscal quarter of the Company during which the Completion Date occurs to the end of the most recently ended Test Period at the time of such Restricted Payment (which amount shall not be less than zero); </w:t>
      </w:r>
      <w:r>
        <w:rPr>
          <w:rFonts w:ascii="Times New Roman;serif" w:hAnsi="Times New Roman;serif"/>
          <w:b w:val="false"/>
          <w:i/>
          <w:sz w:val="22"/>
        </w:rPr>
        <w:t>plus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100.0% of the aggregate net cash proceeds and the fair market value, as determined in good faith by the Company, of marketable securities or other property received by the Company since immediately after the Completion Date from the issue or sale (including as the result of a merger or consolidation with another Person) 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(A) Equity Interests of the Company, including Treasury Capital Stock (as defined below), but excluding cash proceeds and the fair market value, as determined in good faith by the Company, of marketable securities or other property received from the sale 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(x) Equity Interests to any future, present or former employees, directors, officers, managers, distributors or consultants (or their respective Controlled Investment Affiliates or Immediate Family Members) of the Company, any direct or indirect parent company of the Company or any of the Company’s Subsidiaries after the Completion Date to the extent such amounts have been applied to Restricted Payments made in accordance with clause (4) of Section 4.07(b) hereof;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(y) Designated Preferred Stock;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to the extent such net cash proceeds or other property are actually contributed to the capital of the Company or any Restricted Subsidiary (without the issuance of additional Equity Interests of such Restricted Subsidiary), Equity Interests of any direct or indirect parent company of the Company (excluding Contributed Holdings Investments (as defined below) and contributions of the proceeds from the sale of Designated Preferred Stock of such companies or contributions to the extent such amounts have been applied to Restricted Payments made in accordance with clause (4) of Section 4.07(b) hereof); or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debt securities of the Company or any Restricted Subsidiary that have been converted into or exchanged for such Equity Interests of the Company or a direct or indirect parent company of the Company;</w:t>
      </w:r>
    </w:p>
    <w:p>
      <w:pPr>
        <w:pStyle w:val="TextBody"/>
        <w:bidi w:val="0"/>
        <w:spacing w:before="0" w:after="240"/>
        <w:jc w:val="left"/>
        <w:rPr>
          <w:rFonts w:ascii="Times New Roman" w:hAnsi="Times New Roman"/>
          <w:sz w:val="20"/>
        </w:rPr>
      </w:pP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this clause (b) shall not include the proceeds from (W) Refunding Capital Stock (as defined below), (X) Equity Interests or convertible debt securities of the Company sold to a Restricted Subsidiary, as the case may be, (Y) Disqualified Stock or debt securities that have been converted into Disqualified Stock or (Z) Excluded Contributions;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100.0% of the aggregate amount of cash and the fair market value, as determined in good faith by the Company, of marketable securities or other property contributed to the capital of the Company or to the capital of a Restricted Subsidiary by a Person other than the Company or another Restricted Subsidiary (including the aggregate principal amount of any Indebtedness of the Company or a Restricted Subsidiary contributed to the Company or a Restricted Subsidiary for cancellation) or that becomes part of the capital of the Company or a Restricted Subsidiary through consolidation or merger after the Completion Date (other than net cash proceeds to the extent such net cash proceeds (i) are contributed by a Restricted Subsidiary or (ii) constitute Excluded Contributions and Contributed Holdings Investments); </w:t>
      </w:r>
      <w:r>
        <w:rPr>
          <w:rFonts w:ascii="Times New Roman;serif" w:hAnsi="Times New Roman;serif"/>
          <w:b w:val="false"/>
          <w:i/>
          <w:sz w:val="22"/>
        </w:rPr>
        <w:t>plus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100.0% of the aggregate amount received in cash and the fair market value, as determined in good faith by the Company, of marketable securities or other property received by the Company or a Restricted Subsidiary by means 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the sale or other disposition (other than to the Company or a Restricted Subsidiary) of Restricted Investments made by the Company or its Restricted Subsidiaries and repurchases and redemptions of such Restricted Investments from the Company or its Restricted Subsidiaries (other than by the Company or a Restricted Subsidiary) and repayments of loans or advances and releases of guarantees that constitute, or other returns on Investment from, Restricted Investments made by the Company or its Restricted Subsidiaries, in each case after the Completion Date; or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(ii) the sale or other disposition (other than to the Company or a Restricted Subsidiary) of the stock of an Unrestricted Subsidiary or a distribution from a Person that is not a Restricted Subsidiary;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(e) in the case of the redesignation of an Unrestricted Subsidiary as a Restricted Subsidiary or the merger, amalgamation or consolidation of an Unrestricted Subsidiary into the Company or a Restricted Subsidiary or the transfer of all or substantially all of the assets of an Unrestricted Subsidiary to the Company or a Restricted Subsidiary after the Completion Date, the fair market value of the Investment in such Unrestricted Subsidiary (or the assets transferred), as determined in good faith by the Company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the Investment in such Unrestricted Subsidiary was made by the Company or a Restricted Subsidiary pursuant to clause (11)</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of Section 4.07(b) hereof or to the extent such Investment constituted a Permitted Investment;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(f) the aggregate amount of any Declined Excess Proceeds since the Completion Date;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(g) the aggregate amount of the proceeds from the sale of any accounts receivable, royalty or other similar rights to payment and any other assets related thereto that are not reflected on the most recent consolidated balance sheet of the Company and the Restricted Subsidiaries; </w:t>
      </w:r>
      <w:r>
        <w:rPr>
          <w:rFonts w:ascii="Times New Roman;serif" w:hAnsi="Times New Roman;serif"/>
          <w:b w:val="false"/>
          <w:i/>
          <w:sz w:val="22"/>
        </w:rPr>
        <w:t>plus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the greater of (i) $300.0 million and (ii) 40.0% of LTM EBITDA for the most recently ended Test Period as of such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provisions of Section 4.07(a) hereof shall not prohibit: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the payment of any dividend or other distribution or the consummation of any redemption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as the case may be, would have complied with the provisions of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(2) (a) the redemption, repurchase, defeasance, retirement or other acquisition of any (i) Equity Interests, including any accrued and unpaid dividends thereon (“</w:t>
      </w:r>
      <w:r>
        <w:rPr>
          <w:rFonts w:ascii="Times New Roman;serif" w:hAnsi="Times New Roman;serif"/>
          <w:b w:val="false"/>
          <w:sz w:val="22"/>
          <w:u w:val="single"/>
        </w:rPr>
        <w:t>Treasury Capital Stock</w:t>
      </w:r>
      <w:r>
        <w:rPr>
          <w:rFonts w:ascii="Times New Roman" w:hAnsi="Times New Roman"/>
          <w:sz w:val="20"/>
        </w:rPr>
        <w:t>”</w:t>
      </w:r>
      <w:r>
        <w:rPr>
          <w:rFonts w:ascii="Times New Roman;serif" w:hAnsi="Times New Roman;serif"/>
          <w:b w:val="false"/>
          <w:sz w:val="22"/>
        </w:rPr>
        <w:t>) of the Company or any Restricted Subsidiary or Subordinated Indebtedness of the Company or any Guarantor or (ii) Equity Interests of any direct or indirect parent company of the Company, in the case of each of clauses (i) and (ii), in exchange for, or out of the proceeds of the substantially concurrent sale (other than to the Company or a Restricted Subsidiary) of, Equity Interests of the Company or any direct or indirect parent company of the Company to the extent contributed to the capital of the Company or any Restricted Subsidiary (in each case, other than any Disqualified Stock) (“</w:t>
      </w:r>
      <w:r>
        <w:rPr>
          <w:rFonts w:ascii="Times New Roman;serif" w:hAnsi="Times New Roman;serif"/>
          <w:b w:val="false"/>
          <w:sz w:val="22"/>
          <w:u w:val="single"/>
        </w:rPr>
        <w:t>Refunding Capital Stock</w:t>
      </w:r>
      <w:r>
        <w:rPr>
          <w:rFonts w:ascii="Times New Roman" w:hAnsi="Times New Roman"/>
          <w:sz w:val="20"/>
        </w:rPr>
        <w:t>”</w:t>
      </w:r>
      <w:r>
        <w:rPr>
          <w:rFonts w:ascii="Times New Roman;serif" w:hAnsi="Times New Roman;serif"/>
          <w:b w:val="false"/>
          <w:sz w:val="22"/>
        </w:rPr>
        <w:t>), (b) the declaration and payment of dividends on the Treasury Capital Stock out of the proceeds of the substantially concurrent sale (other than to the Company or a Restricted Subsidiary) of the Refunding Capital Stock and (c) if immediately prior to the retirement of Treasury Capital Stock, the declaration and payment of dividends thereon was permitted under clause (6) of this Section 4.07(b), the declaration and payment of dividends on the Refunding Capital Stock (other than Refunding Capital Stock the proceeds of which were used to redeem, repurchase, retire or otherwise acquire any Equity Interests of any direct or indirect parent company of the Company) in an aggregate amount per year no greater than the aggregate amount of dividends per annum that were declarable and payable on such Treasury Capital Stock immediately prior to such retirement;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the defeasance, redemption, repurchase, exchange or other acquisition or retirement for value of (i) Subordinated Indebtedness of the Company or a Guarantor made by exchange for, or out of the proceeds of the substantially concurrent sale of, new Subordinated Indebtedness of the Company or a Guarantor or (ii) Disqualified Stock of the Company or a Guarantor made by exchange for, or out of the proceeds of the substantially concurrent sale of, Disqualified Stock of the Company or a Guarantor, that, in each case, is incurred in compliance with Section 4.09 hereof;</w:t>
      </w:r>
    </w:p>
    <w:p>
      <w:pPr>
        <w:pStyle w:val="TextBody"/>
        <w:bidi w:val="0"/>
        <w:spacing w:before="0" w:after="240"/>
        <w:jc w:val="left"/>
        <w:rPr>
          <w:rFonts w:ascii="Times New Roman" w:hAnsi="Times New Roman"/>
          <w:sz w:val="20"/>
        </w:rPr>
      </w:pPr>
      <w:r>
        <w:rPr>
          <w:rFonts w:ascii="Times New Roman;serif" w:hAnsi="Times New Roman;serif"/>
          <w:b w:val="false"/>
          <w:sz w:val="22"/>
        </w:rPr>
        <w:t>(4) Restricted Payments to the Company or direct or indirect parent companies of the Company, the proceeds of which are, or will be, promptly used to redeem, acquire, retire,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repurchase or settle their Equity Interests (or any options, warrants, restricted stock or stock appreciation rights or similar securities issued with respect to any such Equity Interests) (in each case, other than Disqualified Stock) or Indebtedness or to service Indebtedness incurred by direct or indirect parent companies of the Company to finance the redemption, acquisition, retirement, repurchase or settlement of such Equity Interest or Indebtedness (or make Restricted Payments to allow any of the Company’s direct or indirect parent companies to so redeem, retire, acquire or repurchase their Equity Interests or their Indebtedness or to service Indebtedness incurred by direct or indirect parent companies of the Company to finance the redemption, acquisition, retirement, repurchase or settlement of such Equity Interests or Indebtedness or to service Indebtedness incurred to finance the redemption, retirement, acquisition or repurchase of such Equity Interests or Indebtedness), in each case held directly or indirectly by current or former officers, managers, consultants, members of the board of directors, employees or independent contractors (or their respective spouses, former spouses, successors, executors, administrators, heirs, legatees or distributees) of direct or indirect parent companies of the Company, the Company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Completion Date not to exceed the greater of $112.5 million and 15.0% of LTM EBITDA for the most recently ended Test Period as of such date, in any calendar year (with unused amounts in any calendar year being carried over to succeeding calendar years subject to a maximum of the greater of $225.0 million and 30.0% of LTM EBITDA for the most recently ended Test Period as of such date, in any calendar year), in each case, without giving effect to the following proviso;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such amount in any calendar year may be increased by:</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the cash proceeds from the sale of Equity Interests (other than Disqualified Stock) of the Company and, to the extent contributed to the Company, Equity Interests of any of the Company’s direct or indirect parent companies, in each case to any future, present or former employees, directors, officers, managers, distributors or consultants (or their respective Controlled Investment Affiliates or Immediate Family Members) of the Company, any direct or indirect parent company of the Company or any of the Company’s Subsidiaries after the Completion Date, to the extent the cash proceeds from the sale of such Equity Interests have not otherwise been applied to the payment of Restricted Payments by virtue of clause (3) of Section 4.07(a) hereof;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an amount not to exceed the cash proceeds of key man life insurance policies received by the Company (or by direct or indirect parent companies of the Company and contributed to the Company) or the Restricted Subsidiaries after the Completion Date; </w:t>
      </w:r>
      <w:r>
        <w:rPr>
          <w:rFonts w:ascii="Times New Roman;serif" w:hAnsi="Times New Roman;serif"/>
          <w:b w:val="false"/>
          <w:i/>
          <w:sz w:val="22"/>
        </w:rPr>
        <w:t>plus</w:t>
      </w:r>
    </w:p>
    <w:p>
      <w:pPr>
        <w:pStyle w:val="TextBody"/>
        <w:bidi w:val="0"/>
        <w:spacing w:before="0" w:after="240"/>
        <w:jc w:val="left"/>
        <w:rPr>
          <w:rFonts w:ascii="Times New Roman" w:hAnsi="Times New Roman"/>
          <w:sz w:val="20"/>
        </w:rPr>
      </w:pPr>
      <w:r>
        <w:rPr>
          <w:rFonts w:ascii="Times New Roman;serif" w:hAnsi="Times New Roman;serif"/>
          <w:b w:val="false"/>
          <w:sz w:val="22"/>
        </w:rPr>
        <w:t>(c) the amount of any bona fide cash bonuses otherwise payable to members of the board of directors, consultants, officers, employees, managers or independent contractors of direct or indirect parent companies of the Company, the Company or any Restricted Subsidiary that are foregone in return for the receipt of Equity Interests, the fair market value of which is equal to or less than the amount of such cash bonuses, which, if not used in any year, may be carried forward to any subsequent fiscal year;</w:t>
      </w:r>
      <w:r>
        <w:rPr>
          <w:rFonts w:ascii="Times New Roman" w:hAnsi="Times New Roman"/>
          <w:sz w:val="20"/>
        </w:rPr>
        <w:t xml:space="preserve"> </w:t>
      </w:r>
      <w:r>
        <w:rPr>
          <w:rFonts w:ascii="Times New Roman;serif" w:hAnsi="Times New Roman;serif"/>
          <w:b w:val="false"/>
          <w:i/>
          <w:sz w:val="22"/>
        </w:rPr>
        <w:t>less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the amount of any Restricted Payments previously made with the cash proceeds described in clauses (a), (b) and (c) of this clause (4);</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i/>
          <w:sz w:val="22"/>
        </w:rPr>
        <w:t>provided further</w:t>
      </w:r>
      <w:r>
        <w:rPr>
          <w:rFonts w:ascii="Times New Roman" w:hAnsi="Times New Roman"/>
          <w:sz w:val="20"/>
        </w:rPr>
        <w:t xml:space="preserve"> </w:t>
      </w:r>
      <w:r>
        <w:rPr>
          <w:rFonts w:ascii="Times New Roman;serif" w:hAnsi="Times New Roman;serif"/>
          <w:b w:val="false"/>
          <w:sz w:val="22"/>
        </w:rPr>
        <w:t>that (i) cancellation of Indebtedness owing to the Company or any Restricted Subsidiary from members of the board of directors, consultants, officers, employees, managers or independent contractors (or their respective spouses, former spouses, successors, executors, administrators, heirs, legatees or distributees) of direct or indirect parent companies of the Company, the Issuers or any Restricted Subsidiary in connection with a repurchase of Equity Interests of the Company or any direct or indirect parent companies of the Company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clauses (i) and (ii), will not be deemed to constitute a Restricted Payment for purposes of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the declaration and payment of dividends to holders of any class or series of Disqualified Stock of the Company or any of its Restricted Subsidiaries or any class or series of Preferred Stock of any Restricted Subsidiary, in each case issued in accordance with Section 4.09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(a) the declaration and payment of dividends to holders of any class or series of Designated Preferred Stock (other than Disqualified Stock) issued by the Company or any of its Restricted Subsidiaries after the Completion Date;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the declaration and payment of dividends to any direct or indirect parent company of the Company, the proceeds of which shall be used to fund the payment of dividends to holders of any class or series of Designated Preferred Stock (other than Disqualified Stock) of such parent company issued after the Completion Date; </w:t>
      </w:r>
      <w:r>
        <w:rPr>
          <w:rFonts w:ascii="Times New Roman;serif" w:hAnsi="Times New Roman;serif"/>
          <w:b w:val="false"/>
          <w:i/>
          <w:sz w:val="22"/>
        </w:rPr>
        <w:t xml:space="preserve">provided </w:t>
      </w:r>
      <w:r>
        <w:rPr>
          <w:rFonts w:ascii="Times New Roman;serif" w:hAnsi="Times New Roman;serif"/>
          <w:b w:val="false"/>
          <w:sz w:val="22"/>
        </w:rPr>
        <w:t>that the amount of dividends paid pursuant to this clause (b) shall not exceed the aggregate amount of cash actually contributed to the capital of the Company from the sale of such Designated Preferred Stock;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declaration and payment of dividends on Refunding Capital Stock that is Preferred Stock in excess of the dividends declarable and payable thereon pursuant to clause (2) of Section 4.07(b)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Restricted Payments by any Restricted Subsidiary to the Company or direct or indirect parent companies of the Company to the extent the proceeds of such Restricted Payments are contributed or loaned or advanced to another Restricted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the declaration and payment of dividends or the payment of other distributions by the Company or a Restricted Subsidiary to, or the making of loans or advances to, any of their respective direct or indirect parent companies to allow payments by the Company or any direct or indirect parent company of the Company in respect of withholding or similar taxes payable in connection with any grant or vesting of an Equity Interest to or by, or repurchase, or dividend or other distribution to facilitate a repurchase, of an Equity Interest from, any future, present or former employee, director, officer, manager or consultant (or their respective Controlled Investment Affiliates, Immediate Family Members or permitted transferees), or in connection with any repurchases of Equity Interests in consideration of such payments, including deemed repurchases in connection with the exercise of stock options, warrants or other incentive interests and the vesting of restricted stock and restricted stock units or any deemed repurchases of Equity Interests representing a portion of the exercise price of such options or warrants or other incentive interest;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(9) (a) the declaration and payment of dividends by the Company on the common stock or Equity Interests of the Company or any direct or indirect parent company of the Company following a public offering of such common stock or common equity interests in an amount in any fiscal year not to exceed the greater of (i) up to 6.0% of the aggregate proceeds received by or contributed to the Company in or from all such public offerings and (ii) an aggregate amount not to exceed 5.0% of the Market Capitalization of the Company or (b) in lieu of all or a portion of the dividends permitted by clause (a), any prepayment, purchase, repurchase, redemption, defeasance, discharge, retirement or other acquisition of the Company’s Equity Interests (and any equivalent declaration and payment of a distribution of any security exchangeable for such common stock or common equity interests to the extent required by the terms of any such exchangeable securities and any Restricted Payment to any direct or indirect parent company of the Company to fund the payment by such direct or indirect parent company of the Company of dividends on such entity’s Equity Interests) for aggregate consideration that, when taken together with dividends permitted by clause (a), does not exceed the amount contemplated by clause (a);</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Restricted Payments that are made (a) in an amount not to exceed the amount of Excluded Contributions made since the Completion Date that is not otherwise applied pursuant to clause (35) of the definition of “Permitted Liens” or pursuant to clause (27) of Section 4.09(b) hereof as in effect immediately prior to such Restricted Payments (and after giving pro forma effect thereto) or (b) in an amount equal to the amount of net cash proceeds from an asset sale or disposition in respect of property or assets acquired, if the acquisition of such property or assets was financed with Excluded Contributions;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other Restricted Payments (other than Restricted Debt Payments) in an aggregate amount taken together with all other Restricted Payments made pursuant to this clause (11) not to exceed the sum of (i) the greater of $225.0 million and 30.0% of LTM EBITDA for the most recently ended Test Period at the time made and (ii) the Available Restricted Debt Payments Amount;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(12) distributions or payments of Receivables Fees;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(13) Restricted Payments made as part of or to consummate the Transactions;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(14) other Restricted Debt Payments in an aggregate amount taken together with all other Restricted Debt Payments made pursuant to this clause (14) not to exceed the sum of (i) the greater of $225.0 million and 30.0% of LTM EBITDA for the most recently ended Test Period at the time made, (ii) the Available Investments Amount and (iii) the Available Restricted Payments Amount;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(15) the repurchase, redemption or other acquisition or retirement for value of any Subordinated Indebtedness in accordance with the provisions similar to those described in Section 4.10 and Section 4.14 hereof;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all Notes validly tendered by Holders in connection with such Change of Control Offer or Asset Sale Offer, as applicable, have been repurchased, redeemed, acquired or retired for value;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(16) the declaration and payment of dividends or the payment of other distributions by the Company or a Restricted Subsidiary to, or the making of loans or advances to, any of their respective direct or indirect parent companies in amounts required for any direct or indirect parent companies to pay, in each case without duplication,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franchise, excise and similar taxes and other fees, taxes and expenses required to maintain their corporate existence;</w:t>
      </w:r>
    </w:p>
    <w:p>
      <w:pPr>
        <w:pStyle w:val="TextBody"/>
        <w:bidi w:val="0"/>
        <w:spacing w:before="0" w:after="240"/>
        <w:jc w:val="left"/>
        <w:rPr>
          <w:rFonts w:ascii="Times New Roman" w:hAnsi="Times New Roman"/>
          <w:sz w:val="20"/>
        </w:rPr>
      </w:pPr>
      <w:r>
        <w:rPr>
          <w:rFonts w:ascii="Times New Roman;serif" w:hAnsi="Times New Roman;serif"/>
          <w:b w:val="false"/>
          <w:sz w:val="22"/>
        </w:rPr>
        <w:t>(b) (1) with respect to any taxable period in which the Company and/or any of its Subsidiaries is a member of (or the Company is a disregarded entity for U.S. federal income tax purposes wholly-owned by a member of) a consolidated, combined, unitary or similar tax group (a “</w:t>
      </w:r>
      <w:r>
        <w:rPr>
          <w:rFonts w:ascii="Times New Roman;serif" w:hAnsi="Times New Roman;serif"/>
          <w:b w:val="false"/>
          <w:sz w:val="22"/>
          <w:u w:val="single"/>
        </w:rPr>
        <w:t>Tax Group</w:t>
      </w:r>
      <w:r>
        <w:rPr>
          <w:rFonts w:ascii="Times New Roman" w:hAnsi="Times New Roman"/>
          <w:sz w:val="20"/>
        </w:rPr>
        <w:t>”</w:t>
      </w:r>
      <w:r>
        <w:rPr>
          <w:rFonts w:ascii="Times New Roman;serif" w:hAnsi="Times New Roman;serif"/>
          <w:b w:val="false"/>
          <w:sz w:val="22"/>
        </w:rPr>
        <w:t xml:space="preserve">) for U.S. federal and/or applicable foreign, state or local income tax purposes of which Holdings, and or any direct or indirect parent of Holdings is the common parent, the portion of U.S. federal, state, and/or local income taxes of such Tax Group for such taxable period that is attributable to the taxable income of the Company and/or its direct or indirect consolidated Subsidiaries;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for each taxable period, the amount of such payments (if applicable) made in respect of such taxable period in the aggregate shall not exceed the amount of such taxes that the Company and/or its applicable Subsidiaries would have been required to pay if they were a stand-alone Tax Group with the Company as the corporate common parent of such stand-alone Tax Group; and (2) with respect to any taxable period for which the Company is a partnership for U.S. federal and/or applicable state or local income tax purposes, the portion of the U.S. federal, state or local income taxes of the Company’s direct owner(s) (or, where a direct owner is a pass-through entity, indirect owner(s)) for such taxable period that is attributable to the taxable income of the Company, in an amount not to exceed the product of (x) 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indirect) equity owner of the Company for the taxable period in question and (y) the taxable income of the Company for such period, reduced by all taxable losses of the Company with respect to any prior taxable year of the Company to the extent such losses were not previously taken into account for purposes of computing distributions permitted under this clause (16)(b) and such losses are of a character that would permit such losses to be deducted by the direct or indirect owners of the Company against the current taxable income of the Company; </w:t>
      </w:r>
      <w:r>
        <w:rPr>
          <w:rFonts w:ascii="Times New Roman;serif" w:hAnsi="Times New Roman;serif"/>
          <w:b w:val="false"/>
          <w:i/>
          <w:sz w:val="22"/>
        </w:rPr>
        <w:t>provided further</w:t>
      </w:r>
      <w:r>
        <w:rPr>
          <w:rFonts w:ascii="Times New Roman;serif" w:hAnsi="Times New Roman;serif"/>
          <w:b w:val="false"/>
          <w:sz w:val="22"/>
        </w:rPr>
        <w:t>, that such Restricted Payments shall be made without duplication of taxes paid by the Company or its Subsidiaries and shall be permitted with respect to any taxes attributable to the taxable income of any Unrestricted Subsidiary for any taxable period to the extent of amounts actually paid or distributed with respect to such period by such Unrestricted Subsidiary to the Company or any of its Restricted Subsidiaries for the purpose of making Restricted Payments with respect to such taxes (any distributions permitted under this clause 16(b) collectively, “</w:t>
      </w:r>
      <w:r>
        <w:rPr>
          <w:rFonts w:ascii="Times New Roman;serif" w:hAnsi="Times New Roman;serif"/>
          <w:b w:val="false"/>
          <w:sz w:val="22"/>
          <w:u w:val="single"/>
        </w:rPr>
        <w:t>Tax Distributions</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customary salary, bonus and other benefits payable to employees, directors, officers and managers of any direct or indirect parent company of the Company to the extent such salaries, bonuses and other benefits are attributable to the ownership or operation of the Company and its 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general corporate operating and overhead costs and expenses of any direct or indirect parent company of the Company to the extent such costs and expenses are attributable to the ownership or operation of the Company and its 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fees and expenses other than to Affiliates of the Company related to any equity or debt offering of such parent entity (whether or not successful);</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reasonable and customary indemnification claims made by members of the board of directors or officers, employees, directors, managers, consultants or independent contractors of such parent entity attributable to the ownership or operations of the Company and its 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fees and expenses (x) due and payable by the Company and its Restricted Subsidiaries related to the Transactions and (y) otherwise permitted to be paid by the Company and any Restricted Subsidiaries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to the extent constituting a Restricted Payment, amounts due and payable pursuant to the Sponsor Management Agreement or any other investor management agreement entered into with the Investors after the Completion Date, which agreement shall be on terms not materially less favorable to the Company and its Restricted Subsidiaries than the terms of the Sponsor Management Agreement in effect on the Completion Date;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to finance any Investment that, if made by the Company, would be permitted by this Indenture;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(A) such Restricted Payment shall be made substantially concurrently with the closing of such Investment and (B) such direct or indirect parent company shall, immediately following the closing thereof, cause (1) all property acquired (whether assets or Equity Interests but not including any loans or advances made pursuant to clause (17) of the definition of “Permitted Investments”) to be contributed to the Company or its Restricted Subsidiaries or (2) the Person formed or acquired to merge into or amalgamate or consolidate with the Company or any of the Restricted Subsidiaries to the extent such merger, amalgamation or consolidation is permitted under the Section 5.01 hereof in order to consummate such Investment (any such property or assets so contributed, merged or amalgamated shall constitute “</w:t>
      </w:r>
      <w:r>
        <w:rPr>
          <w:rFonts w:ascii="Times New Roman;serif" w:hAnsi="Times New Roman;serif"/>
          <w:b w:val="false"/>
          <w:sz w:val="22"/>
          <w:u w:val="single"/>
        </w:rPr>
        <w:t>Contributed Holdings Investments</w:t>
      </w:r>
      <w:r>
        <w:rPr>
          <w:rFonts w:ascii="Times New Roman" w:hAnsi="Times New Roman"/>
          <w:sz w:val="20"/>
        </w:rPr>
        <w:t xml:space="preserve">” </w:t>
      </w:r>
      <w:r>
        <w:rPr>
          <w:rFonts w:ascii="Times New Roman;serif" w:hAnsi="Times New Roman;serif"/>
          <w:b w:val="false"/>
          <w:sz w:val="22"/>
        </w:rPr>
        <w:t>and shall be disregarded for purposes of determining any amount calculated under this Indenture with respect to contributions to the capital of the Company or any of its Restricted Subsidiaries);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(j) amounts that would otherwise be permitted to be paid pursuant to clauses (3), (4), (7), (11), (12), (15) and (18) of Section 4.11(b)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(17) the distribution, by dividend or otherwise, of shares of Equity Interests of, or Indebtedness owed to direct and indirect parent companies of the Company, the Company or any Restricted Subsidiary by, Unrestricted Subsidiaries (or a Restricted Subsidiary that owns one or more Unrestricted Subsidiaries and no other material assets) (other than Unrestricted Subsidiaries, the primary assets of which are cash and/or Cash Equivalents);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(18) payments in respect of taxes or in respect of any surrender or reallocation of tax reliefs in each case between or among the Company and any Restricted Subsidiary;</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(19) any other Restricted Payment;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(i) on a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basis after giving effect to such Restricted Payment, the Senior Secured First Lien Net Leverage Ratio is equal to or less than 4.10:1.00 and (ii) no Specified Event of Default shall have occurred and be continuing or would result therefrom;</w:t>
      </w:r>
    </w:p>
    <w:p>
      <w:pPr>
        <w:pStyle w:val="TextBody"/>
        <w:bidi w:val="0"/>
        <w:spacing w:before="0" w:after="240"/>
        <w:jc w:val="left"/>
        <w:rPr>
          <w:rFonts w:ascii="Times New Roman" w:hAnsi="Times New Roman"/>
          <w:sz w:val="20"/>
        </w:rPr>
      </w:pPr>
      <w:r>
        <w:rPr>
          <w:rFonts w:ascii="Times New Roman;serif" w:hAnsi="Times New Roman;serif"/>
          <w:b w:val="false"/>
          <w:sz w:val="22"/>
        </w:rPr>
        <w:t>(20) redemptions in whole or in part of any of their Equity Interests for another class of its Equity Interests (other than Disqualified Stock) or with proceeds from substantially concurrent equity contributions or issuances of new Equity Interests;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(21) payments to the Company or direct and indirect parent companies of the Company to permit such Person to (a) pay cash in lieu of fractional Equity Interests in connection with any dividend, split or combination thereof or any Investment permitted under this Indenture and (b)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0" w:after="240"/>
        <w:jc w:val="left"/>
        <w:rPr>
          <w:rFonts w:ascii="Times New Roman" w:hAnsi="Times New Roman"/>
          <w:sz w:val="20"/>
        </w:rPr>
      </w:pPr>
      <w:r>
        <w:rPr>
          <w:rFonts w:ascii="Times New Roman;serif" w:hAnsi="Times New Roman;serif"/>
          <w:b w:val="false"/>
          <w:sz w:val="22"/>
        </w:rPr>
        <w:t>(22) payments or distributions to dissenting stockholders pursuant to applicable law, pursuant to or in connection with a consolidation, merger or transfer of all or substantially all of the assets of the Company and its Restricted Subsidiaries, taken as a whole, that complies with Section 5.01 hereof;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(23) the conversion of any Subordinated Indebtedness to Equity Interests (other than Disqualified Stock) of the Company or any of its direct or indirect parent companies, and any payment that is intended to prevent any Subordinated Indebtedness from being treated as an “applicable high yield discount obligation” within the meaning of Section 163(i)(1) of the Code;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(24) mandatory redemptions of Disqualified Stock issued as a Restricted Payment or as consideration for a Permitted Investment; and</w:t>
      </w:r>
    </w:p>
    <w:p>
      <w:pPr>
        <w:pStyle w:val="TextBody"/>
        <w:bidi w:val="0"/>
        <w:spacing w:before="0" w:after="240"/>
        <w:jc w:val="left"/>
        <w:rPr>
          <w:rFonts w:ascii="Times New Roman" w:hAnsi="Times New Roman"/>
          <w:sz w:val="20"/>
        </w:rPr>
      </w:pPr>
      <w:r>
        <w:rPr>
          <w:rFonts w:ascii="Times New Roman;serif" w:hAnsi="Times New Roman;serif"/>
          <w:b w:val="false"/>
          <w:sz w:val="22"/>
        </w:rPr>
        <w:t>(25) any Restricted Payment made in connection with a Permitted Intercompany Activity, Permitted Tax Restructuring or related transactions.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For purposes of determining compliance with this Section 4.07, in the event that a proposed Restricted Payment (or a portion thereof) meets the criteria of clauses (1) through (25) of Section 4.07(b) hereof or is entitled to be made pursuant to Section 4.07(a) hereof and/or one or more of the clauses contained in the definition of “Permitted Investments,” the Company shall be entitled to classify or later reclassify (based on circumstances existing on the date of such reclassification) such Restricted Payment or Investment (or portion thereof) between such clauses (1) through (25) of Section 4.07(b) hereof and Section 4.07(a) hereof and/or one or more of the clauses contained in the definition of “Permitted Investments,” in a manner that otherwise complies with this Section 4.07.</w:t>
      </w:r>
    </w:p>
    <w:p>
      <w:pPr>
        <w:pStyle w:val="TextBody"/>
        <w:bidi w:val="0"/>
        <w:spacing w:before="0" w:after="240"/>
        <w:jc w:val="left"/>
        <w:rPr>
          <w:rFonts w:ascii="Times New Roman" w:hAnsi="Times New Roman"/>
          <w:sz w:val="20"/>
        </w:rPr>
      </w:pPr>
      <w:r>
        <w:rPr>
          <w:rFonts w:ascii="Times New Roman;serif" w:hAnsi="Times New Roman;serif"/>
          <w:b w:val="false"/>
          <w:sz w:val="22"/>
        </w:rPr>
        <w:t>The Company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Company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and/or Permitted Investment in such amount would be permitted at such time, and if such Subsidiary otherwise meets the definition of an Unrestricted Subsidiary.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pStyle w:val="TextBody"/>
        <w:bidi w:val="0"/>
        <w:spacing w:before="0" w:after="240"/>
        <w:jc w:val="left"/>
        <w:rPr>
          <w:rFonts w:ascii="Times New Roman" w:hAnsi="Times New Roman"/>
          <w:sz w:val="20"/>
        </w:rPr>
      </w:pPr>
      <w:r>
        <w:rPr>
          <w:rFonts w:ascii="Times New Roman;serif" w:hAnsi="Times New Roman;serif"/>
          <w:b w:val="false"/>
          <w:sz w:val="22"/>
        </w:rPr>
        <w:t>In connection with any commitment, definitive agreement or similar event relating to an Investment, the Company or applicable Restricted Subsidiary may designate such Investment as having occurred on the date of the commitment, definitive agreement or similar event relating thereto (such date,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the “</w:t>
      </w:r>
      <w:r>
        <w:rPr>
          <w:rFonts w:ascii="Times New Roman;serif" w:hAnsi="Times New Roman;serif"/>
          <w:b w:val="false"/>
          <w:sz w:val="22"/>
          <w:u w:val="single"/>
        </w:rPr>
        <w:t>Election Date</w:t>
      </w:r>
      <w:r>
        <w:rPr>
          <w:rFonts w:ascii="Times New Roman" w:hAnsi="Times New Roman"/>
          <w:sz w:val="20"/>
        </w:rPr>
        <w:t>”</w:t>
      </w:r>
      <w:r>
        <w:rPr>
          <w:rFonts w:ascii="Times New Roman;serif" w:hAnsi="Times New Roman;serif"/>
          <w:b w:val="false"/>
          <w:sz w:val="22"/>
        </w:rPr>
        <w:t>)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this Indenture, and any related subsequent actual making of such Investment will be deemed for all purposes under this Indenture to have been made on such Election Date, including for purposes of the calculation of any ratio, compliance with any test, usage of any baskets hereunder (if applicable) and the calculation of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Company or a Restricted Subsidiary makes a Restricted Payment which at the time of the making of such Restricted Payment would in the good faith determination of the Company be permitted under the provisions of this Indenture, such Restricted Payment shall be deemed to have been made in compliance with this Indenture notwithstanding any subsequent adjustments made in good faith to the Company’s financial statements affecting Consolidated Net Income or Consolidated EBITDA of the Company for any period.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4.08 Dividend and Other Payment Restrictions Affecting Restricted Subsidiaries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Company shall not, and shall not permit any of its Non-Guarantor Subsidiaries to, directly or indirectly, create or otherwise cause or suffer to exist or become effective any consensual encumbrance or consensual restriction on the ability of any such Restricted Subsidiary to:</w:t>
      </w:r>
    </w:p>
    <w:p>
      <w:pPr>
        <w:pStyle w:val="TextBody"/>
        <w:bidi w:val="0"/>
        <w:spacing w:before="0" w:after="240"/>
        <w:jc w:val="left"/>
        <w:rPr>
          <w:rFonts w:ascii="Times New Roman" w:hAnsi="Times New Roman"/>
          <w:sz w:val="20"/>
        </w:rPr>
      </w:pPr>
      <w:r>
        <w:rPr>
          <w:rFonts w:ascii="Times New Roman;serif" w:hAnsi="Times New Roman;serif"/>
          <w:b w:val="false"/>
          <w:sz w:val="22"/>
        </w:rPr>
        <w:t>(1) (A) pay dividends or make any other distributions to the Company or any of its Restricted Subsidiaries on its Capital Stock or with respect to any other interest or participation in, or measured by, its profits,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pay any Indebtedness owed to the Company, the Issuers or any of its Non-Guarantor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make loans or advances to the Company, the Issuers or any of its Restricted Subsidiaries;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sell, lease or transfer any of their properties or assets to the Company, the Issuers or any of its Non-Guarantor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restrictions contained in Section 4.08(a) hereof shall not apply to encumbrances or restrictions existing under or by reason 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contractual encumbrances or restrictions in effect on the Completion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contractual encumbrances or restrictions included in the Senior Credit Facilities and the related documentation and related Hedging Obligations;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the Notes Documents;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purchase money obligations for property acquired in the ordinary course of business and Capitalized Lease Obligations that impose restrictions of the nature discussed in clause (3) of Section 4.08(a) hereof on the property so acquired;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applicable law or any applicable rule, regulation or order;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any agreement or other instrument of a Person acquired by or merged or consolidated with or into the Company or any of its Restricted Subsidiaries in existence at the time of such acquisition or at the time it merges with or into the Company or any of its Restricted Subsidiaries or assumed in connection with the acquisition of assets from such Person (but, in any such case, not created in contemplation thereof), which encumbrance or restriction or condition set forth in such agreement is not applicable to any Person, or the properties or assets of any Person, other than the Person and its Subsidiaries, or the property or assets of the Person and its Subsidiaries, so acquired or the property or assets assumed;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contracts for the sale of assets or the sale of a Subsidiary, including customary restrictions with respect to a Subsidiary of the Company pursuant to an agreement that has been entered into for the sale or disposition of all or substantially all of the Capital Stock or assets of such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Secured Indebtedness otherwise permitted to be incurred pursuant to Section 4.09 hereof and Section 4.12 hereof that limit the right of the debtor to dispose of the assets securing such Indebtedness;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(9) restrictions on cash (or Cash Equivalents) or other deposits or restrictions on net worth imposed by customers, in each case, under contracts entered into in the ordinary course of business;</w:t>
      </w:r>
    </w:p>
    <w:p>
      <w:pPr>
        <w:pStyle w:val="TextBody"/>
        <w:bidi w:val="0"/>
        <w:spacing w:before="0" w:after="240"/>
        <w:jc w:val="left"/>
        <w:rPr>
          <w:rFonts w:ascii="Times New Roman" w:hAnsi="Times New Roman"/>
          <w:sz w:val="20"/>
        </w:rPr>
      </w:pPr>
      <w:r>
        <w:rPr>
          <w:rFonts w:ascii="Times New Roman;serif" w:hAnsi="Times New Roman;serif"/>
          <w:b w:val="false"/>
          <w:sz w:val="22"/>
        </w:rPr>
        <w:t>(10) other Indebtedness, Disqualified Stock or Preferred Stock of Foreign Subsidiaries permitted to be incurred subsequent to the Completion Date pursuant to the provisions of Section 4.09 hereof;</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customary provisions in joint venture agreements or arrangements and other similar agreements relating to such joint venture;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(12) customary provisions contained in leases, sub-leases, licenses, sub-licenses, asset sale agreements or similar agreements, including with respect to intellectual property and other agreements, in each case, (i) entered into in the ordinary course of business or (ii) otherwise permitted under this Indenture so long as such restrictions relate only to the assets subject thereto;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(13) restrictions created in connection with any Receivables Facility that, in the good faith determination of the Company, are necessary or advisable to effect such Receivables Facility;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(14) restrictions on cash (or Cash Equivalents) or other deposits imposed by agreements entered into in the ordinary course of business (or other restrictions on cash or deposits constituting Permitted Liens);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(15) customary provisions restricting subletting or assignment of any lease governing a leasehold interest of direct or indirect parent companies of the Company, the Company or any Restricted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(16) customary net worth provisions contained in real property leases entered into by Subsidiaries, so long as the Company has determined in good faith that such net worth provisions could not reasonably be expected to impair the ability of the Company and its Subsidiaries to meet their ongoing obligations;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(17) restrictions or conditions contained in any trading, netting, operating, construction, service, supply, purchase, sale or other agreement to which the Company or any of its Restricted Subsidiaries is a party entered into in the ordinary course of business; </w:t>
      </w:r>
      <w:r>
        <w:rPr>
          <w:rFonts w:ascii="Times New Roman;serif" w:hAnsi="Times New Roman;serif"/>
          <w:b w:val="false"/>
          <w:i/>
          <w:sz w:val="22"/>
        </w:rPr>
        <w:t xml:space="preserve">provided </w:t>
      </w:r>
      <w:r>
        <w:rPr>
          <w:rFonts w:ascii="Times New Roman;serif" w:hAnsi="Times New Roman;serif"/>
          <w:b w:val="false"/>
          <w:sz w:val="22"/>
        </w:rPr>
        <w:t>that such agreement prohibits the encumbrance of solely the property or assets of the Company or such Restricted Subsidiary that are the subject of such agreement, the payment rights arising thereunder or the proceeds thereof and does not extend to any other asset or property of the Company or such Restricted Subsidiary or the assets or property of another Restricted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(18) any encumbrance or restriction arising pursuant to an agreement or instrument which, if it relates to any Indebtedness, shall only be permitted if such Indebtedness is permitted to be incurred pursuant to Section 4.09 hereof if the encumbrances and restrictions contained in any such agreement or instrument taken as a whole (i) are not materially less favorable to the Holders than the encumbrances and restrictions contained in the Senior Credit Facilities, together with the security documents associated therewith as in effect on the Completion Date (as determined by the Company) or (ii) either (A) the Company determines at the time of entry into such agreement or instrument that such encumbrances or restrictions shall not adversely affect, in any material respect, the Company’s ability to make principal or interest payments on the Notes or (B) such encumbrance or restriction applies only during the continuance of a default relating to such agreement or instrument;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(19) any encumbrance or restriction with respect to a Guarantor or a Foreign Subsidiary or Receivables Subsidiary which was previously an Unrestricted Subsidiary pursuant to or by reason of an agreement that such Subsidiary is a party to or entered into before the date on which such Subsidiary became a Restricted Subsidiary; </w:t>
      </w:r>
      <w:r>
        <w:rPr>
          <w:rFonts w:ascii="Times New Roman;serif" w:hAnsi="Times New Roman;serif"/>
          <w:b w:val="false"/>
          <w:i/>
          <w:sz w:val="22"/>
        </w:rPr>
        <w:t xml:space="preserve">provided </w:t>
      </w:r>
      <w:r>
        <w:rPr>
          <w:rFonts w:ascii="Times New Roman;serif" w:hAnsi="Times New Roman;serif"/>
          <w:b w:val="false"/>
          <w:sz w:val="22"/>
        </w:rPr>
        <w:t>that such agreement was not entered into in anticipation of an Unrestricted Subsidiary becoming a Restricted Subsidiary and any such encumbrance or restriction does not extend to any assets or property of the Company or any other Restricted Subsidiary other than the assets and property of such Subsidiary; and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(20) any encumbrances or restrictions of the type referred to in clauses (1), (2) and (3) of Section 4.08(a) hereof imposed by any amendments, extensions, modifications, restatements, renewals, increases, supplements, refundings, replacements or refinancings of the contracts, instruments or obligations referred to in clauses (1) through (19) of this Section 4.08(b);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such amendments, extensions, modifications, restatements, renewals, increases, supplements, refundings, replacements or refinancings are, in the good faith judgment of the Company, no more restrictive in any material respect with respect to such encumbrance and other restrictions taken as a whole than those prior to such amendment, modification, restatement, renewal, increase, supplement, refunding, replacement or refinancing.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4.09 Limitation on Incurrence of Indebtedness and Issuance of Disqualified Stock and Preferred Stock</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The Company shall not, and shall not permit any of its Restricted Subsidiaries to create, incur, issue, assume, guarantee or otherwise become liable, contingently or otherwise (collectively, “</w:t>
      </w:r>
      <w:r>
        <w:rPr>
          <w:rFonts w:ascii="Times New Roman;serif" w:hAnsi="Times New Roman;serif"/>
          <w:b w:val="false"/>
          <w:sz w:val="22"/>
          <w:u w:val="single"/>
        </w:rPr>
        <w:t>incur</w:t>
      </w:r>
      <w:r>
        <w:rPr>
          <w:rFonts w:ascii="Times New Roman" w:hAnsi="Times New Roman"/>
          <w:sz w:val="20"/>
        </w:rPr>
        <w:t xml:space="preserve">” </w:t>
      </w:r>
      <w:r>
        <w:rPr>
          <w:rFonts w:ascii="Times New Roman;serif" w:hAnsi="Times New Roman;serif"/>
          <w:b w:val="false"/>
          <w:sz w:val="22"/>
        </w:rPr>
        <w:t>and collectively, an “</w:t>
      </w:r>
      <w:r>
        <w:rPr>
          <w:rFonts w:ascii="Times New Roman;serif" w:hAnsi="Times New Roman;serif"/>
          <w:b w:val="false"/>
          <w:sz w:val="22"/>
          <w:u w:val="single"/>
        </w:rPr>
        <w:t>incurrence</w:t>
      </w:r>
      <w:r>
        <w:rPr>
          <w:rFonts w:ascii="Times New Roman" w:hAnsi="Times New Roman"/>
          <w:sz w:val="20"/>
        </w:rPr>
        <w:t>”</w:t>
      </w:r>
      <w:r>
        <w:rPr>
          <w:rFonts w:ascii="Times New Roman;serif" w:hAnsi="Times New Roman;serif"/>
          <w:b w:val="false"/>
          <w:sz w:val="22"/>
        </w:rPr>
        <w:t xml:space="preserve">) with respect to any Indebtedness (including Acquired Indebtedness) and the Company shall not issue any shares of Disqualified Stock and shall not permit any Restricted Subsidiary to issue any shares of Disqualified Stock or Preferred Stock;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the Company may incur Indebtedness (including Acquired Indebtedness) or issue shares of Disqualified Stock, and any of its Restricted Subsidiaries may incur Indebtedness (including Acquired Indebtedness), issue shares of Disqualified Stock and issue shares of Preferred Stock, if (A) the Total Net Leverage Ratio of the Company and the Restricted Subsidiaries (including for the purposes of such calculation any Indebtedness, Disqualified Stock or Preferred Stock that is unsecured or secured by assets that are not Collateral), after giving effect to the incurrence of such Indebtedness, Disqualified Stock or Preferred Stock, as applicable, and the use of proceeds thereof, shall not exceed 5.10 to 1.00 or (B) the Fixed Charge Coverage Ratio on a consolidated basis for the Company and its Restricted Subsidiaries’ most recently ended Test Period immediately preceding the date on which such additional Indebtedness is incurred or such Disqualified Stock or Preferred Stock is issued would have been at least 2.00 to 1.00, determined on a pro forma basis (including a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 xml:space="preserve">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i/>
          <w:sz w:val="22"/>
        </w:rPr>
        <w:t>further</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on a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basis, together with any amounts incurred or issued, as applicable, and outstanding by Non-Guarantor Subsidiaries pursuant to clauses (12)(b), (14)(a) and (18) of Section 4.09(b) hereof, no more than the greater of $750.0 million and 100.0% of LTM EBITDA for the most recently ended Test Period, of Indebtedness, Disqualified Stock or Preferred Stock at any one time outstanding and incurred or issued, as applicable, pursuant to this paragraph shall be incurred or issued, as applicable, by Non-Guarantor Subsidiaries;</w:t>
      </w:r>
      <w:r>
        <w:rPr>
          <w:rFonts w:ascii="Times New Roman" w:hAnsi="Times New Roman"/>
          <w:sz w:val="20"/>
        </w:rPr>
        <w:t xml:space="preserve">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i/>
          <w:sz w:val="22"/>
        </w:rPr>
        <w:t>however</w:t>
      </w:r>
      <w:r>
        <w:rPr>
          <w:rFonts w:ascii="Times New Roman" w:hAnsi="Times New Roman"/>
          <w:sz w:val="20"/>
        </w:rPr>
        <w:t xml:space="preserve"> </w:t>
      </w:r>
      <w:r>
        <w:rPr>
          <w:rFonts w:ascii="Times New Roman;serif" w:hAnsi="Times New Roman;serif"/>
          <w:b w:val="false"/>
          <w:sz w:val="22"/>
        </w:rPr>
        <w:t>that the foregoing limitation shall not apply to Indebtedness of any Person that becomes a Restricted Subsidiary in connection with an acquisition or any other Investment not prohibited by the provisions of the covenant described in Section 4.07 hereof (or of any Person not previously a Restricted Subsidiary that is merged or consolidated with or into the Company or a Restricted Subsidiary) if such Indebtedness is outstanding prior to such Person becoming a Restricted Subsidiary and to the extent such Indebtedness is not incurred in contemplation of such acquisition or Investment.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provisions of Section 4.09(a) hereof shall not apply to:</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the incurrence of Indebtedness under Credit Facilities by the Company or any of its Restricted Subsidiaries and Guarantees in respect of such Indebtedness and the issuance and creation of letters of credit and bankers’ acceptances thereunder (with letters of credit and bankers’ acceptances being deemed to have a principal amount equal to the face amount thereof);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immediately after giving effect to any such incurrence, the aggregate principal amount of all Indebtedness incurred under this clause (1) and outstanding at any one time does not exceed the sum of (a) $2,800.0 million </w:t>
      </w:r>
      <w:r>
        <w:rPr>
          <w:rFonts w:ascii="Times New Roman;serif" w:hAnsi="Times New Roman;serif"/>
          <w:b w:val="false"/>
          <w:i/>
          <w:sz w:val="22"/>
        </w:rPr>
        <w:t>plus</w:t>
      </w:r>
      <w:r>
        <w:rPr>
          <w:rFonts w:ascii="Times New Roman" w:hAnsi="Times New Roman"/>
          <w:sz w:val="20"/>
        </w:rPr>
        <w:t xml:space="preserve"> </w:t>
      </w:r>
      <w:r>
        <w:rPr>
          <w:rFonts w:ascii="Times New Roman;serif" w:hAnsi="Times New Roman;serif"/>
          <w:b w:val="false"/>
          <w:sz w:val="22"/>
        </w:rPr>
        <w:t>(b) $750.0 million;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the incurrence by the Company and any Guarantor of Indebtedness represented by the Notes issued on the Issue Date and any replacement Notes therefor (including any Guarantee thereof) (other than any Additional Notes);</w:t>
      </w:r>
    </w:p>
    <w:p>
      <w:pPr>
        <w:pStyle w:val="TextBody"/>
        <w:bidi w:val="0"/>
        <w:spacing w:before="0" w:after="240"/>
        <w:jc w:val="left"/>
        <w:rPr>
          <w:rFonts w:ascii="Times New Roman" w:hAnsi="Times New Roman"/>
          <w:sz w:val="20"/>
        </w:rPr>
      </w:pPr>
      <w:r>
        <w:rPr>
          <w:rFonts w:ascii="Times New Roman;serif" w:hAnsi="Times New Roman;serif"/>
          <w:b w:val="false"/>
          <w:sz w:val="22"/>
        </w:rPr>
        <w:t>(3) Indebtedness of the Company and its Restricted Subsidiaries in existence on the Completion Date (other than Indebtedness described in clauses (1) and (2) of this Section 4.09(b));</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(4) Indebtedness (including Capitalized Lease Obligations), Disqualified Stock and Preferred Stock incurred by the Company or any of its Restricted Subsidiaries, to finance the purchase, lease or improvement of property (real or personal), equipment or other assets that, in each case, are used or useful in a Similar Business, whether through the direct purchase of assets or the Capital Stock of any Person owning such assets;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at the time of any such incurrence of Indebtedness, Disqualified Stock or Preferred Stock (and after giving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effect thereto), the aggregate amount of Indebtedness, Disqualified Stock and Preferred Stock incurred pursuant to this clause (4), when aggregated with the outstanding amount of Refinancing Indebtedness in respect of Indebtedness, Disqualified Stock and Preferred Stock initially incurred in reliance on this clause (4), does not exceed the greater of $300.0 million and 40.0% of LTM EBITDA for the most recently ended Test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Indebtedness incurred by the Company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w:t>
      </w:r>
    </w:p>
    <w:p>
      <w:pPr>
        <w:pStyle w:val="TextBody"/>
        <w:bidi w:val="0"/>
        <w:spacing w:before="0" w:after="240"/>
        <w:jc w:val="left"/>
        <w:rPr>
          <w:rFonts w:ascii="Times New Roman" w:hAnsi="Times New Roman"/>
          <w:sz w:val="20"/>
        </w:rPr>
      </w:pPr>
      <w:r>
        <w:rPr>
          <w:rFonts w:ascii="Times New Roman;serif" w:hAnsi="Times New Roman;serif"/>
          <w:b w:val="false"/>
          <w:sz w:val="22"/>
        </w:rPr>
        <w:t>(6)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the Acquisition, any acquisition or other investment or any disposition, in each case, not prohibited hereunder;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(7) Indebtedness of the Company owing to a Restricted Subsidiary;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any such Indebtedness owing to a Non-Guarantor Subsidiary is expressly subordinated in right of payment to the Notes (but only to the extent permitted by applicable law and not giving rise to adverse tax consequences);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i/>
          <w:sz w:val="22"/>
        </w:rPr>
        <w:t>further</w:t>
      </w:r>
      <w:r>
        <w:rPr>
          <w:rFonts w:ascii="Times New Roman;serif" w:hAnsi="Times New Roman;serif"/>
          <w:b w:val="false"/>
          <w:sz w:val="22"/>
        </w:rPr>
        <w:t>, that any subsequent issuance or transfer of any Capital Stock or any other event that results in any such Restricted Subsidiary ceasing to be a Restricted Subsidiary or any other subsequent transfer of any such Indebtedness (except to the Company or another Restricted Subsidiary or any pledge of such Indebtedness constituting a Permitted Lien (but not foreclosure thereon)) shall be deemed, in each case, to be an incurrence of such Indebtedness not permitted by this clause (7);</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(8) Indebtedness of a Restricted Subsidiary owing to the Company or another Restricted Subsidiary;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any such Indebtedness owing to a Non-Guarantor Subsidiary is expressly subordinated in right of payment to the Notes (but only to the extent permitted by applicable law and not giving rise to adverse tax consequences);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i/>
          <w:sz w:val="22"/>
        </w:rPr>
        <w:t>further</w:t>
      </w:r>
      <w:r>
        <w:rPr>
          <w:rFonts w:ascii="Times New Roman;serif" w:hAnsi="Times New Roman;serif"/>
          <w:b w:val="false"/>
          <w:sz w:val="22"/>
        </w:rPr>
        <w:t>, that any subsequent transfer of any such Indebtedness (except to the Company or another Restricted Subsidiary or any pledge of such Indebtedness constituting a Permitted Lien (but not foreclosure thereon)) shall be deemed, in each case, to be an incurrence of such Indebtedness not permitted by this clause (8);</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(9) shares of Preferred Stock of a Restricted Subsidiary issued to the Company or another Restricted Subsidiary,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any subsequent issuance or transfer of any Capital Stock or any other event which results in any such Restricted Subsidiary ceasing to be a Restricted Subsidiary or any other subsequent transfer of any such shares of Preferred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(except to the Company or another of its Restricted Subsidiaries) shall be deemed in each case to be an issuance of such shares of Preferred Stock not permitted by this clause (9);</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Hedging Obligations incurred not for speculative purposes;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obligations in respect of self-insurance and obligations in respect of performance, bid, appeal and surety bonds, performance and completion guarantees, statutory, export or import indemnities, customs and completion guarantees (not for borrowed money) and similar obligations provided by the Company or any of its Restricted Subsidiaries or obligations in respect of letters of credit, bank guarantees or similar instruments related thereto, in each case, in the ordinary course of business or consistent with past practice;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(12) (a) Indebtedness, Disqualified Stock or Preferred Stock of the Company or any Restricted Subsidiary equal to 200.0% of the net cash proceeds received by the Company since immediately after the Completion Date from the issue or sale of Equity Interests of the Company or cash contributed to the capital of the Company or any Restricted Subsidiary (in each case, other than Excluded Contributions or proceeds of Disqualified Stock or sales of Equity Interests to the Company or any of its Subsidiaries) as determined in accordance with clauses (3)(b) and (3)(c) of Section 4.07(a) hereof to the extent such net cash proceeds or cash have not been applied pursuant to such clauses to make Restricted Payments or to make other Investments, payments or exchanges pursuant to Section 4.07(b) hereof or to make Permitted Investments (other than Permitted Investments specified in clauses (1) and (3) of the definition thereof) and (b) Indebtedness, Disqualified Stock or Preferred Stock of the Company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(12)(b) and the outstanding amount of Indebtedness, Disqualified Stock or Preferred Stock of the Company or any Restricted Subsidiary which serves to refinance any Indebtedness, Disqualified Stock or Preferred Stock incurred as permitted under this clause (12)(b) or any Indebtedness, Disqualified Stock or Preferred Stock issued to so refund or refinance such Indebtedness, Disqualified Stock or Preferred Stock, does not, at the time of any such incurrence of Indebtedness (and after giving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 xml:space="preserve">effect thereto), exceed the sum of (x) the greater of $450.0 million and 60.0% of LTM EBITDA for the most recently ended Test Period and (y) an additional amount of Indebtedness in lieu of Restricted Payments permitted under Section 4.07 hereof (it being understood that such Indebtedness shall be deemed a Restricted Payment for purposes of compliance with Section 4.07 hereof) (it being understood that any Indebtedness, Disqualified Stock or Preferred Stock incurred pursuant to this clause (12)(b) shall cease to be deemed incurred or outstanding for purposes of this clause (12)(b) but shall be deemed incurred for the purposes of Section 4.09(a) hereof from and after the first date on which the Company or such Restricted Subsidiary could have incurred such Indebtedness, Disqualified Stock or Preferred Stock under Section 4.09(a) hereof without reliance on this clause (12)(b));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such Indebtedness, Disqualified Stock or Preferred Stock incurred pursuant to this clause (12)(b) may be secured by a Lien on the Collateral that is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 xml:space="preserve">with the Lien securing the Secured Obligations, secured by a Lien on the Collateral that is junior to the Lien securing the Secured Obligations, or may be unsecured or secured by assets that are not Collateral to the extent that such Lien is permitted under Section 4.12 hereof; </w:t>
      </w:r>
      <w:r>
        <w:rPr>
          <w:rFonts w:ascii="Times New Roman;serif" w:hAnsi="Times New Roman;serif"/>
          <w:b w:val="false"/>
          <w:i/>
          <w:sz w:val="22"/>
        </w:rPr>
        <w:t>provided, further</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together with any amounts incurred or issued, as applicable, and outstanding by Non-Guarantor Subsidiaries pursuant to the second proviso in Section 4.09(a) hereof and clauses (14)(a) and (18) of this Section 4.09(b), no more than the greater of $750.0 million and 100.0% of LTM EBITDA for the most recently ended Test Period, of Indebtedness, Disqualified Stock or Preferred Stock at any one time outstanding and incurred or issued, as applicable, pursuant to this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clause (12)(b) shall be incurred or issued, as applicable by Non-Guarantor Subsidiaries;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 w:hAnsi="Times New Roman"/>
          <w:sz w:val="20"/>
        </w:rPr>
        <w:t xml:space="preserve"> </w:t>
      </w:r>
      <w:r>
        <w:rPr>
          <w:rFonts w:ascii="Times New Roman;serif" w:hAnsi="Times New Roman;serif"/>
          <w:b w:val="false"/>
          <w:sz w:val="22"/>
        </w:rPr>
        <w:t>that the foregoing limitation shall not apply to Indebtedness of any Person that becomes a Restricted Subsidiary in connection with an acquisition or any other Investment not prohibited by Section 4.07 hereof (or of any Person not previously a Restricted Subsidiary that is merged or consolidated with or into the Company or a Restricted Subsidiary) if such Indebtedness is outstanding prior to such Person becoming a Restricted Subsidiary and to the extent such Indebtedness is not incurred in contemplation of such acquisition or Investment;</w:t>
      </w:r>
    </w:p>
    <w:p>
      <w:pPr>
        <w:pStyle w:val="TextBody"/>
        <w:bidi w:val="0"/>
        <w:spacing w:before="0" w:after="240"/>
        <w:jc w:val="left"/>
        <w:rPr>
          <w:rFonts w:ascii="Times New Roman" w:hAnsi="Times New Roman"/>
          <w:sz w:val="20"/>
        </w:rPr>
      </w:pPr>
      <w:r>
        <w:rPr>
          <w:rFonts w:ascii="Times New Roman;serif" w:hAnsi="Times New Roman;serif"/>
          <w:b w:val="false"/>
          <w:sz w:val="22"/>
        </w:rPr>
        <w:t>(13) the incurrence by the Company or any Restricted Subsidiary of Indebtedness or issuance by the Company or any Restricted Subsidiary, of the Company of Indebtedness, Disqualified Stock or Preferred Stock of the Company or any Restricted Subsidiary which serves to refund, refinance, replace, renew, extend or defease (collectively, “</w:t>
      </w:r>
      <w:r>
        <w:rPr>
          <w:rFonts w:ascii="Times New Roman;serif" w:hAnsi="Times New Roman;serif"/>
          <w:b w:val="false"/>
          <w:sz w:val="22"/>
          <w:u w:val="single"/>
        </w:rPr>
        <w:t>refinance</w:t>
      </w:r>
      <w:r>
        <w:rPr>
          <w:rFonts w:ascii="Times New Roman" w:hAnsi="Times New Roman"/>
          <w:sz w:val="20"/>
        </w:rPr>
        <w:t xml:space="preserve">” </w:t>
      </w:r>
      <w:r>
        <w:rPr>
          <w:rFonts w:ascii="Times New Roman;serif" w:hAnsi="Times New Roman;serif"/>
          <w:b w:val="false"/>
          <w:sz w:val="22"/>
        </w:rPr>
        <w:t>and “</w:t>
      </w:r>
      <w:r>
        <w:rPr>
          <w:rFonts w:ascii="Times New Roman;serif" w:hAnsi="Times New Roman;serif"/>
          <w:b w:val="false"/>
          <w:sz w:val="22"/>
          <w:u w:val="single"/>
        </w:rPr>
        <w:t>refinances</w:t>
      </w:r>
      <w:r>
        <w:rPr>
          <w:rFonts w:ascii="Times New Roman;serif" w:hAnsi="Times New Roman;serif"/>
          <w:b w:val="false"/>
          <w:sz w:val="22"/>
        </w:rPr>
        <w:t>,” with “</w:t>
      </w:r>
      <w:r>
        <w:rPr>
          <w:rFonts w:ascii="Times New Roman;serif" w:hAnsi="Times New Roman;serif"/>
          <w:b w:val="false"/>
          <w:sz w:val="22"/>
          <w:u w:val="single"/>
        </w:rPr>
        <w:t>refinanced</w:t>
      </w:r>
      <w:r>
        <w:rPr>
          <w:rFonts w:ascii="Times New Roman" w:hAnsi="Times New Roman"/>
          <w:sz w:val="20"/>
        </w:rPr>
        <w:t xml:space="preserve">” </w:t>
      </w:r>
      <w:r>
        <w:rPr>
          <w:rFonts w:ascii="Times New Roman;serif" w:hAnsi="Times New Roman;serif"/>
          <w:b w:val="false"/>
          <w:sz w:val="22"/>
        </w:rPr>
        <w:t>and “</w:t>
      </w:r>
      <w:r>
        <w:rPr>
          <w:rFonts w:ascii="Times New Roman;serif" w:hAnsi="Times New Roman;serif"/>
          <w:b w:val="false"/>
          <w:sz w:val="22"/>
          <w:u w:val="single"/>
        </w:rPr>
        <w:t>refinancing</w:t>
      </w:r>
      <w:r>
        <w:rPr>
          <w:rFonts w:ascii="Times New Roman" w:hAnsi="Times New Roman"/>
          <w:sz w:val="20"/>
        </w:rPr>
        <w:t xml:space="preserve">” </w:t>
      </w:r>
      <w:r>
        <w:rPr>
          <w:rFonts w:ascii="Times New Roman;serif" w:hAnsi="Times New Roman;serif"/>
          <w:b w:val="false"/>
          <w:sz w:val="22"/>
        </w:rPr>
        <w:t>having a correlative meaning) any Indebtedness, incurred or Disqualified Stock or Preferred Stock issued as permitted under Section 4.09(a) hereof and clauses (2), (3), (4) and (12) of this Section 4.09(b), this clause (13) and clause (18) of this Section 4.09(b) or any Indebtedness incurred or Disqualified Stock or Preferred Stock issued to so extend, replace, refund, refinance, renew or defease such Indebtedness, Disqualified Stock or Preferred Stock including additional Indebtedness, Disqualified Stock or Preferred Stock incurred to pay premiums (including reasonable tender premiums), defeasance costs and fees in connection therewith (the “</w:t>
      </w:r>
      <w:r>
        <w:rPr>
          <w:rFonts w:ascii="Times New Roman;serif" w:hAnsi="Times New Roman;serif"/>
          <w:b w:val="false"/>
          <w:sz w:val="22"/>
          <w:u w:val="single"/>
        </w:rPr>
        <w:t>Refinancing Indebtedness</w:t>
      </w:r>
      <w:r>
        <w:rPr>
          <w:rFonts w:ascii="Times New Roman" w:hAnsi="Times New Roman"/>
          <w:sz w:val="20"/>
        </w:rPr>
        <w:t>”</w:t>
      </w:r>
      <w:r>
        <w:rPr>
          <w:rFonts w:ascii="Times New Roman;serif" w:hAnsi="Times New Roman;serif"/>
          <w:b w:val="false"/>
          <w:sz w:val="22"/>
        </w:rPr>
        <w:t xml:space="preserve">) prior to its respective maturity;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such Refinancing Indebtedness: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to the extent such Refinancing Indebtedness extends, replaces, refunds, refinances, renews or defeases (i) Indebtedness subordinated in right of payment to the Secured Obligations or any Guarantee thereof, such Refinancing Indebtedness is subordinated in right of payment</w:t>
      </w:r>
      <w:r>
        <w:rPr>
          <w:rFonts w:ascii="Times New Roman" w:hAnsi="Times New Roman"/>
          <w:sz w:val="20"/>
        </w:rPr>
        <w:t xml:space="preserve"> </w:t>
      </w:r>
      <w:r>
        <w:rPr>
          <w:rFonts w:ascii="Times New Roman;serif" w:hAnsi="Times New Roman;serif"/>
          <w:b w:val="false"/>
          <w:sz w:val="22"/>
        </w:rPr>
        <w:t>to the Secured Obligations or the Guarantee thereof at least to the same extent as the Indebtedness being extended, replaced, refunded, refinanced, renewed or defeased or (ii) Disqualified Stock or Preferred Stock, such Refinancing Indebtedness must be Disqualified Stock or Preferred Stock, respectively,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(C) shall not include: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(i) Indebtedness, Disqualified Stock or Preferred Stock of a Subsidiary of the Company that is not a Guarantor that refinances Indebtedness, Disqualified Stock or Preferred Stock of the Company;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Indebtedness, Disqualified Stock or Preferred Stock of a Subsidiary of the Company that is not a Guarantor that refinances Indebtedness, Disqualified Stock or Preferred Stock of a Guarantor;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Indebtedness, Disqualified Stock or Preferred Stock of the Company or a Restricted Subsidiary that refinances Indebtedness, Disqualified Stock or Preferred Stock of an Unrestricted Subsidiary;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that subclause (A) of this clause (13) shall not apply to any refunding or refinancing of any outstanding Secured Indebtedness;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(14) Indebtedness, Disqualified Stock or Preferred Stock of (x) the Company or a Restricted Subsidiary incurred or issued to finance any investment or acquisition or (y) Persons that are acquired by the Company or any Restricted Subsidiary or merged into or consolidated with the Company or a Restricted Subsidiary in accordance with the terms of this Indenture;</w:t>
      </w:r>
      <w:r>
        <w:rPr>
          <w:rFonts w:ascii="Times New Roman" w:hAnsi="Times New Roman"/>
          <w:sz w:val="20"/>
        </w:rPr>
        <w:t xml:space="preserve"> </w:t>
      </w:r>
      <w:r>
        <w:rPr>
          <w:rFonts w:ascii="Times New Roman;serif" w:hAnsi="Times New Roman;serif"/>
          <w:b w:val="false"/>
          <w:i/>
          <w:sz w:val="22"/>
        </w:rPr>
        <w:t>provided</w:t>
      </w:r>
      <w:r>
        <w:rPr>
          <w:rFonts w:ascii="Times New Roman;serif" w:hAnsi="Times New Roman;serif"/>
          <w:b w:val="false"/>
          <w:sz w:val="22"/>
        </w:rPr>
        <w:t>, that after giving effect to such acquisition, investment, merger, amalgamation or consolidation either:</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(1) if such Indebtedness, Disqualified Stock or Preferred Stock is secured by a Lien on the Collateral on a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 xml:space="preserve">basis with the Liens on the Collateral securing the Secured Obligations, the Senior Secured First Lien Net Leverage Ratio of the Company and the Restricted Subsidiaries (including for the purposes of such calculation any Disqualified Stock or Preferred Stock that is secured by a Lien on a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 xml:space="preserve">basis with the Liens on the Collateral securing the Secured Obligations), after giving effect to the incurrence of such Indebtedness, Disqualified Stock or Preferred Stock, as applicable, and the use of proceeds thereof, shall either (I) not exceed 5.10 to 1.00 or (II) not exceed the Senior Secured First Lien Net Leverage Ratio immediately prior to such incurrence, (2) if such Indebtedness, Disqualified Stock or Preferred Stock is secured by a Lien on the Collateral on a junior priority basis with the Liens on the Collateral securing the Secured Obligations, the Senior Secured Net Leverage Ratio of the Company and the Restricted Subsidiaries (including for the purposes of such calculation any Disqualified Stock or Preferred Stock that is secured by a Lien on a junior basis to the Liens on the Collateral securing the Secured Obligations), after giving effect to the incurrence of such Indebtedness, Disqualified Stock or Preferred Stock, as applicable, and the use of proceeds thereof, shall either (x) not exceed 5.10 to 1.00 or (y) not exceed the Senior Secured Net Leverage Ratio immediately prior to such incurrence or the Fixed Charge Coverage Ratio of the Company and the Restricted Subsidiaries, after giving effect to the incurrence of such Indebtedness, Disqualified Stock or Preferred Stock, as applicable, and the use of proceeds thereof, shall be greater than or equal to the Fixed Charge Coverage Ratio immediately prior to such incurrence and (3) if such Indebtedness, Disqualified Stock or Preferred Stock is unsecured or is secured by assets that do not become Collateral, either the Total Net Leverage Ratio of the Company and the Restricted Subsidiaries (including for the purposes of such calculation any Indebtedness, Disqualified Stock or Preferred Stock that is unsecured or secured by assets that are not Collateral), after giving effect to the incurrence of such Indebtedness, Disqualified Stock or Preferred Stock, as applicable, and the use of proceeds thereof, shall either (x) not exceed 5.10 to 1.00 or (y) not exceed the Total Net Leverage Ratio immediately prior to such incurrence or the Fixed Charge Coverage Ratio of the Company and the Restricted Subsidiaries, after giving effect to the incurrence of such Indebtedness, Disqualified Stock or Preferred Stock, as applicable, and the use of proceeds thereof, shall be either (x) greater than or equal to 2.00 to 1.00 or (y) greater than or equal to the Fixed Charge Coverage Ratio immediately prior to such incurrence; </w:t>
      </w:r>
      <w:r>
        <w:rPr>
          <w:rFonts w:ascii="Times New Roman;serif" w:hAnsi="Times New Roman;serif"/>
          <w:b w:val="false"/>
          <w:i/>
          <w:sz w:val="22"/>
        </w:rPr>
        <w:t>provided, however</w:t>
      </w:r>
      <w:r>
        <w:rPr>
          <w:rFonts w:ascii="Times New Roman;serif" w:hAnsi="Times New Roman;serif"/>
          <w:b w:val="false"/>
          <w:sz w:val="22"/>
        </w:rPr>
        <w:t>, that, together with any amounts incurred or issued, as applicable, and outstanding by Non-Guarantor Subsidiaries pursuant to the second proviso to Section 4.09(a) hereof and clauses (12)(b) and (18) of this Section 4.09(b), no more than the greater of $750.0 million and 100.0%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LTM EBITDA for the most recently ended Test Period, of Indebtedness, Disqualified Stock or Preferred Stock at any one time outstanding and incurred or issued, as applicable, pursuant to this clause (14)(a) shall be incurred or issued, as applicable by Non-Guarantor Subsidiaries;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such Indebtedness constitutes Acquired Indebtedness (other than Indebtedness incurred in contemplation of the transaction or series of related transactions pursuant to which such Person became a Restricted Subsidiary or was otherwise acquired by the Company or a Restricted Subsidiary); provided that, in the case of this clause (b), the only obligors with respect to such Indebtedness shall be those Persons who were obligors of such Indebtedness prior to such acquisition, merger, amalgamation or consolidation;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(15) Indebtedness in respect of Cash Management Obligations, Bank Products provided by banks or other financial institutions to the Company and its Restricted Subsidiaries in the ordinary course of business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(16) Indebtedness of the Company or any of its Restricted Subsidiaries supported by a letter of credit issued pursuant to Credit Facilities, in a principal amount not in excess of the stated amount of such letter of credit;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(17) (a) any guarantee by the Company or a Restricted Subsidiary of Indebtedness or other obligations of any Restricted Subsidiary so long as the incurrence of such Indebtedness incurred by such Restricted Subsidiary is not prohibited under the terms of this Indenture, or (b) any guarantee by a Restricted Subsidiary of Indebtedness or other obligations of the Company so long as the incurrence of such Indebtedness or other obligations incurred by the Company is permitted under the terms of this Indenture;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such guarantee is incurred in accordance with Section 4.15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(18) Indebtedness, Disqualified Stock or Preferred Stock of (x) the Company or a Restricted Subsidiary incurred or issued to finance any investment or acquisition or (y) Persons that are acquired by the Company or any Restricted Subsidiary;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at the time of any such incurrence of Indebtedness, Disqualified Stock or Preferred Stock (and after giving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 xml:space="preserve">effect thereto), the aggregate amount of such Indebtedness, Disqualified Stock or Preferred Stock incurred under this clause (18), when aggregated with the outstanding amount of Indebtedness, Disqualified Stock or Preferred Stock of the Company or any Restricted Subsidiary which serves to refinance any Indebtedness, Disqualified Stock or Preferred Stock incurred as permitted under this clause (18) or any Indebtedness, Disqualified Stock or Preferred Stock issued to so refund or refinance such Indebtedness, Disqualified Stock or Preferred Stock, does not exceed the greater of $150.0 million and 20.0% of LTM EBITDA for the most recently ended Test Period, in the aggregate (it being understood that any Indebtedness, Disqualified Stock or Preferred Stock incurred pursuant to this clause (18) shall cease to be deemed incurred or outstanding for purposes of this clause (18) but shall be deemed incurred for the purposes of Section 4.09(a) hereof from and after the first date on which such Restricted Subsidiary could have incurred such Indebtedness, Disqualified Stock or Preferred Stock under Section 4.09(a) hereof without reliance on this clause (18));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i/>
          <w:sz w:val="22"/>
        </w:rPr>
        <w:t>further</w:t>
      </w:r>
      <w:r>
        <w:rPr>
          <w:rFonts w:ascii="Times New Roman;serif" w:hAnsi="Times New Roman;serif"/>
          <w:b w:val="false"/>
          <w:sz w:val="22"/>
        </w:rPr>
        <w:t>, however, that, on a pro forma basis, together with any amounts incurred or issued, as applicable, and outstanding by Restricted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Subsidiaries that are not Guarantors pursuant to the first paragraph of this covenant, clauses (12)(b) and (14)(a) of this Section 4.09(b) and this clause (18) of this Section 4.09(b), no more than the greater of $750.0 million and 100.0% of LTM EBITDA for the most recently ended Test Period, of Indebtedness, Disqualified Stock or Preferred Stock at any one time outstanding and incurred or issued, as applicable, shall be incurred or issued, as applicable, by Restricted Subsidiaries that are not Guarantors;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however that the foregoing limitation shall not apply to Indebtedness of any Person that becomes a Restricted Subsidiary in connection with an acquisition or any other Investment not prohibited by the provisions of Section 4.07 hereof (or of any Person not previously a Restricted Subsidiary that is merged, consolidated with or into the Company or a Restricted Subsidiary) if such Indebtedness is outstanding prior to such Person becoming a Restricted Subsidiary and to the extent such Indebtedness is not incurred in contemplation of such acquisition or Investment;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(19) Indebtedness of the Company or any of its Restricted Subsidiaries consisting of (i) the financing of insurance premiums or (ii) take-or-pay obligations contained in supply arrangements;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(20) Indebtedness consisting of Indebtedness issued by the Company or any of its Restricted Subsidiaries to current or former officers, directors and employees thereof, their respective estates, spouses or former spouses, in each case to finance the purchase or redemption of Equity Interests of the Company or any direct or indirect parent company of the Company to the extent described in Section 4.07(b)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(21) Indebtedness of any Non-Guarantor Subsidiary;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at the time of any such incurrence of Indebtedness (and after giving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 xml:space="preserve">effect thereto), the aggregate amount of Indebtedness incurred under this clause (21), when aggregated with the outstanding amount of Indebtedness of any Non-Guarantor Subsidiary which serves to refinance any Indebtedness incurred as permitted under this clause (21) or any Indebtedness issued to so refund or refinance such Indebtedness, does not exceed the greater of $112.5 million and 15.0% of LTM EBITDA for the most recently ended Test Period, in the aggregate (it being understood that any Indebtedness incurred pursuant to this clause (21) shall cease to be deemed incurred or outstanding for purposes of this clause (21) but shall be deemed incurred for the purposes of the first paragraph of this covenant from and after the first date on which the Company or such Restricted Subsidiary could have incurred such Indebtedness under the first paragraph of this covenant without reliance on this clause (21)); </w:t>
      </w:r>
      <w:r>
        <w:rPr>
          <w:rFonts w:ascii="Times New Roman;serif" w:hAnsi="Times New Roman;serif"/>
          <w:b w:val="false"/>
          <w:i/>
          <w:sz w:val="22"/>
        </w:rPr>
        <w:t>provided, further</w:t>
      </w:r>
      <w:r>
        <w:rPr>
          <w:rFonts w:ascii="Times New Roman;serif" w:hAnsi="Times New Roman;serif"/>
          <w:b w:val="false"/>
          <w:sz w:val="22"/>
        </w:rPr>
        <w:t>, that the foregoing limitation shall not apply to Indebtedness of any Person that becomes a Restricted Subsidiary in connection with an Investment not prohibited this Indenture (or of any Person not previously a Restricted Subsidiary that is merged or consolidated with or into the Company or a Restricted Subsidiary) if such Indebtedness is outstanding prior to such Person becoming a Restricted Subsidiary and to the extent such Indebtedness is not incurred in contemplation of such Investment;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(22) Indebtedness representing deferred compensation or stock-based compensation owed to employees of direct or indirect parent companies of the Company, the Company or the Restricted Subsidiaries incurred in the ordinary course of business or consistent with past practice or in connection with the Transactions, any Investment or any acquisition (by merger, consolidation, amalgamation or otherwise);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(23) Settlement Indebtedness;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(24) customer deposits and advance payments received in the ordinary course of business or consistent with past practice from customers for the purchase of goods or services;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(25)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(26) additional Indebtedness of the Company or any of its Restricted Subsidiaries in an aggregate principal amount not to exceed the Available Amount that is not otherwise applied pursuant to clause (34) of the definition of “Permitted Liens” and Section 4.07(a) hereof as in effect immediately prior to the incurrence of such Indebtedness (and after giving pro forma effect thereto);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(27) additional Indebtedness of the Company or any of its Restricted Subsidiaries in an aggregate principal amount that does not exceed the amount of Excluded Contributions made since the Completion Date that is not otherwise applied pursuant to clause (35) of the definition of “Permitted Liens” and clause (10) of Section 4.07(b) hereof as in effect immediately prior to the incurrence of such Indebtedness (and after giving pro forma effect thereto);</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(28) Indebtedness to a customer to finance the acquisition of any equipment necessary to perform services for such customer;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the terms of such Indebtedness are consistent with those entered into with respect to similar Indebtedness prior to the Completion Date, including that (1) the repayment of such Indebtedness is conditional upon such customer ordering a specific amount of goods or services and (2) such Indebtedness does not bear interest or provide for scheduled amortization or maturity;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(29) Indebtedness of the Company or any of its Restricted Subsidiaries arising pursuant to any Permitted Intercompany Activities, Permitted Tax Restructuring and related transactions;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(30) Indebtedness incurred in connection with any Sale and Lease-Back Transaction;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(31) all premiums (if any), interest (including post-petition interest), fees, expenses, charges and additional or contingent interest on obligations described in clauses (1) through (30).</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For purposes of determining compliance with this Section 4.09:</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in the event that an item of Indebtedness, Disqualified Stock or Preferred Stock (or any portion thereof) meets the criteria of more than one of the categories of permitted Indebtedness, Disqualified Stock or Preferred Stock described in clauses (1) through (31) of Section 4.09(b) hereof or is entitled to be incurred pursuant to Section 4.09(a) hereof, the Company, in its sole discretion, shall classify or reclassify such item of Indebtedness, Disqualified Stock or Preferred Stock (or any portion thereof) and shall only be required to include the amount and type of such Indebtedness, Disqualified Stock or Preferred Stock in one of the above clauses or in Section 4.09(a); </w:t>
      </w:r>
      <w:r>
        <w:rPr>
          <w:rFonts w:ascii="Times New Roman;serif" w:hAnsi="Times New Roman;serif"/>
          <w:b w:val="false"/>
          <w:i/>
          <w:sz w:val="22"/>
        </w:rPr>
        <w:t xml:space="preserve">provided </w:t>
      </w:r>
      <w:r>
        <w:rPr>
          <w:rFonts w:ascii="Times New Roman;serif" w:hAnsi="Times New Roman;serif"/>
          <w:b w:val="false"/>
          <w:sz w:val="22"/>
        </w:rPr>
        <w:t>that all Indebtedness outstanding under the Credit Facilities on the Issue Date shall be treated as incurred on the Issue Date under clause (1) of Section 4.09(b) hereof and may not be reclassified;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at the time of incurrence or reclassification, the Company shall be entitled to divide and classify or reclassify an item of Indebtedness in more than one of the types of Indebtedness described in Sections 4.09(a) and 4.09(b) hereof; it being understood that any Indebtedness incurred pursuant to one of the clauses of Section 4.09(b) hereof shall cease to be deemed incurred or outstanding for purposes of such clause but shall be deemed incurred for the purposes of Section 4.09(a) hereof from and after the first date on which the Company or its Restricted Subsidiaries could have incurred such Indebtedness under Section 4.09(a) (without reliance on such clause);</w:t>
      </w:r>
    </w:p>
    <w:p>
      <w:pPr>
        <w:pStyle w:val="TextBody"/>
        <w:bidi w:val="0"/>
        <w:spacing w:before="0" w:after="240"/>
        <w:jc w:val="left"/>
        <w:rPr>
          <w:rFonts w:ascii="Times New Roman" w:hAnsi="Times New Roman"/>
          <w:sz w:val="20"/>
        </w:rPr>
      </w:pPr>
      <w:r>
        <w:rPr>
          <w:rFonts w:ascii="Times New Roman;serif" w:hAnsi="Times New Roman;serif"/>
          <w:b w:val="false"/>
          <w:sz w:val="22"/>
        </w:rPr>
        <w:t>(3) in the event that the Company or a Restricted Subsidiary enters into or increases commitments under a credit facility, the Fixed Charge Coverage Ratio, the Senior Secured First Lien Net Leverage Ratio, the Senior Secured Net Leverage Ratio or the Total Net Leverage Ratio, as applicable, for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Fixed Charge Coverage Ratio, Senior Secured First Lien Net Leverage Ratio, Senior Secured Net Leverage Ratio or the Total Net Leverage Ratio, as applicable, test is satisfied with respect thereto at such time, any borrowing or reborrowing thereunder (and the issuance and creation of letters of credit and bankers’ acceptances thereunder) shall be permitted under this covenant irrespective of the Fixed Charge Coverage Ratio, Senior Secured First Lien Net Leverage Ratio, Senior Secured Net Leverage Ratio or the Total Net Leverage Ratio, as applicable, at the time of any borrowing or reborrowing (or issuance or creation of letters of credit or bankers’ acceptances thereunder) (the committed amount permitted to be borrowed or reborrowed (and the issuance and creation of letters of credit and bankers’ acceptances) on a date pursuant to the operation of this paragraph shall be the “</w:t>
      </w:r>
      <w:r>
        <w:rPr>
          <w:rFonts w:ascii="Times New Roman;serif" w:hAnsi="Times New Roman;serif"/>
          <w:b w:val="false"/>
          <w:sz w:val="22"/>
          <w:u w:val="single"/>
        </w:rPr>
        <w:t>Reserved Indebtedness Amount</w:t>
      </w:r>
      <w:r>
        <w:rPr>
          <w:rFonts w:ascii="Times New Roman" w:hAnsi="Times New Roman"/>
          <w:sz w:val="20"/>
        </w:rPr>
        <w:t xml:space="preserve">” </w:t>
      </w:r>
      <w:r>
        <w:rPr>
          <w:rFonts w:ascii="Times New Roman;serif" w:hAnsi="Times New Roman;serif"/>
          <w:b w:val="false"/>
          <w:sz w:val="22"/>
        </w:rPr>
        <w:t>as of such date for purposes of the Fixed Charge Coverage Ratio, Senior Secured First Lien Net Leverage Ratio, Senior Secured Net Leverage Ratio or the Total Net Leverage Ratio, as applicable);</w:t>
      </w:r>
    </w:p>
    <w:p>
      <w:pPr>
        <w:pStyle w:val="TextBody"/>
        <w:bidi w:val="0"/>
        <w:spacing w:before="0" w:after="240"/>
        <w:jc w:val="left"/>
        <w:rPr>
          <w:rFonts w:ascii="Times New Roman" w:hAnsi="Times New Roman"/>
          <w:sz w:val="20"/>
        </w:rPr>
      </w:pPr>
      <w:r>
        <w:rPr>
          <w:rFonts w:ascii="Times New Roman;serif" w:hAnsi="Times New Roman;serif"/>
          <w:b w:val="false"/>
          <w:sz w:val="22"/>
        </w:rPr>
        <w:t>(4) accrual of interest or dividends, the accretion of accreted value, the accretion or amortization of original issue discount and the payment of interest or dividends in the form of additional Indebtedness, Disqualified Stock or Preferred Stock, as the case may be, of the same class shall not be deemed to be an incurrence or issuance of Indebtedness, Disqualified Stock or Preferred Stock for purposes of this Section 4.09;</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serif" w:hAnsi="Times New Roman;serif"/>
          <w:b w:val="false"/>
          <w:i/>
          <w:sz w:val="22"/>
        </w:rPr>
        <w:t xml:space="preserve">provided </w:t>
      </w:r>
      <w:r>
        <w:rPr>
          <w:rFonts w:ascii="Times New Roman;serif" w:hAnsi="Times New Roman;serif"/>
          <w:b w:val="false"/>
          <w:sz w:val="22"/>
        </w:rPr>
        <w:t>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incurred in connection with such refinancing;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in the case of any refinancing of any Indebtedness or any portion thereof, the amount of Indebtedness being incurred to finance the aggregate amount of accrued and unpaid interest, dividends, premiums (including tender premiums), defeasance costs and fees and expenses (including original issue discount, upfront fees or similar fees) in connection with such refinancing shall not be deemed to be an incurrence or issuance of Indebtedness for purposes of this covenant;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notwithstanding anything in this Section 4.09 to the contrary, in the case of any Indebtedness incurred to refinance Indebtedness initially incurred in reliance on Section 4.09(b) hereof, measured by reference to a percentage of LTM EBITDA at the time of Incurrence, and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reasonable tender premiums), defeasance, costs and fees and expenses (including original issue discount, upfront fees or similar fees) in connection with such refinancing;</w:t>
      </w:r>
    </w:p>
    <w:p>
      <w:pPr>
        <w:pStyle w:val="TextBody"/>
        <w:bidi w:val="0"/>
        <w:spacing w:before="0" w:after="240"/>
        <w:jc w:val="left"/>
        <w:rPr>
          <w:rFonts w:ascii="Times New Roman" w:hAnsi="Times New Roman"/>
          <w:sz w:val="20"/>
        </w:rPr>
      </w:pPr>
      <w:r>
        <w:rPr>
          <w:rFonts w:ascii="Times New Roman;serif" w:hAnsi="Times New Roman;serif"/>
          <w:b w:val="false"/>
          <w:sz w:val="22"/>
        </w:rPr>
        <w:t>(9) Guarantees of, or obligations in respect of letters of credit, bankers’ acceptances or other similar instruments relating to, Indebtedness that is otherwise included in the determination of a particular amount of Indebtedness shall not be included;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pursuant to this Indenture (x) unsecured Indebtedness shall not be treated as subordinated or junior to Secured Indebtedness merely because it is unsecured and (y) Senior Indebtedness shall not be treated as subordinated or junior to any other Senior Indebtedness merely because it has a junior priority with respect to the same collateral or is secured by different collateral or because it is guaranteed by different obligors; and</w:t>
      </w:r>
    </w:p>
    <w:p>
      <w:pPr>
        <w:pStyle w:val="TextBody"/>
        <w:bidi w:val="0"/>
        <w:spacing w:before="0" w:after="240"/>
        <w:jc w:val="left"/>
        <w:rPr>
          <w:rFonts w:ascii="Times New Roman" w:hAnsi="Times New Roman"/>
          <w:sz w:val="20"/>
        </w:rPr>
      </w:pPr>
      <w:r>
        <w:rPr>
          <w:rFonts w:ascii="Times New Roman;serif" w:hAnsi="Times New Roman;serif"/>
          <w:b w:val="false"/>
          <w:sz w:val="22"/>
        </w:rPr>
        <w:t>(11) 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Sales), in each case, at the option of the Issuers (the Issuers’ election to exercise such option, an “</w:t>
      </w:r>
      <w:r>
        <w:rPr>
          <w:rFonts w:ascii="Times New Roman;serif" w:hAnsi="Times New Roman;serif"/>
          <w:b w:val="false"/>
          <w:sz w:val="22"/>
          <w:u w:val="single"/>
        </w:rPr>
        <w:t>LCT Election</w:t>
      </w:r>
      <w:r>
        <w:rPr>
          <w:rFonts w:ascii="Times New Roman" w:hAnsi="Times New Roman"/>
          <w:sz w:val="20"/>
        </w:rPr>
        <w:t>”</w:t>
      </w:r>
      <w:r>
        <w:rPr>
          <w:rFonts w:ascii="Times New Roman;serif" w:hAnsi="Times New Roman;serif"/>
          <w:b w:val="false"/>
          <w:sz w:val="22"/>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serif" w:hAnsi="Times New Roman;serif"/>
          <w:b w:val="false"/>
          <w:sz w:val="22"/>
          <w:u w:val="single"/>
        </w:rPr>
        <w:t>LCT Test Date</w:t>
      </w:r>
      <w:r>
        <w:rPr>
          <w:rFonts w:ascii="Times New Roman" w:hAnsi="Times New Roman"/>
          <w:sz w:val="20"/>
        </w:rPr>
        <w:t>”</w:t>
      </w:r>
      <w:r>
        <w:rPr>
          <w:rFonts w:ascii="Times New Roman;serif" w:hAnsi="Times New Roman;serif"/>
          <w:b w:val="false"/>
          <w:sz w:val="22"/>
        </w:rPr>
        <w:t>) either (a) the definitive agreement for such Limited Condition Transaction is entered into (or, if applicable, the date of delivery of an irrevocable declaration of a Restricted Payment or similar event), or (b) solely in connection with an acquisition to which the United Kingdom City Code on Takeovers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and Mergers applies, the date on which a “Rule 2.7 announcement” of a firm intention to make an offer (or equivalent announcement in another jurisdiction) (an “</w:t>
      </w:r>
      <w:r>
        <w:rPr>
          <w:rFonts w:ascii="Times New Roman;serif" w:hAnsi="Times New Roman;serif"/>
          <w:b w:val="false"/>
          <w:sz w:val="22"/>
          <w:u w:val="single"/>
        </w:rPr>
        <w:t>LCT Public Offer</w:t>
      </w:r>
      <w:r>
        <w:rPr>
          <w:rFonts w:ascii="Times New Roman" w:hAnsi="Times New Roman"/>
          <w:sz w:val="20"/>
        </w:rPr>
        <w:t>”</w:t>
      </w:r>
      <w:r>
        <w:rPr>
          <w:rFonts w:ascii="Times New Roman;serif" w:hAnsi="Times New Roman;serif"/>
          <w:b w:val="false"/>
          <w:sz w:val="22"/>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Sales)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serif" w:hAnsi="Times New Roman;serif"/>
          <w:b w:val="false"/>
          <w:i/>
          <w:sz w:val="22"/>
        </w:rPr>
        <w:t>provided</w:t>
      </w:r>
      <w:r>
        <w:rPr>
          <w:rFonts w:ascii="Times New Roman;serif" w:hAnsi="Times New Roman;serif"/>
          <w:b w:val="false"/>
          <w:sz w:val="22"/>
        </w:rPr>
        <w:t>, that (a) if financial statements for one or more subsequent fiscal quarters shall have become available, the Issuers may elect, in their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Sales) and (c) Consolidated Interest Expense for purposes of the Fixed Charge Coverage Ratio will be calculated using an assumed interest rate as reasonably determined by the Issuers.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EBITDA or Total Assets of the Company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4.10 Asset Sales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From and after the Completion Date, the Company shall not consummate, and shall not permit any of its Restricted Subsidiaries to consummate, an Asset Sale, unless: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the Company or such Restricted Subsidiary, as the case may be, receives consideration at the time of such Asset Sale at least equal to the fair market value (as determined in good faith by the Company at the time of contractually agreeing to such Asset Sale) of the assets sold or otherwise disposed of; and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 except in the case of a Permitted Asset Swap, if the property or assets sold or otherwise disposed of have a fair market value in excess of the greater of $375.0 million and 50.0% of LTM EBITDA for the most recently ended Test Period at the time of such disposition, at least 75.0% of the consideration therefor received by the Company or such Restricted Subsidiary, as the case may be, is in the form of cash or Cash Equivalents;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the amount of:</w:t>
      </w:r>
    </w:p>
    <w:p>
      <w:pPr>
        <w:pStyle w:val="TextBody"/>
        <w:bidi w:val="0"/>
        <w:spacing w:before="0" w:after="240"/>
        <w:jc w:val="left"/>
        <w:rPr>
          <w:rFonts w:ascii="Times New Roman" w:hAnsi="Times New Roman"/>
          <w:sz w:val="20"/>
        </w:rPr>
      </w:pPr>
      <w:r>
        <w:rPr>
          <w:rFonts w:ascii="Times New Roman;serif" w:hAnsi="Times New Roman;serif"/>
          <w:b w:val="false"/>
          <w:sz w:val="22"/>
        </w:rPr>
        <w:t>(A) any liabilities, contingent or otherwise, of the Company or such Restricted Subsidiary, other than liabilities that are by their terms subordinated to the Notes or that are owed to the Company or a Restricted Subsidiary that (x) are assumed by the transferee of any such assets (or a third party in connection with such transfer) or (y) are otherwise cancelled or terminated in connection with the transaction with such transferee (other than intercompany debt owed to the Company or its Restricted Subsidiaries) and, in each case, for which the Company and all of its Restricted Subsidiaries have been validly released,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any securities, notes or other obligations or assets received by the Company or such Restricted Subsidiary from such transferee that are converted by the Company or such Restricted Subsidiary into cash or Cash Equivalents (to the extent of the cash or Cash Equivalents received) within 180 days following the closing of such Asset Sale;</w:t>
      </w:r>
    </w:p>
    <w:p>
      <w:pPr>
        <w:pStyle w:val="TextBody"/>
        <w:bidi w:val="0"/>
        <w:spacing w:before="0" w:after="240"/>
        <w:jc w:val="left"/>
        <w:rPr>
          <w:rFonts w:ascii="Times New Roman" w:hAnsi="Times New Roman"/>
          <w:sz w:val="20"/>
        </w:rPr>
      </w:pPr>
      <w:r>
        <w:rPr>
          <w:rFonts w:ascii="Times New Roman;serif" w:hAnsi="Times New Roman;serif"/>
          <w:b w:val="false"/>
          <w:sz w:val="22"/>
        </w:rPr>
        <w:t>(C) Indebtedness of any Restricted Subsidiary that ceases to be a Restricted Subsidiary as a result of such Asset Sale (other than intercompany debt owed to the Company or any Restricted Subsidiary), to the extent that the Company and each other Restricted Subsidiary are released from any guarantee of payment of the principal amount of such Indebtedness in connection with such Asset Sale in accordance with the terms of this Indenture;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consideration consisting of Indebtedness of the Issuers or a Guarantor (other than intercompany debt owed to the Company or any Restricted Subsidiary and other than Subordinated Indebtedness) received after the Issue Date from Persons who are not the Company, Holdings or any Restricted Subsidiary;</w:t>
      </w:r>
    </w:p>
    <w:p>
      <w:pPr>
        <w:pStyle w:val="TextBody"/>
        <w:bidi w:val="0"/>
        <w:spacing w:before="0" w:after="240"/>
        <w:jc w:val="left"/>
        <w:rPr>
          <w:rFonts w:ascii="Times New Roman" w:hAnsi="Times New Roman"/>
          <w:sz w:val="20"/>
        </w:rPr>
      </w:pPr>
      <w:r>
        <w:rPr>
          <w:rFonts w:ascii="Times New Roman;serif" w:hAnsi="Times New Roman;serif"/>
          <w:b w:val="false"/>
          <w:sz w:val="22"/>
        </w:rPr>
        <w:t>(E) any Designated Non-cash Consideration received by the Company or such Restricted Subsidiary in such Asset Sale having an aggregate fair market value, as determined by the Company, taken together with all other Designated Non-cash Consideration received pursuant to this clause (E) that is at that time outstanding, not to exceed the greater of $225.0 million and 30.0% of LTM EBITDA for the most recently ended Test Period at the time of the receipt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such Designated Non-cash Consideration (with the fair market value of each such item of Designated Non-cash Consideration being measured pursuant to this clause (E) at the Company’s option, either at the time of contractually agreeing to such Asset Sale or at the time received and, in either case, without giving effect to subsequent changes in value);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any Investment, Capital Stock, assets, property or capital or other expenditure of the kind referred to in clauses (2) or (3) of Section 4.10(b) hereof shall be deemed to be Cash Equivalents for purposes of this provision and for no other purpose.</w:t>
      </w:r>
    </w:p>
    <w:p>
      <w:pPr>
        <w:pStyle w:val="TextBody"/>
        <w:bidi w:val="0"/>
        <w:spacing w:before="0" w:after="240"/>
        <w:jc w:val="left"/>
        <w:rPr>
          <w:rFonts w:ascii="Times New Roman" w:hAnsi="Times New Roman"/>
          <w:sz w:val="20"/>
        </w:rPr>
      </w:pPr>
      <w:r>
        <w:rPr>
          <w:rFonts w:ascii="Times New Roman;serif" w:hAnsi="Times New Roman;serif"/>
          <w:b w:val="false"/>
          <w:sz w:val="22"/>
        </w:rPr>
        <w:t>(b) Within 540 days after the receipt of any Net Proceeds of any Asset Sale (the “</w:t>
      </w:r>
      <w:r>
        <w:rPr>
          <w:rFonts w:ascii="Times New Roman;serif" w:hAnsi="Times New Roman;serif"/>
          <w:b w:val="false"/>
          <w:sz w:val="22"/>
          <w:u w:val="single"/>
        </w:rPr>
        <w:t>Proceeds Application Period</w:t>
      </w:r>
      <w:r>
        <w:rPr>
          <w:rFonts w:ascii="Times New Roman" w:hAnsi="Times New Roman"/>
          <w:sz w:val="20"/>
        </w:rPr>
        <w:t>”</w:t>
      </w:r>
      <w:r>
        <w:rPr>
          <w:rFonts w:ascii="Times New Roman;serif" w:hAnsi="Times New Roman;serif"/>
          <w:b w:val="false"/>
          <w:sz w:val="22"/>
        </w:rPr>
        <w:t>), the Company or such Restricted Subsidiary, at their option, may apply an amount equal to the Net Proceeds from such Asset Sale,</w:t>
      </w:r>
    </w:p>
    <w:p>
      <w:pPr>
        <w:pStyle w:val="TextBody"/>
        <w:bidi w:val="0"/>
        <w:spacing w:before="0" w:after="240"/>
        <w:jc w:val="left"/>
        <w:rPr>
          <w:rFonts w:ascii="Times New Roman" w:hAnsi="Times New Roman"/>
          <w:sz w:val="20"/>
        </w:rPr>
      </w:pPr>
      <w:r>
        <w:rPr>
          <w:rFonts w:ascii="Times New Roman;serif" w:hAnsi="Times New Roman;serif"/>
          <w:b w:val="false"/>
          <w:sz w:val="22"/>
        </w:rPr>
        <w:t>(1) to reduce, prepay, repay or purchase: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to the extent such Net Proceeds are from an Asset Sale of Collateral, Obligations with Pari Passu Lien Priority (including the Senior Credit Facilities or any Refinancing Indebtedness in respect thereof but other than Indebtedness owed to the Company or any Restricted Subsidiary), and, in the case of revolving obligations, to correspondingly reduce commitments with respect thereto,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to the extent either Issuer or any Restricted Subsidiary will so repay any such Indebtedness (other than the Notes), the Issuers shall reduce Obligations under the Notes on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basis by, at their option, (i) redeeming Notes as provided under Section 3.07 hereof (ii) purchasing Notes through open-market purchases or (iii) by making an offer (in accordance with the procedures set forth herein for an Asset Sale Offer) to all Holders to purchase their Notes at a purchase price equal to 100.0% of the principal amount thereof, plus the amount of accrued but unpaid interest, if any, on the principal amount of the Notes to be repurchased to the date of repurchase;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to the extent such Net Proceeds resulted from an Asset Sale not consisting of Collateral, Obligations in respect of other Secured Indebtedness (which may include the Notes), and, in the case of revolving commitments, to correspondingly reduce commitments with respect thereto;</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(C) Obligations in respect of the Notes or any other Indebtedness (other than Subordinated Indebtedness) of the Company or any Restricted Subsidiary, other than Indebtedness owed to the Company or any Restricted Subsidiary (and, in the case of revolving commitments, to correspondingly reduce commitments with respect thereto),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 xml:space="preserve">that, to the extent either Issuer or any Restricted Subsidiary will so repay any such Indebtedness (other than the Notes), the Issuers will reduce Obligations under the Notes on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basis by, at their option, (i) redeeming Notes as provided under Section 3.07 hereof or (ii) by making an offer (in accordance with the procedures set forth herein for an Asset Sale Offer) to all Holders to purchase their Notes at a purchase price equal to 100.0% of the principal amount thereof, plus the amount of accrued but unpaid interest, if any, on the principal amount of the Notes to be repurchased to the date of repurchase;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Obligations in respect of Indebtedness of a Non-Guarantor Subsidiary, other than Indebtedness owed to the Company or another Restricted Subsidiary;</w:t>
      </w:r>
    </w:p>
    <w:p>
      <w:pPr>
        <w:pStyle w:val="TextBody"/>
        <w:bidi w:val="0"/>
        <w:spacing w:before="0" w:after="240"/>
        <w:jc w:val="left"/>
        <w:rPr>
          <w:rFonts w:ascii="Times New Roman" w:hAnsi="Times New Roman"/>
          <w:sz w:val="20"/>
        </w:rPr>
      </w:pPr>
      <w:r>
        <w:rPr>
          <w:rFonts w:ascii="Times New Roman;serif" w:hAnsi="Times New Roman;serif"/>
          <w:b w:val="false"/>
          <w:i/>
          <w:sz w:val="22"/>
        </w:rPr>
        <w:t>provided</w:t>
      </w:r>
      <w:r>
        <w:rPr>
          <w:rFonts w:ascii="Times New Roman;serif" w:hAnsi="Times New Roman;serif"/>
          <w:b w:val="false"/>
          <w:sz w:val="22"/>
        </w:rPr>
        <w:t>, in the case of clauses (A) or (C) above, (i) if an offer to purchase any Indebtedness of the Company or any Restricted Subsidiary is made, such amount will be deemed repaid to the extent of the amount of such offer, whether or not accepted by the holders of such Indebtedness, and no Net Proceeds in the amount of such offer will be deemed to exist following such offer, and (ii) if the holder of any Indebtedness of a Restricted Subsidiary of the Company declines the repayment of such Indebtedness owed to it from such Net Proceeds such amount will be deemed repaid to the extent of the declined Net Proceeds, or</w:t>
      </w:r>
    </w:p>
    <w:p>
      <w:pPr>
        <w:pStyle w:val="TextBody"/>
        <w:bidi w:val="0"/>
        <w:spacing w:before="0" w:after="240"/>
        <w:jc w:val="left"/>
        <w:rPr>
          <w:rFonts w:ascii="Times New Roman" w:hAnsi="Times New Roman"/>
          <w:sz w:val="20"/>
        </w:rPr>
      </w:pPr>
      <w:r>
        <w:rPr>
          <w:rFonts w:ascii="Times New Roman;serif" w:hAnsi="Times New Roman;serif"/>
          <w:b w:val="false"/>
          <w:sz w:val="22"/>
        </w:rPr>
        <w:t>(2) to make an Investment in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any one or more businesses,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such Investment in any business is in the form of the acquisition of Capital Stock that results in the Company or any Restricted Subsidiary, as the case may be, owning an amount of the Capital Stock of such business such that such business constitutes a Restricted Subsidiary or increases the Company’s direct or indirect percentage ownership of the Capital Stock of a Restricted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capital expenditures; or</w:t>
      </w:r>
    </w:p>
    <w:p>
      <w:pPr>
        <w:pStyle w:val="TextBody"/>
        <w:bidi w:val="0"/>
        <w:spacing w:before="0" w:after="240"/>
        <w:jc w:val="left"/>
        <w:rPr>
          <w:rFonts w:ascii="Times New Roman" w:hAnsi="Times New Roman"/>
          <w:sz w:val="20"/>
        </w:rPr>
      </w:pPr>
      <w:r>
        <w:rPr>
          <w:rFonts w:ascii="Times New Roman;serif" w:hAnsi="Times New Roman;serif"/>
          <w:b w:val="false"/>
          <w:sz w:val="22"/>
        </w:rPr>
        <w:t>(C) acquisitions of other assets, in the case of each of (A), (B) and (C), used or useful in a Similar Business,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to make an Investment in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any one or more businesses; </w:t>
      </w:r>
      <w:r>
        <w:rPr>
          <w:rFonts w:ascii="Times New Roman;serif" w:hAnsi="Times New Roman;serif"/>
          <w:b w:val="false"/>
          <w:i/>
          <w:sz w:val="22"/>
        </w:rPr>
        <w:t xml:space="preserve">provided </w:t>
      </w:r>
      <w:r>
        <w:rPr>
          <w:rFonts w:ascii="Times New Roman;serif" w:hAnsi="Times New Roman;serif"/>
          <w:b w:val="false"/>
          <w:sz w:val="22"/>
        </w:rPr>
        <w:t>that such Investment in any business is in the form of the acquisition of Capital Stock that results in the Company or any of its Restricted Subsidiaries, as the case may be, owning an amount of the Capital Stock of such business such that it constitutes a Restricted Subsidiary or increases the Company’s direct or indirect percentage ownership of the Capital Stock of a Restricted Subsidiary;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properties;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acquisitions of other assets that, in the case of each of (A), (B) and (C), replace the businesses, properties or assets that are the subject of such Asset Sale, or</w:t>
      </w:r>
    </w:p>
    <w:p>
      <w:pPr>
        <w:pStyle w:val="TextBody"/>
        <w:bidi w:val="0"/>
        <w:spacing w:before="0" w:after="240"/>
        <w:jc w:val="left"/>
        <w:rPr>
          <w:rFonts w:ascii="Times New Roman" w:hAnsi="Times New Roman"/>
          <w:sz w:val="20"/>
        </w:rPr>
      </w:pPr>
      <w:r>
        <w:rPr>
          <w:rFonts w:ascii="Times New Roman;serif" w:hAnsi="Times New Roman;serif"/>
          <w:b w:val="false"/>
          <w:sz w:val="22"/>
        </w:rPr>
        <w:t>(4) any combination of the foregoing;</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i/>
          <w:sz w:val="22"/>
        </w:rPr>
        <w:t xml:space="preserve">provided </w:t>
      </w:r>
      <w:r>
        <w:rPr>
          <w:rFonts w:ascii="Times New Roman;serif" w:hAnsi="Times New Roman;serif"/>
          <w:b w:val="false"/>
          <w:sz w:val="22"/>
        </w:rPr>
        <w:t>that, in the case of clauses (2) and (3) above, a binding commitment shall be treated as a permitted application of the Net Proceeds from the date of such commitment so long as the Company, or such other Restricted Subsidiary enters into such commitment with the good faith expectation that such Net Proceeds will be applied to satisfy such commitment within 180 days of such commitment (an “</w:t>
      </w:r>
      <w:r>
        <w:rPr>
          <w:rFonts w:ascii="Times New Roman;serif" w:hAnsi="Times New Roman;serif"/>
          <w:b w:val="false"/>
          <w:sz w:val="22"/>
          <w:u w:val="single"/>
        </w:rPr>
        <w:t>Acceptable Commitment</w:t>
      </w:r>
      <w:r>
        <w:rPr>
          <w:rFonts w:ascii="Times New Roman" w:hAnsi="Times New Roman"/>
          <w:sz w:val="20"/>
        </w:rPr>
        <w:t>”</w:t>
      </w:r>
      <w:r>
        <w:rPr>
          <w:rFonts w:ascii="Times New Roman;serif" w:hAnsi="Times New Roman;serif"/>
          <w:b w:val="false"/>
          <w:sz w:val="22"/>
        </w:rPr>
        <w:t>) and, in the event any Acceptable Commitment is later cancelled or terminated for any reason before the Net Proceeds are applied in connection therewith, the Company or such Restricted Subsidiary enters into another Acceptable Commitment (a “</w:t>
      </w:r>
      <w:r>
        <w:rPr>
          <w:rFonts w:ascii="Times New Roman;serif" w:hAnsi="Times New Roman;serif"/>
          <w:b w:val="false"/>
          <w:sz w:val="22"/>
          <w:u w:val="single"/>
        </w:rPr>
        <w:t>Second Commitment</w:t>
      </w:r>
      <w:r>
        <w:rPr>
          <w:rFonts w:ascii="Times New Roman" w:hAnsi="Times New Roman"/>
          <w:sz w:val="20"/>
        </w:rPr>
        <w:t>”</w:t>
      </w:r>
      <w:r>
        <w:rPr>
          <w:rFonts w:ascii="Times New Roman;serif" w:hAnsi="Times New Roman;serif"/>
          <w:b w:val="false"/>
          <w:sz w:val="22"/>
        </w:rPr>
        <w:t xml:space="preserve">) within 180 days of such cancellation or termination; </w:t>
      </w:r>
      <w:r>
        <w:rPr>
          <w:rFonts w:ascii="Times New Roman;serif" w:hAnsi="Times New Roman;serif"/>
          <w:b w:val="false"/>
          <w:i/>
          <w:sz w:val="22"/>
        </w:rPr>
        <w:t>provided further</w:t>
      </w:r>
      <w:r>
        <w:rPr>
          <w:rFonts w:ascii="Times New Roman" w:hAnsi="Times New Roman"/>
          <w:sz w:val="20"/>
        </w:rPr>
        <w:t xml:space="preserve"> </w:t>
      </w:r>
      <w:r>
        <w:rPr>
          <w:rFonts w:ascii="Times New Roman;serif" w:hAnsi="Times New Roman;serif"/>
          <w:b w:val="false"/>
          <w:sz w:val="22"/>
        </w:rPr>
        <w:t>that if any Second Commitment is later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cancelled or terminated for any reason before such Net Proceeds are applied, then such Net Proceeds shall constitute Excess Proceeds on the date of such cancellation or termination.</w:t>
      </w:r>
    </w:p>
    <w:p>
      <w:pPr>
        <w:pStyle w:val="TextBody"/>
        <w:bidi w:val="0"/>
        <w:spacing w:before="0" w:after="240"/>
        <w:jc w:val="left"/>
        <w:rPr>
          <w:rFonts w:ascii="Times New Roman" w:hAnsi="Times New Roman"/>
          <w:sz w:val="20"/>
        </w:rPr>
      </w:pPr>
      <w:bookmarkStart w:id="58" w:name="ole_link2"/>
      <w:bookmarkEnd w:id="58"/>
      <w:r>
        <w:rPr>
          <w:rFonts w:ascii="Times New Roman;serif" w:hAnsi="Times New Roman;serif"/>
          <w:b w:val="false"/>
          <w:sz w:val="22"/>
        </w:rPr>
        <w:t>(c) Notwithstanding any other provisions of this covenant, (i) to the extent that any of or all the Net Proceeds of any Asset Sale received or deemed to be received by a Foreign Subsidiary (a “</w:t>
      </w:r>
      <w:r>
        <w:rPr>
          <w:rFonts w:ascii="Times New Roman;serif" w:hAnsi="Times New Roman;serif"/>
          <w:b w:val="false"/>
          <w:sz w:val="22"/>
          <w:u w:val="single"/>
        </w:rPr>
        <w:t>Foreign Disposition</w:t>
      </w:r>
      <w:r>
        <w:rPr>
          <w:rFonts w:ascii="Times New Roman" w:hAnsi="Times New Roman"/>
          <w:sz w:val="20"/>
        </w:rPr>
        <w:t>”</w:t>
      </w:r>
      <w:r>
        <w:rPr>
          <w:rFonts w:ascii="Times New Roman;serif" w:hAnsi="Times New Roman;serif"/>
          <w:b w:val="false"/>
          <w:sz w:val="22"/>
        </w:rPr>
        <w:t>) is (x) prohibited or delayed by applicable local law, (y) restricted by applicable organizational documents or any agreement or (z) subject to other onerous organizational or administrative impediments from being repatriated to United Kingdom, an amount equal to the portion of such Net Proceeds so affected shall not be required to be applied in compliance with this covenant, and such amounts shall not be so applied so long, but only so long, as the applicable local law, documents or agreements will not permit repatriation to either Issuer’s country of domicile (the Issuers hereby agree to use reasonable efforts (as determined in the Issuers’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impediments or other impediment to permit such repatriation), and if within one year following the date on which the respective payment would otherwise have been required, such repatriation of any of such affected Net Proceeds is permitted under the applicable local law, applicable organizational impediment or other impediment, an amount equal to such Net Proceeds (net of additional taxes that would be payable or reserved against as a result of such repatriation but only to the extent such taxes do not reduce Net Proceeds pursuant to the definition thereof) will be promptly (and in any event not later than five Business Days after such repatriation could be made) applied in compliance with this covenant and (ii) to the extent that the Company has determined in good faith that repatriation of any of or all the Net Proceeds of any Foreign Disposition would have an adverse tax consequence (which for the avoidance of doubt, includes, but is not limited to, any prepayment out of such Net Proceeds whereby doing so the Company, any of its Subsidiaries, any parent entity or any of their respective affiliates and/or equity owners would incur a tax liability, including a tax dividend, deemed dividend pursuant to Code Section 956 or a withholding tax), an amount equal to the Net Proceeds so affected may be retained by the applicable Foreign Subsidiary. The non-application of any prepayment amounts as a consequence of the foregoing provisions will not, for the avoidance of doubt, constitute a Default or an Event of Default.</w:t>
      </w:r>
    </w:p>
    <w:p>
      <w:pPr>
        <w:pStyle w:val="TextBody"/>
        <w:bidi w:val="0"/>
        <w:spacing w:before="0" w:after="240"/>
        <w:jc w:val="left"/>
        <w:rPr>
          <w:rFonts w:ascii="Times New Roman" w:hAnsi="Times New Roman"/>
          <w:sz w:val="20"/>
        </w:rPr>
      </w:pPr>
      <w:r>
        <w:rPr>
          <w:rFonts w:ascii="Times New Roman;serif" w:hAnsi="Times New Roman;serif"/>
          <w:b w:val="false"/>
          <w:sz w:val="22"/>
        </w:rPr>
        <w:t>(d) When the Net Proceeds from the Asset Sale that are not invested or applied as provided and within the time period set forth in the second preceding paragraph (it being understood that any portion of such Net Proceeds used to make an offer to purchase Notes as described in clause (b)(1)(A) or (b)(1)(C) above, will be deemed to have been so applied whether or not such offer is accepted) exceeds the greater of $300.0 million and 40.0% of LTM EBITDA for the most recently ended Test Period (such amount of Net Proceeds that are in excess of the greater of $300.0 million and 40.0% of LTM EBITDA for the most recently ended Test Period, “</w:t>
      </w:r>
      <w:r>
        <w:rPr>
          <w:rFonts w:ascii="Times New Roman;serif" w:hAnsi="Times New Roman;serif"/>
          <w:b w:val="false"/>
          <w:sz w:val="22"/>
          <w:u w:val="single"/>
        </w:rPr>
        <w:t>Excess Proceeds</w:t>
      </w:r>
      <w:r>
        <w:rPr>
          <w:rFonts w:ascii="Times New Roman" w:hAnsi="Times New Roman"/>
          <w:sz w:val="20"/>
        </w:rPr>
        <w:t>”</w:t>
      </w:r>
      <w:r>
        <w:rPr>
          <w:rFonts w:ascii="Times New Roman;serif" w:hAnsi="Times New Roman;serif"/>
          <w:b w:val="false"/>
          <w:sz w:val="22"/>
        </w:rPr>
        <w:t>), then subject to the limitations with respect to Foreign Dispositions set forth above, the Issuers will make an offer (an “</w:t>
      </w:r>
      <w:r>
        <w:rPr>
          <w:rFonts w:ascii="Times New Roman;serif" w:hAnsi="Times New Roman;serif"/>
          <w:b w:val="false"/>
          <w:sz w:val="22"/>
          <w:u w:val="single"/>
        </w:rPr>
        <w:t>Asset Sale Offer</w:t>
      </w:r>
      <w:r>
        <w:rPr>
          <w:rFonts w:ascii="Times New Roman" w:hAnsi="Times New Roman"/>
          <w:sz w:val="20"/>
        </w:rPr>
        <w:t>”</w:t>
      </w:r>
      <w:r>
        <w:rPr>
          <w:rFonts w:ascii="Times New Roman;serif" w:hAnsi="Times New Roman;serif"/>
          <w:b w:val="false"/>
          <w:sz w:val="22"/>
        </w:rPr>
        <w:t>) to all Holders of the Notes and, at the option of the Issuers, to any holders of any Pari Passu Indebtedness, to purchase the maximum aggregate principal amount of the Notes and such Pari Passu Indebtedness that is, in the case of the Notes, in an amount equal to at least $200,000 or an integral multiple of $1,000 in excess thereof that may be purchased out of the Excess Proceeds at an offer price, in the case of the Notes, in cash in an amount equal to 100.0% of the principal amount thereof (or accreted value thereof, if less), plus accrued and unpaid interest, if any, to, but not including, the date fixed for the closing of such offer, in accordance with the procedures set forth in this Indenture (and, in respect of such Pari Passu Indebtedness, such other price, if any, as may be provided for by the terms of such Pari Passu Indebtedness). The Issuers will commence an Asset Sale Offer with respect to Excess Proceeds within 30 days after the expiration of the Proceeds Application Period by delivering the notice required pursuant to the terms of this Indenture, with a copy to the Trustee. The Issuers may, at their option, satisfy the foregoing obligations with respect to any Net Proceeds from an Asset Sale by making an Asset Sale Offer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with respect to such Net Proceeds prior to the expiration of the Proceeds Application Period (the “</w:t>
      </w:r>
      <w:r>
        <w:rPr>
          <w:rFonts w:ascii="Times New Roman;serif" w:hAnsi="Times New Roman;serif"/>
          <w:b w:val="false"/>
          <w:sz w:val="22"/>
          <w:u w:val="single"/>
        </w:rPr>
        <w:t>Advance Offer</w:t>
      </w:r>
      <w:r>
        <w:rPr>
          <w:rFonts w:ascii="Times New Roman" w:hAnsi="Times New Roman"/>
          <w:sz w:val="20"/>
        </w:rPr>
        <w:t>”</w:t>
      </w:r>
      <w:r>
        <w:rPr>
          <w:rFonts w:ascii="Times New Roman;serif" w:hAnsi="Times New Roman;serif"/>
          <w:b w:val="false"/>
          <w:sz w:val="22"/>
        </w:rPr>
        <w:t>) with respect to all or a part of the Net Proceeds (the “</w:t>
      </w:r>
      <w:r>
        <w:rPr>
          <w:rFonts w:ascii="Times New Roman;serif" w:hAnsi="Times New Roman;serif"/>
          <w:b w:val="false"/>
          <w:sz w:val="22"/>
          <w:u w:val="single"/>
        </w:rPr>
        <w:t>Advance Portion</w:t>
      </w:r>
      <w:r>
        <w:rPr>
          <w:rFonts w:ascii="Times New Roman" w:hAnsi="Times New Roman"/>
          <w:sz w:val="20"/>
        </w:rPr>
        <w:t>”</w:t>
      </w:r>
      <w:r>
        <w:rPr>
          <w:rFonts w:ascii="Times New Roman;serif" w:hAnsi="Times New Roman;serif"/>
          <w:b w:val="false"/>
          <w:sz w:val="22"/>
        </w:rPr>
        <w:t>) in advance of being required to do so by this Indenture or with respect to any Declined Excess Proceeds.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To the extent that the aggregate principal amount (or accreted value, as applicable) of Notes and such Pari Passu Indebtedness tendered pursuant to an Asset Sale Offer is less than the Excess Proceeds (or in the case of an Advance Offer, the Advance Portion), the Issuers may include any remaining Excess Proceeds (or in the case of an Advance Offer, the Advance Portion) in Declined Excess Proceeds, and use such Declined Excess Proceeds for any purpose not otherwise prohibited by this Indenture. If the aggregate principal amount (or accreted value, as applicable) of Notes or the Pari Passu Indebtedness surrendered by such holders thereof exceeds the amount of Excess Proceeds (or, in the case of an Advance Offer, the Advance Portion), the Issuers shall select the Notes (while the Notes are in global form pursuant to the procedures of DTC) and such Pari Passu Indebtedness to be purchased on a </w:t>
      </w:r>
      <w:r>
        <w:rPr>
          <w:rFonts w:ascii="Times New Roman;serif" w:hAnsi="Times New Roman;serif"/>
          <w:b w:val="false"/>
          <w:i/>
          <w:sz w:val="22"/>
        </w:rPr>
        <w:t>pro rata</w:t>
      </w:r>
      <w:r>
        <w:rPr>
          <w:rFonts w:ascii="Times New Roman" w:hAnsi="Times New Roman"/>
          <w:sz w:val="20"/>
        </w:rPr>
        <w:t xml:space="preserve"> </w:t>
      </w:r>
      <w:r>
        <w:rPr>
          <w:rFonts w:ascii="Times New Roman;serif" w:hAnsi="Times New Roman;serif"/>
          <w:b w:val="false"/>
          <w:sz w:val="22"/>
        </w:rPr>
        <w:t xml:space="preserve">basis based on the accreted value or aggregate principal amount of the Notes or such Pari Passu Indebtedness tendered; </w:t>
      </w:r>
      <w:r>
        <w:rPr>
          <w:rFonts w:ascii="Times New Roman;serif" w:hAnsi="Times New Roman;serif"/>
          <w:b w:val="false"/>
          <w:i/>
          <w:sz w:val="22"/>
        </w:rPr>
        <w:t>provided</w:t>
      </w:r>
      <w:r>
        <w:rPr>
          <w:rFonts w:ascii="Times New Roman;serif" w:hAnsi="Times New Roman;serif"/>
          <w:b w:val="false"/>
          <w:sz w:val="22"/>
        </w:rPr>
        <w:t>, that no Notes will be selected and purchased in an unauthorized denomination. Upon completion of any such Asset Sale Offer, the amount of Excess Proceeds (or in the case of an Advance Offer, the Advance Portion) will be reset to zero. An Asset Sale Offer may be made at the same time as consents are solicited with respect to an amendment, supplement or waiver of this Indenture, Notes and/or Guarantees.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Pending the final application of any Net Proceeds pursuant to this covenant, the holder of such Net Proceeds may apply such Net Proceeds temporarily to reduce Indebtedness outstanding under a revolving credit facility or otherwise use such Net Proceeds in any manner not prohibited by this Indenture. The Company or any Restricted Subsidiary, as the case may be, may elect to invest in the Company and its Subsidiaries prior to receiving the Net Proceeds attributable to any given Asset Sale (provided that such investment shall be made no earlier than execution of a definitive agreement for the relevant Asset Sale) and deem the amount so invested to be applied pursuant to and in accordance with clauses (2) or (3) above with respect to such Asset Sale.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 To the extent that the provisions of any securities laws or regulations conflict with the provisions of this Indenture, and the Issuers comply with the applicable securities laws and regulations, then the Issuers shall not be deemed to have breached their obligations described in this Indenture by virtue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The provisions under this Indenture relative to the Issuers’ obligations to make an offer to repurchase the Notes as a result of an Asset Sale may be waived or modified with the written consent of the Holders of a majority in principal amount of the Notes then outstanding.</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4.11 Transactions with Affiliates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The Company shall not, and shall not permit any of its Restricted Subsidiaries to, enter into or make or amend any transaction, contract, agreement, understanding, loan, advance or guarantee with, any Affiliate of the Company (each of the foregoing, an “</w:t>
      </w:r>
      <w:r>
        <w:rPr>
          <w:rFonts w:ascii="Times New Roman;serif" w:hAnsi="Times New Roman;serif"/>
          <w:b w:val="false"/>
          <w:sz w:val="22"/>
          <w:u w:val="single"/>
        </w:rPr>
        <w:t>Affiliate Transaction</w:t>
      </w:r>
      <w:r>
        <w:rPr>
          <w:rFonts w:ascii="Times New Roman" w:hAnsi="Times New Roman"/>
          <w:sz w:val="20"/>
        </w:rPr>
        <w:t>”</w:t>
      </w:r>
      <w:r>
        <w:rPr>
          <w:rFonts w:ascii="Times New Roman;serif" w:hAnsi="Times New Roman;serif"/>
          <w:b w:val="false"/>
          <w:sz w:val="22"/>
        </w:rPr>
        <w:t>) involving aggregate payments or consideration in excess of the greater of $75.0 million and 10.0% of LTM EBITDA for the most recently ended Test Period as of such date, unless: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such Affiliate Transaction is on terms that are not materially less favorable to the Company or its relevant Restricted Subsidiary than those that would have been obtained in a comparable transaction by the Company or such Restricted Subsidiary with an unrelated Person on an arm’s-length basis;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in the event any Affiliate Transaction or series of related Affiliate Transactions involves aggregate payments or consideration in excess of the greater of $112.5 million and 15.0% of LTM EBITDA for the most recently ended Test Period as of such date the terms of such transaction have been approved by a majority of the members of the board of directors of the Company.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 Affiliate Transaction shall be deemed to have satisfied the requirements set forth in clause (2) of this Section 4.11(a) if such Affiliate Transaction is approved by a majority of the Disinterested Directors of the Company, if any.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provisions of Section 4.11(a) hereof shall not apply to the following:</w:t>
      </w:r>
    </w:p>
    <w:p>
      <w:pPr>
        <w:pStyle w:val="TextBody"/>
        <w:bidi w:val="0"/>
        <w:spacing w:before="0" w:after="240"/>
        <w:jc w:val="left"/>
        <w:rPr>
          <w:rFonts w:ascii="Times New Roman" w:hAnsi="Times New Roman"/>
          <w:sz w:val="20"/>
        </w:rPr>
      </w:pPr>
      <w:r>
        <w:rPr>
          <w:rFonts w:ascii="Times New Roman;serif" w:hAnsi="Times New Roman;serif"/>
          <w:b w:val="false"/>
          <w:sz w:val="22"/>
        </w:rPr>
        <w:t>(1) transactions between or among the Company, any Restricted Subsidiary and/or any entity that becomes a Restricted Subsidiary as a result of such transaction;</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Restricted Payments permitted by Section 4.07 hereof and the definition of “Permitted Investments;”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the payment of management, consulting, monitoring, advisory and other fees and related expenses to the Investors or management companies of the Investors (including indemnification and other similar amounts) pursuant to any Sponsor Management Agreement or any other investor management agreement entered into with the Investors after the Completion Date, which agreement shall be on terms not materially less favorable to the Issuers and their Restricted Subsidiaries than the terms of the Sponsor Management Agreement in effect on the Completion Date (plus any unpaid management, consulting, monitoring and advisory fees and related expenses within such amount accrued in any prior year) and any termination fees pursuant to any Sponsor Management Agreement, as in effect on the Issue Date or any amendment thereto (so long as any such amendment or replacement is not materially disadvantageous, in the good faith judgment of the board of directors of the Company to Holders when taken as a whole as compared to the Sponsor Management Agreement in effect on the Completion Date);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the payment of reasonable and customary fees, reasonable out-of-pocket costs and compensation paid to, and indemnities and reimbursements and employment and severance arrangements provided on behalf of or for the benefit of, members of the board of directors, current or former employees, directors, officers, managers, distributors or consultants of the Company, any of its direct or indirect parent companies or any of its Restricted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transactions in which the Company or any of its Restricted Subsidiaries, as the case may be, deliver to the Trustee a letter from an Independent Financial Advisor stating that such transaction is fair to the Company or such Restricted Subsidiary from a financial point of view or stating that the terms are not materially less favorable to the Company or their relevant Restricted Subsidiary than those that would have been obtained in a comparable transaction by the Company or such Restricted Subsidiary with an unrelated Person on an arm’s-length basis;</w:t>
      </w:r>
    </w:p>
    <w:p>
      <w:pPr>
        <w:pStyle w:val="TextBody"/>
        <w:bidi w:val="0"/>
        <w:spacing w:before="0" w:after="240"/>
        <w:jc w:val="left"/>
        <w:rPr>
          <w:rFonts w:ascii="Times New Roman" w:hAnsi="Times New Roman"/>
          <w:sz w:val="20"/>
        </w:rPr>
      </w:pPr>
      <w:r>
        <w:rPr>
          <w:rFonts w:ascii="Times New Roman;serif" w:hAnsi="Times New Roman;serif"/>
          <w:b w:val="false"/>
          <w:sz w:val="22"/>
        </w:rPr>
        <w:t>(6) any agreement or arrangement as in effect as of the Completion Date, or any amendment thereto or replacement thereof (so long as any such amendment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replacement is not disadvantageous in any material respect to the Holders when taken as a whole as compared to the applicable agreement as in effect on the Completion Date);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(7) the existence of, or the performance by the Company or any of its Restricted Subsidiaries of their obligations under the terms of, any stockholders agreement or the equivalent (including any registration rights agreement or purchase agreement related thereto) to which it is a party as of the Completion Date and any similar agreements which it may enter into thereafter;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the existence of, or the performance by the Company or any of its Restricted Subsidiaries of obligations under any future amendment to any such existing agreement or under any similar agreement entered into after the Completion Date shall only be permitted by this clause (7) to the extent that the terms of any such existing agreement together with all amendments thereto are not otherwise disadvantageous in any material respect to the Holders when taken as a whole;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transactions with customers, clients, suppliers, contractors, joint venture partners or purchasers or sellers of goods or services that are Affiliates, in each case in the ordinary course of business and which are fair to the Company and the Restricted Subsidiaries, in the reasonable determination of the Company, or are on terms at least as favorable as might reasonably have been obtained at such time from an unaffiliated party;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(9) the issuance or transfer of Equity Interests (other than Disqualified Stock) of the Company to any Permitted Holder or to any director, officer, employee or consultant (or their respective estates, investment funds, investment vehicles, spouses or former spouses) of the Company, any of its direct or indirect parent companies or any of its Subsidiaries and issuances of Equity Interests of the Company to the extent otherwise permitted by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sales of accounts receivable, or participations therein, Receivables Assets or related assets in connection with any Receivables Facility;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payments by the Company or any of its Restricted Subsidiaries to any of the Investors made for any financial advisory, consulting, financing, underwriting or placement services or in respect of other investment banking activities, (including, without limitation, in connection with acquisitions, divestitures or financing) which payments are approved by a majority of the board of directors of the Company in good faith or a majority of the disinterested members of the board of directors of the Company in good faith;</w:t>
      </w:r>
    </w:p>
    <w:p>
      <w:pPr>
        <w:pStyle w:val="TextBody"/>
        <w:bidi w:val="0"/>
        <w:spacing w:before="0" w:after="240"/>
        <w:jc w:val="left"/>
        <w:rPr>
          <w:rFonts w:ascii="Times New Roman" w:hAnsi="Times New Roman"/>
          <w:sz w:val="20"/>
        </w:rPr>
      </w:pPr>
      <w:r>
        <w:rPr>
          <w:rFonts w:ascii="Times New Roman;serif" w:hAnsi="Times New Roman;serif"/>
          <w:b w:val="false"/>
          <w:sz w:val="22"/>
        </w:rPr>
        <w:t>(12) payments, Indebtedness and Disqualified Stock (and cancellation of any thereof) of the Company and its Restricted Subsidiaries and Preferred Stock (and cancellation of any thereof) of any Restricted Subsidiary to any future, current or former employee, director, officer, manager or consultant (or their respective Controlled Investment Affiliates or Immediate Family Members) of the Company, any of its Subsidiaries or any of their direct or indirect parent companies pursuant to any management equity plan or stock option plan or any other management or employee benefit plan or agreement or any stock subscription or shareholder agreement; and any employment agreements, stock option plans and other compensatory arrangements (and any successor plans thereto) and any supplemental executive retirement benefit plans or arrangements with any such employees, directors, officers, managers or consultants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their respective Controlled Investment Affiliates or Immediate Family Members) that are, in each case, approved by the board of directors of the Company in good faith;</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(13) investments by any of the Investors in securities of the Company or any of its Restricted Subsidiaries (and payment of reasonable out-of-pocket expenses incurred by such Investors in connection therewith) so long as (i) the investment is being offered generally to other investors on the same or more favorable terms and (ii) the investment constitutes less than a majority of the proposed or outstanding issue amount of such class of securities;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(14) transactions with a Person that is an Affiliate of the Company solely because the Company owns, directly or indirectly (including through an Unrestricted Subsidiary), an Equity Interest in or controls such Person;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(15) the Transactions, the offering of Notes and payments made in connection with the Transactions (including the offering of Notes), including the payment of fees and expenses;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(16) employment and severance arrangements between the Company and its Restricted Subsidiaries and their respective officers and employees in the ordinary course of business or otherwise in connection with the Transactions (including loans and advances pursuant to clause (17) of the definition of “Permitted Investments”);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(17) (a) tax sharing agreements, tax groupings and arrangements for the payment of taxes or the surrender or reallocation of taxes or tax reliefs among direct and indirect parent companies of the Company, the Company and its Restricted Subsidiaries and payments thereunder on customary terms to the extent attributable to the ownership or operation of the Company and its Restricted Subsidiaries and (b) transactions undertaken in good faith (as certified by the Company or the Issuers in an Officer’s Certificate) for the purposes of improving the consolidated tax efficiency of the Company and its Subsidiaries;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(18) payments to or from, and transactions with, any joint venture in the ordinary course of business (including, without limitation, any cash management activities related thereto);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(19) any lease or sublease entered into between the Company or any Restricted Subsidiary, as lessee or sublessee and any Affiliate of the Company, as lessor or sublessor, which is approved by a majority of the disinterested members of the board of directors of the Company in good faith;</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(20) intellectual property licenses or sublicenses (including the provision of software under an open source license) in the ordinary course of business;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(21) any transition services arrangement, supply arrangement or similar arrangement entered into in connection with or in contemplation of the disposition of assets or Equity Interests in any Restricted Subsidiary permitted under Section 4.10 or entered into with any Business Successor, in each case, that the Company determines in good faith is either fair to the Company or otherwise on customary terms for such type of arrangements in connection with similar transactions.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4.12 Liens</w:t>
      </w:r>
      <w:r>
        <w:rPr>
          <w:rFonts w:ascii="Times New Roman;serif" w:hAnsi="Times New Roman;serif"/>
          <w:b w:val="false"/>
          <w:sz w:val="22"/>
        </w:rPr>
        <w:t>.</w:t>
      </w:r>
    </w:p>
    <w:p>
      <w:pPr>
        <w:pStyle w:val="TextBody"/>
        <w:bidi w:val="0"/>
        <w:spacing w:before="0" w:after="240"/>
        <w:jc w:val="left"/>
        <w:rPr>
          <w:rFonts w:ascii="Times New Roman" w:hAnsi="Times New Roman"/>
          <w:sz w:val="20"/>
        </w:rPr>
      </w:pPr>
      <w:bookmarkStart w:id="59" w:name="ole_link3"/>
      <w:bookmarkEnd w:id="59"/>
      <w:r>
        <w:rPr>
          <w:rFonts w:ascii="Times New Roman;serif" w:hAnsi="Times New Roman;serif"/>
          <w:b w:val="false"/>
          <w:sz w:val="22"/>
        </w:rPr>
        <w:t>The Company will not, and will not permit either of the Issuers or any Guarantor to, directly or indirectly create, incur, assume or permit to exist any Lien (except Permitted Liens) (each, an “</w:t>
      </w:r>
      <w:r>
        <w:rPr>
          <w:rFonts w:ascii="Times New Roman;serif" w:hAnsi="Times New Roman;serif"/>
          <w:b w:val="false"/>
          <w:sz w:val="22"/>
          <w:u w:val="single"/>
        </w:rPr>
        <w:t>Initial Lien</w:t>
      </w:r>
      <w:r>
        <w:rPr>
          <w:rFonts w:ascii="Times New Roman" w:hAnsi="Times New Roman"/>
          <w:sz w:val="20"/>
        </w:rPr>
        <w:t>”</w:t>
      </w:r>
      <w:r>
        <w:rPr>
          <w:rFonts w:ascii="Times New Roman;serif" w:hAnsi="Times New Roman;serif"/>
          <w:b w:val="false"/>
          <w:sz w:val="22"/>
        </w:rPr>
        <w:t>) that secures Obligations under any Indebtedness or any related Guarantee, on any asset or property of the Company, the Issuers or any Guarantor, unless: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in the case of Initial Liens on any Collateral, (i) such Initial Lien expressly has Junior Lien Priority on the Collateral relative to the Notes and related Guarantees or (ii) such Lien is a Permitted Lien;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in the case of any Initial Lien on any asset or property that is not Collateral, (i) the Notes or the Guarantees are equally and ratably secured with (or on a senior basis to, in the case such Initial Lien secured any Subordinated Indebtedness) the Obligations secured by such Initial Lien until such time as such Obligations are no longer secured by such Initial Lien or (ii) such Initial Lien is a Permitted Lien, except that the foregoing shall not apply to Liens securing the Notes and the related Guarantees.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 Lien created for the benefit of Holders of the Notes in respect of property, assets or proceeds that do not constitute Collateral pursuant to this covenant shall provide by its terms that such Lien will be automatically and unconditionally released and discharged upon the release and discharge of the Initial Lien.</w:t>
      </w:r>
    </w:p>
    <w:p>
      <w:pPr>
        <w:pStyle w:val="TextBody"/>
        <w:bidi w:val="0"/>
        <w:spacing w:before="0" w:after="240"/>
        <w:jc w:val="left"/>
        <w:rPr>
          <w:rFonts w:ascii="Times New Roman" w:hAnsi="Times New Roman"/>
          <w:sz w:val="20"/>
        </w:rPr>
      </w:pPr>
      <w:r>
        <w:rPr>
          <w:rFonts w:ascii="Times New Roman;serif" w:hAnsi="Times New Roman;serif"/>
          <w:b w:val="false"/>
          <w:sz w:val="22"/>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serif" w:hAnsi="Times New Roman;serif"/>
          <w:b w:val="false"/>
          <w:sz w:val="22"/>
          <w:u w:val="single"/>
        </w:rPr>
        <w:t>Increased Amount</w:t>
      </w:r>
      <w:r>
        <w:rPr>
          <w:rFonts w:ascii="Times New Roman" w:hAnsi="Times New Roman"/>
          <w:sz w:val="20"/>
        </w:rPr>
        <w:t xml:space="preserve">” </w:t>
      </w:r>
      <w:r>
        <w:rPr>
          <w:rFonts w:ascii="Times New Roman;serif" w:hAnsi="Times New Roman;serif"/>
          <w:b w:val="false"/>
          <w:sz w:val="22"/>
        </w:rPr>
        <w:t>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4.13 Corporate Existence</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Except as otherwise provided in </w:t>
      </w:r>
      <w:r>
        <w:rPr>
          <w:rFonts w:ascii="Times New Roman;serif" w:hAnsi="Times New Roman;serif"/>
          <w:b w:val="false"/>
          <w:sz w:val="22"/>
          <w:u w:val="single"/>
        </w:rPr>
        <w:t>Article V</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10.6</w:t>
      </w:r>
      <w:r>
        <w:rPr>
          <w:rFonts w:ascii="Times New Roman" w:hAnsi="Times New Roman"/>
          <w:sz w:val="20"/>
        </w:rPr>
        <w:t xml:space="preserve"> </w:t>
      </w:r>
      <w:r>
        <w:rPr>
          <w:rFonts w:ascii="Times New Roman;serif" w:hAnsi="Times New Roman;serif"/>
          <w:b w:val="false"/>
          <w:sz w:val="22"/>
        </w:rPr>
        <w:t>hereof, the Company shall do or cause to be done all things necessary to preserve and keep in full force and</w:t>
      </w:r>
      <w:r>
        <w:rPr>
          <w:rFonts w:ascii="Times New Roman" w:hAnsi="Times New Roman"/>
          <w:sz w:val="20"/>
        </w:rPr>
        <w:t xml:space="preserve"> </w:t>
      </w:r>
      <w:r>
        <w:rPr>
          <w:rFonts w:ascii="Times New Roman;serif" w:hAnsi="Times New Roman;serif"/>
          <w:b w:val="false"/>
          <w:sz w:val="22"/>
        </w:rPr>
        <w:t xml:space="preserve">effect (i) its existence, corporate, partnership, limited liability company or otherwise, and the corporate, partnership, limited liability company or other existence of each of its Restricted Subsidiaries, in accordance with the respective organizational documents (as the same may be amended from time to time) of the Company or any such Restricted Subsidiary and (ii) the rights (charter and statutory), licenses and franchises of the Issuers and each Restricted Subsidiary;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the Company shall not be required to preserve any such right, license or franchise or the corporate, partnership, or other existence of any of its Restricted Subsidiaries, if the Company in good faith shall determine that the preservation thereof is no longer desirable in the conduct of the business of the Company and its Restricted Subsidiaries.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4.14 Offer to Repurchase Upon Change of Control</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If a Change of Control occurs, unless the Issuers have previously or substantially concurrently therewith delivered a redemption notice with respect to all the outstanding Notes as described under Section 3.07 hereof, Issuers shall make an offer to purchase all of the Notes pursuant to the offer described below (the “</w:t>
      </w:r>
      <w:r>
        <w:rPr>
          <w:rFonts w:ascii="Times New Roman;serif" w:hAnsi="Times New Roman;serif"/>
          <w:b w:val="false"/>
          <w:sz w:val="22"/>
          <w:u w:val="single"/>
        </w:rPr>
        <w:t>Change of Control Offer</w:t>
      </w:r>
      <w:r>
        <w:rPr>
          <w:rFonts w:ascii="Times New Roman" w:hAnsi="Times New Roman"/>
          <w:sz w:val="20"/>
        </w:rPr>
        <w:t>”</w:t>
      </w:r>
      <w:r>
        <w:rPr>
          <w:rFonts w:ascii="Times New Roman;serif" w:hAnsi="Times New Roman;serif"/>
          <w:b w:val="false"/>
          <w:sz w:val="22"/>
        </w:rPr>
        <w:t>) at a price in cash (the “</w:t>
      </w:r>
      <w:r>
        <w:rPr>
          <w:rFonts w:ascii="Times New Roman;serif" w:hAnsi="Times New Roman;serif"/>
          <w:b w:val="false"/>
          <w:sz w:val="22"/>
          <w:u w:val="single"/>
        </w:rPr>
        <w:t>Change of Control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Payment</w:t>
      </w:r>
      <w:r>
        <w:rPr>
          <w:rFonts w:ascii="Times New Roman" w:hAnsi="Times New Roman"/>
          <w:sz w:val="20"/>
        </w:rPr>
        <w:t>”</w:t>
      </w:r>
      <w:r>
        <w:rPr>
          <w:rFonts w:ascii="Times New Roman;serif" w:hAnsi="Times New Roman;serif"/>
          <w:b w:val="false"/>
          <w:sz w:val="22"/>
        </w:rPr>
        <w:t>) equal to 101.0% of the aggregate principal amount thereof plus accrued and unpaid interest, if any, to, but not including, the date of purchase. Within 30 days following any Change of Control, the Issuers shall send notice of such Change of Control Offer by electronic delivery in accordance with the procedures of DTC or first-class mail, with a copy to the Trustee, to each Holder of Notes to the address of such Holder appearing in the security register or otherwise in accordance with DTC’s applicable procedures, with the following information: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that a Change of Control Offer is being made pursuant to this covenant, and that all Notes properly tendered pursuant to such Change of Control Offer shall be accepted for payment by the Issuers;</w:t>
      </w:r>
    </w:p>
    <w:p>
      <w:pPr>
        <w:pStyle w:val="TextBody"/>
        <w:bidi w:val="0"/>
        <w:spacing w:before="0" w:after="240"/>
        <w:jc w:val="left"/>
        <w:rPr>
          <w:rFonts w:ascii="Times New Roman" w:hAnsi="Times New Roman"/>
          <w:sz w:val="20"/>
        </w:rPr>
      </w:pPr>
      <w:r>
        <w:rPr>
          <w:rFonts w:ascii="Times New Roman;serif" w:hAnsi="Times New Roman;serif"/>
          <w:b w:val="false"/>
          <w:sz w:val="22"/>
        </w:rPr>
        <w:t>(2) the purchase price and the purchase date, which shall be no earlier than 10 days nor later than 60 days from the date such notice is delivered except in the case of a conditional Change of Control Offer made in advance of a Change of Control as described below (the “</w:t>
      </w:r>
      <w:r>
        <w:rPr>
          <w:rFonts w:ascii="Times New Roman;serif" w:hAnsi="Times New Roman;serif"/>
          <w:b w:val="false"/>
          <w:sz w:val="22"/>
          <w:u w:val="single"/>
        </w:rPr>
        <w:t>Change of Control Payment Date</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that any Note not properly tendered shall remain outstanding and continue to accrue interest;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that unless the Issuers default in the payment of the Change of Control Payment, all Notes accepted for payment pursuant to the Change of Control Offer shall cease to accrue interest on the Change of Control Payment Date;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that Holders shall be entitled to withdraw their tendered Notes and their election to require the Issuers to purchase such Notes; </w:t>
      </w:r>
      <w:r>
        <w:rPr>
          <w:rFonts w:ascii="Times New Roman;serif" w:hAnsi="Times New Roman;serif"/>
          <w:b w:val="false"/>
          <w:i/>
          <w:sz w:val="22"/>
        </w:rPr>
        <w:t xml:space="preserve">provided </w:t>
      </w:r>
      <w:r>
        <w:rPr>
          <w:rFonts w:ascii="Times New Roman;serif" w:hAnsi="Times New Roman;serif"/>
          <w:b w:val="false"/>
          <w:sz w:val="22"/>
        </w:rPr>
        <w:t>that the paying agent receives, not later than the close of business on the second Business Day prior to the expiration date of the Change of Control Offer, a facsimile transmission, electronic transmission or letter setting forth the name of the Holder of the Notes, the principal amount of Notes tendered for purchase, and a statement that such Holder is withdrawing its tendered Notes and its election to have such Notes purchased;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that Holders whose Notes are being purchased only in part shall be issued new Notes and such new Notes shall be equal in principal amount to the unpurchased portion of the Notes surrendered. The unpurchased portion of the Notes must be equal to at least $200,000 or any integral multiple of $1,000 in excess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if such notice is delivered prior to the occurrence of a Change of Control, stating that the Change of Control Offer is conditional on the occurrence of such Change of Control and describing each such condition;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the other instructions, as determined by the Issuers, consistent with this Section 4.14, that a Holder must follow.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the extent that the provisions of any securities laws or regulations conflict with the provisions of this Section 4.14, the Issuers comply with the applicable securities laws and regulations, then the Issuers shall not be deemed to have breached their obligations under this Section 4.14 by virtue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On the Change of Control Payment Date, the Issuers shall, to the extent permitted by law,</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(1) accept for payment all Notes issued by it or portions thereof properly tendered pursuant to the Change of Control Offer,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(2) deposit with the paying agent an amount equal to the aggregate Change of Control Payment in respect of all Notes or portions thereof so tendered,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(3) deliver, or cause to be delivered, to the Trustee for cancellation the Notes so accepted together with an Officer’s Certificate to the Trustee stating that such Notes or portions thereof have been tendered to and purchased by the Issuers.</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Issuers shall not be required to make a Change of Control Offer following a Change of Control if a third party makes the Change of Control Offer in the manner, at the times and otherwise in compliance with the requirements set forth in this Section 4.14 applicable to a Change of Control Offer made by the Issuers and purchases all Notes validly tendered and not withdrawn under such Change of Control Offer.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Other than as specifically provided in this Section 4.14, any purchase pursuant to this Section 4.14 shall be made pursuant to the provisions of Sections 3.02, 3.05 and 3.06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4.15 Limitation on Guarantees of Indebtedness by Restricted Subsidiaries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Company shall not permit any of its Wholly Owned Subsidiaries (and non-Wholly Owned Subsidiaries if such non-Wholly Owned Subsidiaries guarantee, or are a co-issuer of, other capital markets debt securities of the Company or any Restricted Subsidiary in a principal amount in excess of the greater of $75.0 million and 10.0% of LTM EBITDA or guarantee all or a portion of, or are a co-borrower under, the Senior Credit Facilities) that are Restricted Subsidiaries, other than a Guarantor, or a Foreign Subsidiary (other than a Foreign Subsidiary that guarantees all or a portion of, or is a co-borrower under, the Senior Credit Facilities), to Guarantee the payment of any Indebtedness of the Company, the Issuers or any Guarantor, unless such Restricted Subsidiary within 60 days (i) executes and delivers a supplemental indenture to this Indenture, the form of which is attached as </w:t>
      </w:r>
      <w:r>
        <w:rPr>
          <w:rFonts w:ascii="Times New Roman;serif" w:hAnsi="Times New Roman;serif"/>
          <w:b w:val="false"/>
          <w:sz w:val="22"/>
          <w:u w:val="single"/>
        </w:rPr>
        <w:t>Exhibit D</w:t>
      </w:r>
      <w:r>
        <w:rPr>
          <w:rFonts w:ascii="Times New Roman" w:hAnsi="Times New Roman"/>
          <w:sz w:val="20"/>
        </w:rPr>
        <w:t xml:space="preserve"> </w:t>
      </w:r>
      <w:r>
        <w:rPr>
          <w:rFonts w:ascii="Times New Roman;serif" w:hAnsi="Times New Roman;serif"/>
          <w:b w:val="false"/>
          <w:sz w:val="22"/>
        </w:rPr>
        <w:t xml:space="preserve">hereto, providing for a Guarantee by such Restricted Subsidiary, except that with respect to a guarantee of Indebtedness of the Company, the Issuers or any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 or such Guarantor’s Guarantee of the Notes and (ii) executes and delivers a supplement or joinder to the Collateral Documents or new Collateral Documents and takes all actions required thereunder to perfect the Liens created thereunder;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if such Indebtedness is by its express terms subordinated in right of payment to the Notes or such Guarantor’s Guarantee, any such guarantee by such Restricted Subsidiary with respect to such Indebtedness shall be subordinated in right of payment to such Guarantee with respect to the Notes substantially to the same extent as such Indebtedness is subordinated to the Notes or such Guarantor’s Guarantee of the Notes;</w:t>
      </w:r>
      <w:r>
        <w:rPr>
          <w:rFonts w:ascii="Times New Roman" w:hAnsi="Times New Roman"/>
          <w:sz w:val="20"/>
        </w:rPr>
        <w:t xml:space="preserve">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this Section 4.15 shall not be applicable (i) to any guarantee of any Restricted Subsidiary that existed at the time such Person became a Restricted Subsidiary and was not incurred in connection with, or in contemplation of, such Person becoming a Restricted Subsidiary, (ii) guarantees of any Receivables Facility by any Receivables Subsidiary, or (iii) in the event that the Guarantee of the Company’s obligations under the Notes or this Indenture by such Subsidiary would not be permitted under applicable law.</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Company may elect, in its sole discretion, to cause any Subsidiary that is not otherwise required to be a Guarantor to become a Guarantor, in which case, such Subsidiary shall not be required to comply with the 60-day period described above and such Guarantee may be released at any time in the Company’s sole discretion so long as any Indebtedness of such Subsidiary then outstanding could have been incurred by such Subsidiary (either (x) when so incurred or (y) at the time of the release of such Guarantee) assuming such Subsidiary were not a Guarantor at such time.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If any Guarantor becomes an Immaterial Subsidiary, the Issuers shall have the right, by delivery of a supplemental indenture executed by the Issuers to the Trustee, to cause such Immaterial Subsidiary to automatically and unconditionally cease to be a Guarantor, subject to the requirement described in the first paragraph above that such Subsidiary shall be required to become a Guarantor if it ceases to be an Immaterial Subsidiary (except that if such Subsidiary has been properly designated as an Unrestricted Subsidiary it shall not be so required to become a Guarantor or execute a supplemental indenture);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further</w:t>
      </w:r>
      <w:r>
        <w:rPr>
          <w:rFonts w:ascii="Times New Roman;serif" w:hAnsi="Times New Roman;serif"/>
          <w:b w:val="false"/>
          <w:sz w:val="22"/>
        </w:rPr>
        <w:t>, that such Immaterial Subsidiary shall not be permitted to Guarantee the Senior Credit Facilities or other Indebtedness of the Issuers or the other Guarantors, unless it again becomes a Guarantor.</w:t>
      </w:r>
    </w:p>
    <w:p>
      <w:pPr>
        <w:pStyle w:val="TextBody"/>
        <w:bidi w:val="0"/>
        <w:spacing w:before="0" w:after="240"/>
        <w:jc w:val="left"/>
        <w:rPr>
          <w:rFonts w:ascii="Times New Roman" w:hAnsi="Times New Roman"/>
          <w:sz w:val="20"/>
        </w:rPr>
      </w:pPr>
      <w:r>
        <w:rPr>
          <w:rFonts w:ascii="Times New Roman;serif" w:hAnsi="Times New Roman;serif"/>
          <w:b w:val="false"/>
          <w:sz w:val="22"/>
        </w:rPr>
        <w:t>Following the Completion Date, but in no event later than 150 days after the Completion Date, Inmarsat Group Holdings Inc., Inmarsat Government Inc., Inmarsat Solutions (US) Inc., Inmarsat Inc., ISAT US Inc., Stratos Government Services Inc., Inmarsat Commercial Services Inc., Inmarsat Plc,</w:t>
      </w:r>
      <w:r>
        <w:rPr>
          <w:rFonts w:ascii="Times New Roman" w:hAnsi="Times New Roman"/>
          <w:sz w:val="20"/>
        </w:rPr>
        <w:t xml:space="preserve"> </w:t>
      </w:r>
      <w:r>
        <w:rPr>
          <w:rFonts w:ascii="Times New Roman;serif" w:hAnsi="Times New Roman;serif"/>
          <w:b w:val="false"/>
          <w:sz w:val="22"/>
        </w:rPr>
        <w:t>Inmarsat Global Limited and Inmarsat Solutions AS shall execute and deliver to the Trustee the Completion Date Supplemental Indenture and be added under this Indenture.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4.16 Discharge and Suspension of Covenants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If on any date following the Completion Date (i) the Notes have Investment Grade Ratings from two Rating Agencies (“</w:t>
      </w:r>
      <w:r>
        <w:rPr>
          <w:rFonts w:ascii="Times New Roman;serif" w:hAnsi="Times New Roman;serif"/>
          <w:b w:val="false"/>
          <w:sz w:val="22"/>
          <w:u w:val="single"/>
        </w:rPr>
        <w:t>Investment Grade Status</w:t>
      </w:r>
      <w:r>
        <w:rPr>
          <w:rFonts w:ascii="Times New Roman" w:hAnsi="Times New Roman"/>
          <w:sz w:val="20"/>
        </w:rPr>
        <w:t>”</w:t>
      </w:r>
      <w:r>
        <w:rPr>
          <w:rFonts w:ascii="Times New Roman;serif" w:hAnsi="Times New Roman;serif"/>
          <w:b w:val="false"/>
          <w:sz w:val="22"/>
        </w:rPr>
        <w:t>), and (ii) no Event of Default has occurred and is continuing under this Indenture (the occurrence of the events described in the foregoing clauses (i) and (ii) being collectively referred to as a “</w:t>
      </w:r>
      <w:r>
        <w:rPr>
          <w:rFonts w:ascii="Times New Roman;serif" w:hAnsi="Times New Roman;serif"/>
          <w:b w:val="false"/>
          <w:sz w:val="22"/>
          <w:u w:val="single"/>
        </w:rPr>
        <w:t>Covenant Suspension Event</w:t>
      </w:r>
      <w:r>
        <w:rPr>
          <w:rFonts w:ascii="Times New Roman" w:hAnsi="Times New Roman"/>
          <w:sz w:val="20"/>
        </w:rPr>
        <w:t>”</w:t>
      </w:r>
      <w:r>
        <w:rPr>
          <w:rFonts w:ascii="Times New Roman;serif" w:hAnsi="Times New Roman;serif"/>
          <w:b w:val="false"/>
          <w:sz w:val="22"/>
        </w:rPr>
        <w:t>), the Company and its Restricted Subsidiaries will not be subject to Section 4.07 hereof, Section 4.08 hereof, Section 4.09 hereof, Section 4.10 hereof, Section 4.11 hereof, Section 4.14 hereof, Section 4.15 hereof and clause (3) of Section 5.01(a) hereof (collectively, the “</w:t>
      </w:r>
      <w:r>
        <w:rPr>
          <w:rFonts w:ascii="Times New Roman;serif" w:hAnsi="Times New Roman;serif"/>
          <w:b w:val="false"/>
          <w:sz w:val="22"/>
          <w:u w:val="single"/>
        </w:rPr>
        <w:t>Suspended Covenants</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(b) In the event that the Company and its Restricted Subsidiaries are not subject to the Suspended Covenants hereunder for any period of time as a result of the foregoing, and on any subsequent date (the “</w:t>
      </w:r>
      <w:r>
        <w:rPr>
          <w:rFonts w:ascii="Times New Roman;serif" w:hAnsi="Times New Roman;serif"/>
          <w:b w:val="false"/>
          <w:sz w:val="22"/>
          <w:u w:val="single"/>
        </w:rPr>
        <w:t>Reversion Date</w:t>
      </w:r>
      <w:r>
        <w:rPr>
          <w:rFonts w:ascii="Times New Roman" w:hAnsi="Times New Roman"/>
          <w:sz w:val="20"/>
        </w:rPr>
        <w:t>”</w:t>
      </w:r>
      <w:r>
        <w:rPr>
          <w:rFonts w:ascii="Times New Roman;serif" w:hAnsi="Times New Roman;serif"/>
          <w:b w:val="false"/>
          <w:sz w:val="22"/>
        </w:rPr>
        <w:t>) the Notes cease to have such Investment Grade Status, then the Company and its Restricted Subsidiaries shall thereafter again be subject to the Suspended Covenants under this Indenture with respect to future events. The period of time between the occurrence of a Covenant Suspension Event and the Reversion Date is referred to in this Section 4.16 as the “</w:t>
      </w:r>
      <w:r>
        <w:rPr>
          <w:rFonts w:ascii="Times New Roman;serif" w:hAnsi="Times New Roman;serif"/>
          <w:b w:val="false"/>
          <w:sz w:val="22"/>
          <w:u w:val="single"/>
        </w:rPr>
        <w:t>Suspension Period</w:t>
      </w:r>
      <w:r>
        <w:rPr>
          <w:rFonts w:ascii="Times New Roman;serif" w:hAnsi="Times New Roman;serif"/>
          <w:b w:val="false"/>
          <w:sz w:val="22"/>
        </w:rPr>
        <w:t>.” Additionally, upon the occurrence of a Covenant Suspension Event, the amount of Excess Proceeds shall be reset to zero.</w:t>
      </w:r>
    </w:p>
    <w:p>
      <w:pPr>
        <w:pStyle w:val="TextBody"/>
        <w:bidi w:val="0"/>
        <w:spacing w:before="0" w:after="240"/>
        <w:jc w:val="left"/>
        <w:rPr>
          <w:rFonts w:ascii="Times New Roman" w:hAnsi="Times New Roman"/>
          <w:sz w:val="20"/>
        </w:rPr>
      </w:pPr>
      <w:r>
        <w:rPr>
          <w:rFonts w:ascii="Times New Roman;serif" w:hAnsi="Times New Roman;serif"/>
          <w:b w:val="false"/>
          <w:sz w:val="22"/>
        </w:rPr>
        <w:t>(c) Notwithstanding the foregoing, in the event of any such reinstatement, no action taken or omitted to be taken by the Company or any of its Restricted Subsidiaries or events occurring prior to such reinstatement shall give rise to a Default or Event of Default hereunder with respect to the Notes; provided that (1) with respect to Restricted Payments made after any such reinstatement, the amount available to be made as Restricted Payments shall be calculated as though Section 4.07 hereof had been in effect prior to, but not during the Suspension Period, provided that any Subsidiaries designated as Unrestricted Subsidiaries during the Suspension Period shall automatically become Restricted Subsidiaries on the Reversion Date (subject to the Company’s right to subsequently designate them as Unrestricted Subsidiaries in compliance with the covenants set forth below), (2) all Indebtedness incurred,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or Disqualified Stock or Preferred Stock issued, during the Suspension Period shall be classified as having been incurred or issued pursuant to clause (3) of Section 4.09(b) hereof, (3) any Affiliate Transaction entered into after the Reversion Date pursuant to an agreement entered into during any Suspension Period shall be deemed to be permitted pursuant to clause (6) of Section 4.11 hereof, (4) any encumbrance or restriction on the ability of any Non-Guarantor Subsidiary to take any action described in clauses (1) through (3) of Section 4.08 hereof that becomes effective during any Suspension Period shall be deemed to be permitted pursuant to Section 4.08(a) hereof and (5) no Restricted Subsidiary of the Company shall be required to comply with Section 4.15 hereof after such reinstatement with respect to any guarantee entered into by such Restricted Subsidiary during any Suspension Period except that such Restricted Subsidiary shall execute and deliver a supplemental indenture to this Indenture providing for a Guarantee by such Restricted Subsidiary pursuant to the provisions of such covenant to the extent required and to the extent such Restricted Subsidiary has not already provided a Guarantee. No default or Event of Default will be deemed to have occurred on the Reversion Date as a result of any actions taken by the Company or its Restricted Subsidiaries during the Suspension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On and after each Reversion Date, the Company and its Subsidiaries shall be permitted to consummate the transactions contemplated by any contract entered into during the Suspension Period, so long as such contract and such consummation would have been permitted during such Suspension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The Issuers shall deliver promptly to the Trustee an Officer’s Certificate notifying it of any such occurrence under this Section 4.16.</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The Trustee shall have no duty to monitor the ratings of the Notes, determine whether a Covenant Suspension Event or Reversion Date has occurred or notify Holders of the same.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4.17 Additional Amounts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All payments made by or on behalf of the Issuers or a Successor Issuer under or with respect to the Notes (whether or not in the form of Definitive Notes) or any of the Guarantors on their Guarantee (including in each case any Successor Person) shall be made without withholding or deduction for, or on account of, any present or future taxes, unless the withholding or deduction of such taxes is then required by law. If any deduction or withholding for, or on account of, any taxes imposed or levied by or on behalf of any jurisdiction in which the Issuers or any Guarantor (including in either case any Successor Issuer or Successor Person, as applicable) is incorporated, organized, carrying on a business through a branch, agency or permanent establishment or resident for tax purposes or any political subdivision thereof or therein or any jurisdiction by or through which payment is made by or on behalf of the Issuers or any Guarantor (including in either case any Successor Issuer or Successor Person, as applicable) under or with respect to the Notes or Guarantees or any political subdivision thereof or therein (each, a “</w:t>
      </w:r>
      <w:r>
        <w:rPr>
          <w:rFonts w:ascii="Times New Roman;serif" w:hAnsi="Times New Roman;serif"/>
          <w:b w:val="false"/>
          <w:sz w:val="22"/>
          <w:u w:val="single"/>
        </w:rPr>
        <w:t>Tax Jurisdiction</w:t>
      </w:r>
      <w:r>
        <w:rPr>
          <w:rFonts w:ascii="Times New Roman" w:hAnsi="Times New Roman"/>
          <w:sz w:val="20"/>
        </w:rPr>
        <w:t>”</w:t>
      </w:r>
      <w:r>
        <w:rPr>
          <w:rFonts w:ascii="Times New Roman;serif" w:hAnsi="Times New Roman;serif"/>
          <w:b w:val="false"/>
          <w:sz w:val="22"/>
        </w:rPr>
        <w:t>) will at any time be required to be made from any payments made by or on behalf of the Issuers or Successor Issuers under or with respect to the Notes or any of the Guarantors or Successor Persons with respect to any Guarantee, including payments of principal, redemption price, purchase price, interest or premium, the Issuers or the relevant Guarantor (including in either case any Successor Issuer or Successor Person), as applicable, shall pay such additional amounts (the “</w:t>
      </w:r>
      <w:r>
        <w:rPr>
          <w:rFonts w:ascii="Times New Roman;serif" w:hAnsi="Times New Roman;serif"/>
          <w:b w:val="false"/>
          <w:sz w:val="22"/>
          <w:u w:val="single"/>
        </w:rPr>
        <w:t>Additional Amounts</w:t>
      </w:r>
      <w:r>
        <w:rPr>
          <w:rFonts w:ascii="Times New Roman" w:hAnsi="Times New Roman"/>
          <w:sz w:val="20"/>
        </w:rPr>
        <w:t>”</w:t>
      </w:r>
      <w:r>
        <w:rPr>
          <w:rFonts w:ascii="Times New Roman;serif" w:hAnsi="Times New Roman;serif"/>
          <w:b w:val="false"/>
          <w:sz w:val="22"/>
        </w:rPr>
        <w:t xml:space="preserve">) as may be necessary in order that the net amounts received by each holder in respect of such payments after such withholding or deduction (including any such deduction or withholding from such Additional Amounts) will equal the respective amounts that would have been received by each holder in respect of such payments in the absence of such withholding or deduction;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no Additional Amounts will be payable with respect to:</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any taxes to the extent such taxes would not have been imposed but for the Holder or the beneficial owner of the Notes (or a fiduciary, settlor, beneficiary, partner of, member or shareholder of, or possessor of a power over, the relevant Holder, if the relevant Holder is an estate, trust, nominee, partnership, limited liability company or corporation) being or having been a citizen or resident or national of, incorporated, present, or engaged in a trade or business in, or having or having had a permanent establishment in, the relevant Tax Jurisdiction in which such taxes are imposed or having any other (actual or deemed) present or former connection with the relevant Tax Jurisdiction other than by the mere acquisition or holding of, exercise or enforcement of rights under, or the receipt of payments in respect of, the Notes, this Indenture or any Guarantee;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any taxes to the extent such taxes are imposed or withheld as a result of the failure of the Holder or beneficial owner of the Notes to comply with any written request, made at least 30 days before any such withholding or deduction would be payable, by the Issuers or any of the Guarantors (including in either case any Successor Issuer or Successor Person, as applicable) to provide timely and accurate information concerning the nationality, residence or identity of such Holder or beneficial owner or to make any valid or timely declaration or similar claim or satisfy any certification, information or other reporting requirement, which is required or imposed by a statute, treaty, regulation or administrative practice of the relevant Tax Jurisdiction as a precondition to exemption from all or part of, or reduction in the rate of deduction or withholding of, such taxes (in each case, to the extent such Holder or beneficial owner is legally entitled to do so);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any taxes imposed or withheld as a result of the presentation of any Note for payment (where Notes are in the form of Definitive Notes and presentation is required) more than 30 days after the relevant payment is first made available for payment to the Holder (except to the extent that the Holder or beneficial owner would have been entitled to Additional Amounts had the Note been presented on the last day of such 30 day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any estate, inheritance, gift, sale, transfer, personal property or similar tax, assessment or excise taxes imposed on the transfer of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any taxes withheld, deducted or imposed on a payment to an individual and which are required to be made pursuant to Luxembourg Relibi law of December 23, 2005, as amended;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any taxes payable otherwise than by deduction or withholding on or in respect of any Note or Guarantee;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any taxes that were imposed with respect to any payment on a Note to any Holder who is a fiduciary or partnership or person other than the sole beneficial owner of such payment to the extent that no Additional Amounts would have been payable had the beneficial owner of the applicable Notes been the Holder of such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any taxes that are imposed or withheld pursuant to Sections 1471 through 1474 of the U.S. Internal Revenue Code of 1986, as amended (the “Code”), as of the issue date (or any amended or successor version of such sections), any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(9) any combination of items (1) through (8) above.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In addition to the foregoing, the Issuers and the Guarantors (including in either case any Successor Issuer or Successor Person, as applicable) will also pay each Holder and beneficial owner for any present or future stamp, issue, registration, transfer, court or documentary taxes, or any other excise or property taxes, charges or similar levies or taxes which are levied by any Tax Jurisdiction on the execution, delivery, issuance or registration of, or by any Tax Jurisdiction on the enforcement of, any of the Notes, this Indenture, any Guarantee, or any other document or instrument referred to therein (other than a transfer of the Notes that is not part of the initial resale by the initial purchasers), or the receipt of any payments with respect to the Notes or the Guarantees (limited, solely in the case of taxes attributable to the receipt of any payments, to any such taxes imposed in a Tax Jurisdiction that are not excluded under clauses (1) through (5), (7) or (8) above or any combination thereof and, in each case, excluding United Kingdom stamp duty, save to the extent that such stamp duty is paid in order to “frank” a charge to stamp duty reserve tax which has arisen or will otherwise arise).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Issuers and the Guarantors will however not pay and indemnify any Holder or beneficial owner for any Luxembourg registration duties (droits d’enregistrement) payable in the case of registration by any Holder or beneficial owner of the Notes, this Indenture, any Guarantee, or any other document or instrument referred to therein in Luxembourg when such registration is not required to enforce the rights of a Holder or a beneficial owner under such documents.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If the Issuers or any Guarantor, as the case may be, becomes aware that it will be obligated to pay Additional Amounts with respect to any payment under or with respect to the Notes or any Guarantee, the Issuers or the relevant Guarantor, as the case may be, will deliver to the Trustee and the paying agent on a date that is at least 10 days prior to the date of that payment an Officer’s Certificate stating the fact that Additional Amounts will be payable, the amount estimated to be so payable and such other information reasonably necessary to enable the paying agent to pay Additional Amounts on the relevant payment date. The Trustee and the paying agent shall be entitled to rely absolutely and solely on such Officer’s Certificate as conclusive proof that such payments are necessary.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The Issuers or the relevant Guarantor will make all withholdings and deductions as required by law and will remit the full amount deducted or withheld to the tax authority in the relevant Taxing Jurisdiction in accordance with applicable law. The Issuers or the relevant Guarantor will use its reasonable efforts to obtain tax receipts from each tax authority evidencing the payment of any taxes so deducted or withheld from each relevant Taxing Jurisdiction. The Issuers or the relevant Guarantor will furnish to the Trustee, within a reasonable time after the date the payment of any taxes so deducted or withheld is made, certified copies of tax receipts evidencing payment by the Issuers or a Guarantor, as the case may be, or if, notwithstanding such entity’s efforts to obtain receipts, receipts are not obtained, other evidence of payment (reasonably satisfactory to the Trustee) by such entity.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Whenever in this Indenture or in the “Description of Notes” in the Offering Memorandum there is mentioned, in any context, the payment of amounts based upon the principal amount of the Notes or of principal, interest or of any other amount payable under, or with respect to, any of the Notes or Guarantees, such mention shall be deemed to include mention of the payment of Additional Amounts to the extent that, in such context, Additional Amounts are, were or would be payable in respect thereof.</w:t>
      </w:r>
    </w:p>
    <w:p>
      <w:pPr>
        <w:pStyle w:val="TextBody"/>
        <w:bidi w:val="0"/>
        <w:spacing w:before="0" w:after="240"/>
        <w:jc w:val="left"/>
        <w:rPr>
          <w:rFonts w:ascii="Times New Roman" w:hAnsi="Times New Roman"/>
          <w:sz w:val="20"/>
        </w:rPr>
      </w:pPr>
      <w:r>
        <w:rPr>
          <w:rFonts w:ascii="Times New Roman;serif" w:hAnsi="Times New Roman;serif"/>
          <w:b w:val="false"/>
          <w:sz w:val="22"/>
        </w:rPr>
        <w:t>(g) The above obligations will survive any termination, defeasance or discharge of this Indenture, any transfer by a Holder or beneficial owner of its Notes and will apply, mutatis mutandis, to any jurisdiction in which any successor Person to the Issuers or any Guarantor is incorporated, organized, engaged in business through a branch, agency or permanent establishment or otherwise resident for tax</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purposes or any jurisdiction from or through which any payments made by or on behalf of the Issuers or any Guarantors (including in either case any Successor Issuer or Successor Person, as applicable) under or with respect to the Notes or any Guarantee is made and any department or political subdivision thereof or therein.</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4.18 Escrow of Gross Proceeds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Concurrently with the closing of the offering of the Notes on the Issue Date, the Luxembourg Issuer shall enter into the </w:t>
      </w:r>
      <w:r>
        <w:rPr>
          <w:rFonts w:ascii="Times New Roman;serif" w:hAnsi="Times New Roman;serif"/>
          <w:b w:val="false"/>
          <w:sz w:val="22"/>
          <w:u w:val="single"/>
        </w:rPr>
        <w:t>Escrow Agreement</w:t>
      </w:r>
      <w:r>
        <w:rPr>
          <w:rFonts w:ascii="Times New Roman" w:hAnsi="Times New Roman"/>
          <w:sz w:val="20"/>
        </w:rPr>
        <w:t xml:space="preserve"> </w:t>
      </w:r>
      <w:r>
        <w:rPr>
          <w:rFonts w:ascii="Times New Roman;serif" w:hAnsi="Times New Roman;serif"/>
          <w:b w:val="false"/>
          <w:sz w:val="22"/>
        </w:rPr>
        <w:t>with Barclays Bank PLC, as escrow agent (the “</w:t>
      </w:r>
      <w:r>
        <w:rPr>
          <w:rFonts w:ascii="Times New Roman;serif" w:hAnsi="Times New Roman;serif"/>
          <w:b w:val="false"/>
          <w:sz w:val="22"/>
          <w:u w:val="single"/>
        </w:rPr>
        <w:t>Escrow Agent</w:t>
      </w:r>
      <w:r>
        <w:rPr>
          <w:rFonts w:ascii="Times New Roman" w:hAnsi="Times New Roman"/>
          <w:sz w:val="20"/>
        </w:rPr>
        <w:t>”</w:t>
      </w:r>
      <w:r>
        <w:rPr>
          <w:rFonts w:ascii="Times New Roman;serif" w:hAnsi="Times New Roman;serif"/>
          <w:b w:val="false"/>
          <w:sz w:val="22"/>
        </w:rPr>
        <w:t>), pursuant to which the Issuers will deposit (or cause to be deposited) the gross proceeds of the offering of the Notes into the Escrow Account. In the event that the Special Mandatory Redemption Price payable upon such Special Mandatory Redemption for the Notes exceeds the amount on deposit in the Escrow Account, the Investors shall be required to fund the difference between the applicable Special Mandatory Redemption Price and the amount on deposit in the Escrow Account pursuant to a commitment provided by them. Pursuant to the Escrow Account Pledge Agreement, the Luxembourg Issuer will grant to the Trustee, for its benefit and the benefit of the holders of the Notes, a first priority security interest in the Escrow Account and all amounts on deposit therein to secure the Obligations under the Notes pending disbursement as described below.</w:t>
      </w:r>
    </w:p>
    <w:p>
      <w:pPr>
        <w:pStyle w:val="TextBody"/>
        <w:bidi w:val="0"/>
        <w:spacing w:before="0" w:after="240"/>
        <w:jc w:val="left"/>
        <w:rPr>
          <w:rFonts w:ascii="Times New Roman" w:hAnsi="Times New Roman"/>
          <w:sz w:val="20"/>
        </w:rPr>
      </w:pPr>
      <w:r>
        <w:rPr>
          <w:rFonts w:ascii="Times New Roman;serif" w:hAnsi="Times New Roman;serif"/>
          <w:b w:val="false"/>
          <w:sz w:val="22"/>
        </w:rPr>
        <w:t>(b) The Issuers shall only be entitled to direct the Escrow Agent to release the funds held in the Escrow Account (the “</w:t>
      </w:r>
      <w:r>
        <w:rPr>
          <w:rFonts w:ascii="Times New Roman;serif" w:hAnsi="Times New Roman;serif"/>
          <w:b w:val="false"/>
          <w:sz w:val="22"/>
          <w:u w:val="single"/>
        </w:rPr>
        <w:t>Escrow Release</w:t>
      </w:r>
      <w:r>
        <w:rPr>
          <w:rFonts w:ascii="Times New Roman" w:hAnsi="Times New Roman"/>
          <w:sz w:val="20"/>
        </w:rPr>
        <w:t>”</w:t>
      </w:r>
      <w:r>
        <w:rPr>
          <w:rFonts w:ascii="Times New Roman;serif" w:hAnsi="Times New Roman;serif"/>
          <w:b w:val="false"/>
          <w:sz w:val="22"/>
        </w:rPr>
        <w:t>) to (i) the Trustee to pay interest due on any Interest Payment Date falling between the Issue Date and the Escrow Release Date, (ii) or as may be directed by the Issuers in an Escrow Release Request Instruction in connection with the consummation of the Transactions, or (iii) in connection with a Special Mandatory Redemption, in each case in accordance with the terms of the Escrow Agreement and Escrow Account Pledge Agreement. Pursuant to the Escrow Agreement and the Escrow Account Pledge Agreement, the Escrow Agent will release funds held in the Escrow Account to, or at the order of, the Issuers (the date of such release being referred to as the “</w:t>
      </w:r>
      <w:r>
        <w:rPr>
          <w:rFonts w:ascii="Times New Roman;serif" w:hAnsi="Times New Roman;serif"/>
          <w:b w:val="false"/>
          <w:sz w:val="22"/>
          <w:u w:val="single"/>
        </w:rPr>
        <w:t>Escrow Release Date</w:t>
      </w:r>
      <w:r>
        <w:rPr>
          <w:rFonts w:ascii="Times New Roman" w:hAnsi="Times New Roman"/>
          <w:sz w:val="20"/>
        </w:rPr>
        <w:t>”</w:t>
      </w:r>
      <w:r>
        <w:rPr>
          <w:rFonts w:ascii="Times New Roman;serif" w:hAnsi="Times New Roman;serif"/>
          <w:b w:val="false"/>
          <w:sz w:val="22"/>
        </w:rPr>
        <w:t>) upon delivery by the Issuers to the Escrow Agent and the Trustee of an Escrow Release Request Instruction and to the Trustee of an Officer’s Certificate on or prior to April 24, 2020 (the “</w:t>
      </w:r>
      <w:r>
        <w:rPr>
          <w:rFonts w:ascii="Times New Roman;serif" w:hAnsi="Times New Roman;serif"/>
          <w:b w:val="false"/>
          <w:sz w:val="22"/>
          <w:u w:val="single"/>
        </w:rPr>
        <w:t>Outside Date</w:t>
      </w:r>
      <w:r>
        <w:rPr>
          <w:rFonts w:ascii="Times New Roman" w:hAnsi="Times New Roman"/>
          <w:sz w:val="20"/>
        </w:rPr>
        <w:t>”</w:t>
      </w:r>
      <w:r>
        <w:rPr>
          <w:rFonts w:ascii="Times New Roman;serif" w:hAnsi="Times New Roman;serif"/>
          <w:b w:val="false"/>
          <w:sz w:val="22"/>
        </w:rPr>
        <w:t>), certifying that the Transactions shall be consummated (the “</w:t>
      </w:r>
      <w:r>
        <w:rPr>
          <w:rFonts w:ascii="Times New Roman;serif" w:hAnsi="Times New Roman;serif"/>
          <w:b w:val="false"/>
          <w:sz w:val="22"/>
          <w:u w:val="single"/>
        </w:rPr>
        <w:t>Escrow Conditions</w:t>
      </w:r>
      <w:r>
        <w:rPr>
          <w:rFonts w:ascii="Times New Roman" w:hAnsi="Times New Roman"/>
          <w:sz w:val="20"/>
        </w:rPr>
        <w:t>”</w:t>
      </w:r>
      <w:r>
        <w:rPr>
          <w:rFonts w:ascii="Times New Roman;serif" w:hAnsi="Times New Roman;serif"/>
          <w:b w:val="false"/>
          <w:sz w:val="22"/>
        </w:rPr>
        <w:t>) substantially concurrently with or promptly following the Escrow Release Request Instruction on the Escrow Release Date.</w:t>
      </w:r>
    </w:p>
    <w:p>
      <w:pPr>
        <w:pStyle w:val="TextBody"/>
        <w:bidi w:val="0"/>
        <w:spacing w:before="0" w:after="240"/>
        <w:jc w:val="left"/>
        <w:rPr>
          <w:rFonts w:ascii="Times New Roman" w:hAnsi="Times New Roman"/>
          <w:sz w:val="20"/>
        </w:rPr>
      </w:pPr>
      <w:r>
        <w:rPr>
          <w:rFonts w:ascii="Times New Roman;serif" w:hAnsi="Times New Roman;serif"/>
          <w:b w:val="false"/>
          <w:sz w:val="22"/>
        </w:rPr>
        <w:t>(c) The Trustee shall be entitled to direct disposition of the Escrow Amount in connection with an acceleration of the Notes prior to the Completion Date or in connection with a Special Mandatory Redemption of the Notes.</w:t>
      </w:r>
      <w:r>
        <w:rPr>
          <w:rFonts w:ascii="Times New Roman" w:hAnsi="Times New Roman"/>
          <w:sz w:val="20"/>
        </w:rPr>
        <w:t xml:space="preserve">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5</w:t>
        <w:br/>
        <w:br/>
        <w:t>SUCCESSORS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5.01 Merger, Consolidation or Sale of All or Substantially All Assets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Neither Issuer shall consolidate or merge with or into or wind up into (whether or not the applicable Issuer is the surviving Person), or sell, assign, transfer, lease, convey or otherwise dispose of all or substantially all of its consolidated properties or assets taken as a whole, in one or more related transactions, to any Person unless:</w:t>
      </w:r>
    </w:p>
    <w:p>
      <w:pPr>
        <w:pStyle w:val="TextBody"/>
        <w:bidi w:val="0"/>
        <w:spacing w:before="0" w:after="0"/>
        <w:jc w:val="left"/>
        <w:rPr>
          <w:rFonts w:ascii="Times New Roman" w:hAnsi="Times New Roman"/>
          <w:sz w:val="20"/>
        </w:rPr>
      </w:pPr>
      <w:r>
        <w:rPr>
          <w:rFonts w:ascii="Times New Roman;serif" w:hAnsi="Times New Roman;serif"/>
          <w:b w:val="false"/>
          <w:sz w:val="22"/>
        </w:rPr>
        <w:t>(1) (i) (a) in the case of the U.S. Issuer, the resulting, surviving or transferee Person (the “</w:t>
      </w:r>
      <w:r>
        <w:rPr>
          <w:rFonts w:ascii="Times New Roman;serif" w:hAnsi="Times New Roman;serif"/>
          <w:b w:val="false"/>
          <w:sz w:val="22"/>
          <w:u w:val="single"/>
        </w:rPr>
        <w:t>Successor U.S. Issuer</w:t>
      </w:r>
      <w:r>
        <w:rPr>
          <w:rFonts w:ascii="Times New Roman" w:hAnsi="Times New Roman"/>
          <w:sz w:val="20"/>
        </w:rPr>
        <w:t>”</w:t>
      </w:r>
      <w:r>
        <w:rPr>
          <w:rFonts w:ascii="Times New Roman;serif" w:hAnsi="Times New Roman;serif"/>
          <w:b w:val="false"/>
          <w:sz w:val="22"/>
        </w:rPr>
        <w:t>) will be a Person organized or existing under the laws of the United States, any state thereof, the District of Columbia, or any territory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thereof and (b) in the case of the Luxembourg Issuer, the resulting, surviving or transferee Person (the “</w:t>
      </w:r>
      <w:r>
        <w:rPr>
          <w:rFonts w:ascii="Times New Roman;serif" w:hAnsi="Times New Roman;serif"/>
          <w:b w:val="false"/>
          <w:sz w:val="22"/>
          <w:u w:val="single"/>
        </w:rPr>
        <w:t>Successor Luxembourg Issuer</w:t>
      </w:r>
      <w:r>
        <w:rPr>
          <w:rFonts w:ascii="Times New Roman" w:hAnsi="Times New Roman"/>
          <w:sz w:val="20"/>
        </w:rPr>
        <w:t>”</w:t>
      </w:r>
      <w:r>
        <w:rPr>
          <w:rFonts w:ascii="Times New Roman;serif" w:hAnsi="Times New Roman;serif"/>
          <w:b w:val="false"/>
          <w:sz w:val="22"/>
        </w:rPr>
        <w:t>) will be a Person organized or existing under the laws of Luxembourg; and (ii) in the case of the U.S. Issuer or the Luxembourg Issuer, the Successor U.S. Issuer or Successor Luxembourg Issuer, as applicable (each, a “</w:t>
      </w:r>
      <w:r>
        <w:rPr>
          <w:rFonts w:ascii="Times New Roman;serif" w:hAnsi="Times New Roman;serif"/>
          <w:b w:val="false"/>
          <w:sz w:val="22"/>
          <w:u w:val="single"/>
        </w:rPr>
        <w:t>Successor Issuer</w:t>
      </w:r>
      <w:r>
        <w:rPr>
          <w:rFonts w:ascii="Times New Roman" w:hAnsi="Times New Roman"/>
          <w:sz w:val="20"/>
        </w:rPr>
        <w:t xml:space="preserve">” </w:t>
      </w:r>
      <w:r>
        <w:rPr>
          <w:rFonts w:ascii="Times New Roman;serif" w:hAnsi="Times New Roman;serif"/>
          <w:b w:val="false"/>
          <w:sz w:val="22"/>
        </w:rPr>
        <w:t>as applicable) expressly assumes all the obligations of the applicable Issuer under the Notes Documents pursuant to supplemental indentures or other documents or instruments, as applicable, and the Successor Issuer shall cause such supplemental indentures or other documents or instruments, as applicable, to be executed, filed and recorded in such jurisdictions as may be required by applicable law to preserve and protect the Lien on the Collateral owned by or transferred to such Successor Issuer, together with such financing statements or comparable documents as may be required to perfect any security interests in such Collateral which may be perfected by the filing of a financing statement or a similar document under the Uniform Commercial Code or other similar statute or regulation of the relevant states or jurisdictions;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(2) immediately after such transaction, no Default exists;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(3) immediately after giving </w:t>
      </w:r>
      <w:r>
        <w:rPr>
          <w:rFonts w:ascii="Times New Roman;serif" w:hAnsi="Times New Roman;serif"/>
          <w:b w:val="false"/>
          <w:i/>
          <w:sz w:val="22"/>
        </w:rPr>
        <w:t>pro forma</w:t>
      </w:r>
      <w:r>
        <w:rPr>
          <w:rFonts w:ascii="Times New Roman" w:hAnsi="Times New Roman"/>
          <w:sz w:val="20"/>
        </w:rPr>
        <w:t xml:space="preserve"> </w:t>
      </w:r>
      <w:r>
        <w:rPr>
          <w:rFonts w:ascii="Times New Roman;serif" w:hAnsi="Times New Roman;serif"/>
          <w:b w:val="false"/>
          <w:sz w:val="22"/>
        </w:rPr>
        <w:t>effect to such transaction and any related financing transactions, as if such transactions had occurred at the beginning of the applicable four-quarter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(A) the Company, the Successor Issuers or the Issuers, as applicable, would be permitted to incur at least $1.00 of additional Indebtedness pursuant to the Ratio Test, 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(B) (i) the Fixed Charge Coverage Ratio for the Company, the Successor Issuers or the Issuers, as applicable, and their Restricted Subsidiaries would be equal to or greater than the Fixed Charge Coverage Ratio for the Company, the Successor Issuers or the Issuers immediately prior to such transaction or (ii) the Total Net Leverage Ratio would be equal to or less than it was immediately prior to such transaction;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(4) the Issuers shall have delivered to the Trustee an Officer’s Certificate and an Opinion of Counsel, each stating that such consolidation, merger, amalgamation or transfer and such supplemental indentures, if any, comply with this Indenture;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(5) to the extent any assets of the Person which is merged or consolidated with or into either of the Issuers are assets of the type which would constitute Collateral under the Collateral Documents, the Issuers or the Successor Issuers, as applicable, will take such action, if any, as may be reasonably necessary to cause such property and assets to be made subject to the Lien of the applicable Collateral Documents in the manner and to the extent required in this Indenture or the applicable Collateral Documents and shall take all reasonably necessary action so that such Lien is perfected to the extent required by the applicable Collateral Documents.</w:t>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(b) The Company and Holdings, respectively, may not consolidate or merge with or into or wind up into (whether or not the Company is the surviving Person), or sell, assign, transfer, lease, convey or otherwise dispose of all or substantially all of their respective consolidated properties or assets taken as a whole, in one or more related transactions, to any Person unless, respectively: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(1) the resulting, surviving or transferee Person (the “</w:t>
      </w:r>
      <w:r>
        <w:rPr>
          <w:rFonts w:ascii="Times New Roman;serif" w:hAnsi="Times New Roman;serif"/>
          <w:b w:val="false"/>
          <w:sz w:val="22"/>
          <w:u w:val="single"/>
        </w:rPr>
        <w:t>Successor Company</w:t>
      </w:r>
      <w:r>
        <w:rPr>
          <w:rFonts w:ascii="Times New Roman" w:hAnsi="Times New Roman"/>
          <w:sz w:val="20"/>
        </w:rPr>
        <w:t>”</w:t>
      </w:r>
      <w:r>
        <w:rPr>
          <w:rFonts w:ascii="Times New Roman;serif" w:hAnsi="Times New Roman;serif"/>
          <w:b w:val="false"/>
          <w:sz w:val="22"/>
        </w:rPr>
        <w:t>) expressly assumes all the obligations of the Company or Holdings, as applicable, under the Notes, the Collateral Documents (to the extent the Company or Holdings, as applicable, is a party thereto) and this Indenture pursuant to supplemental indentures or other documents or instruments, as applicable;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immediately after such transaction, no Default exists;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(3) immediately after giving pro forma effect to such transaction and any related financing transactions, as if such transactions had occurred at the beginning of the applicable four-quarter period,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the Company or Holdings, as applicable, would be permitted to incur at least $1.00 of additional Indebtedness pursuant to the Ratio Test,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(i) the Fixed Charge Coverage Ratio for the Company or Holdings, as applicable, and its Restricted Subsidiaries would be equal to or greater than the Fixed Charge Coverage Ratio for the Company or Holdings, as applicable, immediately prior to such transaction or (ii) the Total Net Leverage Ratio would be equal to or less than it was immediately prior to such transaction;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the Issuers shall have delivered to the Trustee an Officer’s Certificate and an Opinion of Counsel, each stating that such consolidation, merger, amalgamation or transfer and such supplemental indentures, if any, comply with this Indenture; and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(5) to the extent any assets of the Person which is merged, consolidated or amalgamated with or into the Company are assets of the type which would constitute Collateral under the Collateral Documents, the Company, Holdings, or the Successor Company will take such action, if any, as may be reasonably necessary to cause such property and assets to be made subject to the Lien of the applicable Collateral Documents in the manner and to the extent required in this Indenture or the applicable Collateral Documents and shall take all reasonably necessary action so that such Lien is perfected to the extent required by the applicable Collateral Documents.</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Successor Issuer shall succeed to, and be substituted for, and may exercise every right and power of, the Company or Issuers, as applicable, under the Notes Documents. Subject to certain limitations described in the Collateral Documents and this Indenture, the Successor Company shall succeed to, and be substituted for, the Company or Holdings, as applicable, under the Collateral Documents, this Indenture and the Company’s or Holdings’ Guarantee, as applicable.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Subject to certain limitations described in this Indenture governing release of a Guarantee upon the sale, disposition or transfer of a Guarantor, no Guarantor shall, and the Company shall not permit any Guarantor to, consolidate, amalgamate or merge with or into or wind up into (whether or not such Guarantor is the surviving corporation), or sell, assign, transfer, lease, convey or otherwise dispose of all or substantially all of its properties or assets taken as a whole, in one or more related transactions, to any Person (other than the Company, the Issuers or a Guarantor) unless:</w:t>
      </w:r>
    </w:p>
    <w:p>
      <w:pPr>
        <w:pStyle w:val="TextBody"/>
        <w:bidi w:val="0"/>
        <w:spacing w:before="0" w:after="240"/>
        <w:jc w:val="left"/>
        <w:rPr>
          <w:rFonts w:ascii="Times New Roman" w:hAnsi="Times New Roman"/>
          <w:sz w:val="20"/>
        </w:rPr>
      </w:pPr>
      <w:r>
        <w:rPr>
          <w:rFonts w:ascii="Times New Roman;serif" w:hAnsi="Times New Roman;serif"/>
          <w:b w:val="false"/>
          <w:sz w:val="22"/>
        </w:rPr>
        <w:t>(1) (A) any Guarantor is the surviving Person or the Person formed by or surviving any such consolidation, amalgamation or merger (if other than such Guarantor) or to which such sale, assignment, transfer, lease, conveyance or other disposition shall have been made (such surviving Guarantor or such Person, as the case may be, being herein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called the “</w:t>
      </w:r>
      <w:r>
        <w:rPr>
          <w:rFonts w:ascii="Times New Roman;serif" w:hAnsi="Times New Roman;serif"/>
          <w:b w:val="false"/>
          <w:sz w:val="22"/>
          <w:u w:val="single"/>
        </w:rPr>
        <w:t>Successor Person</w:t>
      </w:r>
      <w:r>
        <w:rPr>
          <w:rFonts w:ascii="Times New Roman" w:hAnsi="Times New Roman"/>
          <w:sz w:val="20"/>
        </w:rPr>
        <w:t>”</w:t>
      </w:r>
      <w:r>
        <w:rPr>
          <w:rFonts w:ascii="Times New Roman;serif" w:hAnsi="Times New Roman;serif"/>
          <w:b w:val="false"/>
          <w:sz w:val="22"/>
        </w:rPr>
        <w:t>) expressly assumes all the obligations of such Guarantor under the Collateral Documents, this Indenture and such Guarantor’s related Guarantee pursuant to supplemental indentures or other documents or instruments;</w:t>
      </w:r>
    </w:p>
    <w:p>
      <w:pPr>
        <w:pStyle w:val="TextBody"/>
        <w:bidi w:val="0"/>
        <w:spacing w:before="0" w:after="240"/>
        <w:jc w:val="left"/>
        <w:rPr>
          <w:rFonts w:ascii="Times New Roman" w:hAnsi="Times New Roman"/>
          <w:sz w:val="20"/>
        </w:rPr>
      </w:pPr>
      <w:r>
        <w:rPr>
          <w:rFonts w:ascii="Times New Roman;serif" w:hAnsi="Times New Roman;serif"/>
          <w:b w:val="false"/>
          <w:sz w:val="22"/>
        </w:rPr>
        <w:t>(B) immediately after such transaction, no Default exists;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Issuers shall have delivered to the Trustee an Officer’s Certificate and an Opinion of Counsel, each stating that such consolidation, amalgamation, merger or transfer and such supplemental indentures, if any, comply with this Indenture;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to the extent any assets of the Person which is merged, consolidated or amalgamated with or into such Subsidiary Guarantor are assets of the type which would constitute Collateral under the Collateral Documents, such Guarantor or the Successor Person will take such action, if any, as may be reasonably necessary to cause such property and assets to be made subject to the Lien of the applicable Collateral Documents in the manner and to the extent required in this Indenture or the applicable Collateral Documents and shall take all reasonably necessary action so that such Lien is perfected to the extent required by the applicable Collateral Documents;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with respect to the Guarantors, the transaction is not prohibited by Section 4.10(a) hereof.</w:t>
      </w:r>
    </w:p>
    <w:p>
      <w:pPr>
        <w:pStyle w:val="TextBody"/>
        <w:bidi w:val="0"/>
        <w:spacing w:before="0" w:after="240"/>
        <w:jc w:val="left"/>
        <w:rPr>
          <w:rFonts w:ascii="Times New Roman" w:hAnsi="Times New Roman"/>
          <w:sz w:val="20"/>
        </w:rPr>
      </w:pPr>
      <w:r>
        <w:rPr>
          <w:rFonts w:ascii="Times New Roman;serif" w:hAnsi="Times New Roman;serif"/>
          <w:b w:val="false"/>
          <w:sz w:val="22"/>
        </w:rPr>
        <w:t>(e) Subject to certain limitations described in the Collateral Documents and this Indenture, the Successor Person shall succeed to, and be substituted for, such Guarantor under the Collateral Documents, this Indenture and such Guarantor’s Guarantee.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(f) Notwithstanding the foregoing,</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the Company and the Issuers may transfer all or part of their property or assets to a Subsidiary Guarantor;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either of the Issuers may merge with an Affiliate of the Company solely for the purpose of reincorporating in the United States, the District of Columbia or any territory thereof so long as the amount of Indebtedness of the Company and its Restricted Subsidiaries is not increased thereby;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any Guarantor may (i) consolidate or amalgamate with or merge into, wind up into or transfer all or part of its properties and assets to the Issuers or a Guarantor (or to a Restricted Subsidiary if that Restricted Subsidiary becomes a Guarantor), (ii) merge with an Affiliate of the Issuers solely for the purpose of reincorporating or reorganizing the Guarantor in the United States, any state thereof, the District of Columbia or any territory thereof, (iii) convert into a corporation, partnership, limited partnership, limited liability corporation or trust organized or existing under the laws of the jurisdiction of such Guarantor or (iv) consolidate or amalgamate with or merge into or transfer all or part of its properties and assets to a Non-Guarantor Subsidiary so long as (A) to the extent constituting an Investment, such Investment is otherwise permitted under Section 4.07 hereof or (B) to the extent constituting an Asset Sale, such Asset Sale is for fair market value (as determined in good faith by the Issuers) and any promissory note or other non-cash consideration received in respect thereof is a permitted Investment in a Non-Guarantor Subsidiary in accordance with Section 4.07 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(4) any Non-Guarantor Subsidiary may consolidate or amalgamate with or merge into or transfer all or part of its properties and assets to the Issuers or any Restricted Subsidiary;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the Company and the Restricted Subsidiaries may consummate the Transactions;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the Transactions shall be permitted without compliance with this Section 5.01.</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5.02 Successor Corporation Substituted</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Upon any consolidation or merger, amalgamation or any sale, assignment, transfer, lease, conveyance or other disposition of all or substantially all of the assets of the Company in accordance with Section 5.01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amalgamation, merger, sale, lease, conveyance or other disposition, the provisions of this Indenture referring to the Company shall refer instead to the successor corporation and not to the Company), and may exercise every right and power of the Issuers under this Indenture with the same effect as if such successor Person had been named as the Company herein; </w:t>
      </w:r>
      <w:r>
        <w:rPr>
          <w:rFonts w:ascii="Times New Roman;serif" w:hAnsi="Times New Roman;serif"/>
          <w:b w:val="false"/>
          <w:i/>
          <w:sz w:val="22"/>
        </w:rPr>
        <w:t>provided</w:t>
      </w:r>
      <w:r>
        <w:rPr>
          <w:rFonts w:ascii="Times New Roman;serif" w:hAnsi="Times New Roman;serif"/>
          <w:b w:val="false"/>
          <w:sz w:val="22"/>
        </w:rPr>
        <w:t>, that the predecessor Company shall not be relieved from the obligation to pay the principal of and interest on the Notes except in the case of a sale, assignment, transfer, conveyance or other disposition of all of the Issuer’s assets that meets the requirements of Section 5.01 hereof.</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6</w:t>
        <w:br/>
        <w:br/>
        <w:t>DEFAULTS AND REMEDIES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6.01 Events of Default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(a) An “</w:t>
      </w:r>
      <w:r>
        <w:rPr>
          <w:rFonts w:ascii="Times New Roman;serif" w:hAnsi="Times New Roman;serif"/>
          <w:b w:val="false"/>
          <w:sz w:val="22"/>
          <w:u w:val="single"/>
        </w:rPr>
        <w:t>Event of Default</w:t>
      </w:r>
      <w:r>
        <w:rPr>
          <w:rFonts w:ascii="Times New Roman" w:hAnsi="Times New Roman"/>
          <w:sz w:val="20"/>
        </w:rPr>
        <w:t xml:space="preserve">” </w:t>
      </w:r>
      <w:r>
        <w:rPr>
          <w:rFonts w:ascii="Times New Roman;serif" w:hAnsi="Times New Roman;serif"/>
          <w:b w:val="false"/>
          <w:sz w:val="22"/>
        </w:rPr>
        <w:t>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240"/>
        <w:jc w:val="left"/>
        <w:rPr>
          <w:rFonts w:ascii="Times New Roman" w:hAnsi="Times New Roman"/>
          <w:sz w:val="20"/>
        </w:rPr>
      </w:pPr>
      <w:r>
        <w:rPr>
          <w:rFonts w:ascii="Times New Roman;serif" w:hAnsi="Times New Roman;serif"/>
          <w:b w:val="false"/>
          <w:sz w:val="22"/>
        </w:rPr>
        <w:t>(1) default in payment when due and payable, upon redemption, acceleration or otherwise, of principal of, or premium, if any, on the Notes;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default for 30 days or more in the payment when due of interest on or with respect to the Notes;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(3) failure by the Company, the Issuers or any Guarantor for 60 days after receipt of written notice given by the Trustee or the Holders of not less than 30.0% in principal amount of the then outstanding Notes to comply with any of their obligations, covenants or agreements (other than a default referred to in clauses (1) and (2) above) contained in this Indenture, the Notes or the Collateral Documents; </w:t>
      </w:r>
      <w:r>
        <w:rPr>
          <w:rFonts w:ascii="Times New Roman;serif" w:hAnsi="Times New Roman;serif"/>
          <w:b w:val="false"/>
          <w:i/>
          <w:sz w:val="22"/>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that in the case of a failure to comply with Section 4.03 hereof, such period of continuance of such default or breach shall be 270 days after written notice described in this clause (3) has been given;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default under any mortgage, indenture or instrument under which there is issued or by which there is secured or evidenced any Indebtedness for money borrowed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by the Issuers, the Company, or any Significant Subsidiary or the payment of which is guaranteed by the Issuers, the Company, or any Significant Subsidiary, other than Indebtedness owed to the Issuers, the Company, or any Significant Subsidiary, whether such Indebtedness or guarantee now exists or is created after the issuance of the Notes, if both:</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(i)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(ii) 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$100.0 million or more at any one time outstanding;</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(5) failure by the Company, the Issuers or any Significant Subsidiary (or any group of Restricted Subsidiaries that together (determined as of the most recent consolidated financial statements of the Company for a fiscal quarter end provided as required under Section 4.03 hereof) would constitute a Significant Subsidiary) to pay final non-appealable judgments aggregating in excess of $500.0 million (net of amounts covered by insurance policies issued by reputable insurance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the Company, the Issuers or any Significant Subsidiary or any group of Restricted Subsidiaries that, taken together (determined as of the most recent consolidated financial statements of the Company for a fiscal quarter end provided as required by the covenant under Section 4.03 hereof), would constitute a Significant Subsidiary, pursuant to or within the meaning of any Bankruptcy Law: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commences voluntary proceedings to be adjudicated bankrupt or insolvent;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consents to the institution of bankruptcy or insolvency proceedings against it, or the filing by it of a petition or answer or consent seeking reorganization or relief under applicable Bankruptcy Law;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consents to the appointment of a receiver, liquidator, assignee, trustee, sequestrator or other similar official of it or for all or substantially all of its property;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(iv) makes a general assignment for the benefit of its creditors.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a court of competent jurisdiction enters an order or decree under any Bankruptcy Law that: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is for relief against the Company, the Issuers or any Significant Subsidiary or any group of Restricted Subsidiaries that, taken together, would constitute a Significant Subsidiary, in a proceeding in which the Company, the Issuers or any such Restricted Subsidiaries, that is a Significant Subsidiary or any group of Restricted Subsidiaries that, taken together, would constitute a Significant Subsidiary, is to be adjudicated bankrupt or insolvent;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appoints a receiver, liquidator, assignee, trustee, sequestrator or other similar official of the Company, the Issuers or any Significant Subsidiary or any group of Restricted Subsidiaries that, taken together, would constitute a Significant Subsidiary, or for all or substantially all of the property of the Company, the Issuers or any of their Restricted Subsidiaries that is a Significant Subsidiary or any group of Restricted Subsidiaries that, taken together, would constitute a Significant Subsidiary; or</w:t>
      </w:r>
    </w:p>
    <w:p>
      <w:pPr>
        <w:pStyle w:val="TextBody"/>
        <w:bidi w:val="0"/>
        <w:spacing w:before="0" w:after="240"/>
        <w:jc w:val="left"/>
        <w:rPr>
          <w:rFonts w:ascii="Times New Roman" w:hAnsi="Times New Roman"/>
          <w:sz w:val="20"/>
        </w:rPr>
      </w:pPr>
      <w:r>
        <w:rPr>
          <w:rFonts w:ascii="Times New Roman;serif" w:hAnsi="Times New Roman;serif"/>
          <w:b w:val="false"/>
          <w:sz w:val="22"/>
        </w:rPr>
        <w:t>(iii) orders the liquidation of the Company, the Issuers or any Significant Subsidiary or any group of Restricted Subsidiaries that, taken together, would constitute a Significant Subsidiary;</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and the order or decree remains unstayed and in effect for 60 consecutive days;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the Guarantee of any Significant Subsidiary shall for any reason cease to be in full force and effect or be declared null and void or any Guarantor that is a Significant Subsidiary (or any group of Restricted Subsidiaries that together (as of the most recent consolidated financial statement of the Company for a fiscal quarter end) would constitute a Significant Subsidiary), as the case may be, denies in writing that it has any further liability under its Guarantee or gives written notice to such effect, other than by reason of the termination of this Indenture or the release of any such Guarantee in accordance with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(9) with respect to any Collateral, individually or in the aggregate, having a fair market value in excess of $200.0 million, any of the Collateral Documents ceases to be in full force and effect, or any of the Collateral Documents ceases to give the Holders of the Notes the Liens purported to be created thereby with the priority contemplated thereby, or any of the Collateral Documents is declared null and void or the Company or any Guarantor denies in writing that it has any further liability under any Collateral Document or gives written notice to such effect (in each case other than in accordance with the terms of this Indenture, the Pari Passu Intercreditor Agreement and the Collateral Documents), except to the extent that any loss of perfection or priority results from the failure of the Notes Collateral Agent to maintain possession of certificates actually delivered to it representing securities pledged under the Collateral Documents, or otherwise results from an action (but not an omission) constituting gross negligence or willful misconduct on the part of the Trustee, the Notes Collateral Agent or the Senior Credit Facilities Collateral Agent; </w:t>
      </w:r>
      <w:r>
        <w:rPr>
          <w:rFonts w:ascii="Times New Roman;serif" w:hAnsi="Times New Roman;serif"/>
          <w:b w:val="false"/>
          <w:i/>
          <w:sz w:val="22"/>
        </w:rPr>
        <w:t>provided</w:t>
      </w:r>
      <w:r>
        <w:rPr>
          <w:rFonts w:ascii="Times New Roman;serif" w:hAnsi="Times New Roman;serif"/>
          <w:b w:val="false"/>
          <w:sz w:val="22"/>
        </w:rPr>
        <w:t>, that if a failure of the sort described in this clause (9) is susceptible of cure (including with respect to any loss of Lien priority on material portions of the Collateral), no Event of Default shall arise under this clause (9) with respect thereto until 60 days after notice of such failure shall have been given to the Company by the Trustee or the Holders of at least 30.0% in principal amount of the then outstanding Notes issued under this Indenture; or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failure by the Issuers to consummate the Special Mandatory Redemption as described in Section 3.08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In the event of any Event of Default specified in clause (4) of Section 6.01(a) hereof,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w:t>
      </w:r>
    </w:p>
    <w:p>
      <w:pPr>
        <w:pStyle w:val="TextBody"/>
        <w:bidi w:val="0"/>
        <w:spacing w:before="0" w:after="240"/>
        <w:jc w:val="left"/>
        <w:rPr>
          <w:rFonts w:ascii="Times New Roman" w:hAnsi="Times New Roman"/>
          <w:sz w:val="20"/>
        </w:rPr>
      </w:pPr>
      <w:r>
        <w:rPr>
          <w:rFonts w:ascii="Times New Roman;serif" w:hAnsi="Times New Roman;serif"/>
          <w:b w:val="false"/>
          <w:sz w:val="22"/>
        </w:rPr>
        <w:t>(1) the Indebtedness or guarantee that is the basis for such Event of Default has been discharged; 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holders thereof have rescinded or waived the acceleration, notice or action (as the case may be) giving rise to such Event of Default;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the default that is the basis for such Event of Default has been cured.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6.02 Acceleration</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If any Event of Default (other than an Event of Default specified in clause (6) or (7) of Section 6.01(a) hereof) occurs and is continuing under this Indenture, the Trustee by written notice to the Issuers or the Holders of at least 30.0% in aggregate principal amount of the then total outstanding Notes by written notice to the Issuers and Trustee may declare the principal, premium, if any, interest and any other monetary obligations on all the then outstanding Notes to be due and payable immediately. Any time period to cure any actual or alleged Default or Event of Default may be extended or stayed by a court of competent jurisdiction. Upon the effectiveness of such declaration, such principal and interest shall be due and payable immediately. The Trustee shall have no obligation to accelerate the Notes.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Notwithstanding the foregoing, in the case of an Event of Default arising under clause (6) or (7) of Section 6.01(a) hereof, all outstanding Notes shall be due and payable immediately without further action or notice.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Holders of a majority in aggregate principal amount of the then outstanding Notes by written notice to the Trustee may on behalf of all of the Holders rescind an acceleration and its consequences; </w:t>
      </w:r>
      <w:r>
        <w:rPr>
          <w:rFonts w:ascii="Times New Roman;serif" w:hAnsi="Times New Roman;serif"/>
          <w:b w:val="false"/>
          <w:i/>
          <w:sz w:val="22"/>
        </w:rPr>
        <w:t>provided</w:t>
      </w:r>
      <w:r>
        <w:rPr>
          <w:rFonts w:ascii="Times New Roman;serif" w:hAnsi="Times New Roman;serif"/>
          <w:b w:val="false"/>
          <w:sz w:val="22"/>
        </w:rPr>
        <w:t>, that such rescission would not conflict with any judgment or decree of a court of competent jurisdiction and if all existing Events of Default (except nonpayment of principal, interest, or premium, if any, that has become due solely because of the acceleration) have been cured or waived.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6.03 Other Remedies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6.04 Waiver of Past Defaults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The Holders of not less than a majority in aggregate principal amount of the then outstanding Notes by notice to the Trustee may on behalf of the Holders of all of the Notes waive any existing Default and its consequences under this Indenture, except a continuing Default in the payment of interest on, premium, if any, or the principal of any Note held by a non-consenting Holder (including in connection with an Asset Sale Offer or a Change of Control Offer); </w:t>
      </w:r>
      <w:r>
        <w:rPr>
          <w:rFonts w:ascii="Times New Roman;serif" w:hAnsi="Times New Roman;serif"/>
          <w:b w:val="false"/>
          <w:i/>
          <w:sz w:val="22"/>
        </w:rPr>
        <w:t>provided</w:t>
      </w:r>
      <w:r>
        <w:rPr>
          <w:rFonts w:ascii="Times New Roman;serif" w:hAnsi="Times New Roman;serif"/>
          <w:b w:val="false"/>
          <w:sz w:val="22"/>
        </w:rPr>
        <w:t>, that subject to Section 6.02 hereof,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240"/>
        <w:jc w:val="left"/>
        <w:rPr>
          <w:rFonts w:ascii="Times New Roman" w:hAnsi="Times New Roman"/>
          <w:sz w:val="20"/>
        </w:rPr>
      </w:pPr>
      <w:r>
        <w:rPr>
          <w:rFonts w:ascii="Times New Roman;serif" w:hAnsi="Times New Roman;serif"/>
          <w:b w:val="false"/>
          <w:sz w:val="22"/>
        </w:rPr>
        <w:t>(b) In the event of any Event of Default specified in clause (4) above,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w:t>
      </w:r>
      <w:r>
        <w:rPr>
          <w:rFonts w:ascii="Times New Roman" w:hAnsi="Times New Roman"/>
          <w:sz w:val="20"/>
        </w:rPr>
        <w:t xml:space="preserve"> </w:t>
      </w:r>
    </w:p>
    <w:p>
      <w:pPr>
        <w:pStyle w:val="TextBody"/>
        <w:bidi w:val="0"/>
        <w:spacing w:before="60" w:after="240"/>
        <w:jc w:val="left"/>
        <w:rPr>
          <w:rFonts w:ascii="Times New Roman" w:hAnsi="Times New Roman"/>
          <w:sz w:val="20"/>
        </w:rPr>
      </w:pPr>
      <w:r>
        <w:rPr>
          <w:rFonts w:ascii="Times New Roman;serif" w:hAnsi="Times New Roman;serif"/>
          <w:b w:val="false"/>
          <w:sz w:val="22"/>
        </w:rPr>
        <w:t>(1) the Indebtedness or guarantee that is the basis for such Event of Default has been discharged; or</w:t>
      </w:r>
      <w:r>
        <w:rPr>
          <w:rFonts w:ascii="Times New Roman" w:hAnsi="Times New Roman"/>
          <w:sz w:val="20"/>
        </w:rPr>
        <w:t xml:space="preserve"> </w:t>
      </w:r>
    </w:p>
    <w:p>
      <w:pPr>
        <w:pStyle w:val="TextBody"/>
        <w:bidi w:val="0"/>
        <w:spacing w:before="60" w:after="240"/>
        <w:jc w:val="left"/>
        <w:rPr>
          <w:rFonts w:ascii="Times New Roman" w:hAnsi="Times New Roman"/>
          <w:sz w:val="20"/>
        </w:rPr>
      </w:pPr>
      <w:r>
        <w:rPr>
          <w:rFonts w:ascii="Times New Roman;serif" w:hAnsi="Times New Roman;serif"/>
          <w:b w:val="false"/>
          <w:sz w:val="22"/>
        </w:rPr>
        <w:t>(2) holders thereof have rescinded or waived the acceleration, notice or action (as the case may be) giving rise to such Event of Default; or</w:t>
      </w:r>
      <w:r>
        <w:rPr>
          <w:rFonts w:ascii="Times New Roman" w:hAnsi="Times New Roman"/>
          <w:sz w:val="20"/>
        </w:rPr>
        <w:t xml:space="preserve"> </w:t>
      </w:r>
    </w:p>
    <w:p>
      <w:pPr>
        <w:pStyle w:val="TextBody"/>
        <w:bidi w:val="0"/>
        <w:spacing w:before="60" w:after="240"/>
        <w:jc w:val="left"/>
        <w:rPr>
          <w:rFonts w:ascii="Times New Roman;serif" w:hAnsi="Times New Roman;serif"/>
          <w:b w:val="false"/>
          <w:sz w:val="22"/>
        </w:rPr>
      </w:pPr>
      <w:r>
        <w:rPr>
          <w:rFonts w:ascii="Times New Roman;serif" w:hAnsi="Times New Roman;serif"/>
          <w:b w:val="false"/>
          <w:sz w:val="22"/>
        </w:rPr>
        <w:t>(3) the default that is the basis for such Event of Default has been cured.</w:t>
      </w:r>
    </w:p>
    <w:p>
      <w:pPr>
        <w:pStyle w:val="TextBody"/>
        <w:bidi w:val="0"/>
        <w:spacing w:before="6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6.05 Control by Majority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Section 7.01(e) hereof, Holders of a majority in aggregate principal amount of the then total outstanding Notes may direct the time, method and place of conducting any proceeding for any remedy available to the Trustee or the Notes Collateral Agent or of exercising any trust or power conferred on the Trustee or the Notes Collateral Agent and the Trustee or the Notes Collateral Agent may act at the written direction of the Holders without liability. The Trustee or Notes Collateral Agent, however, may refuse to follow any direction that conflicts with law or this Indenture or that the Trustee determines is unduly prejudicial to the rights of any other Holder of a Note or that would involve the Trustee or Notes Collateral Agent in personal liability (it being understood that the Trustee has no duty to determine whether any such action is prejudicial to any Holder or beneficial owner of the Notes).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6.06 Limitation on Suits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Subject to Section 6.07 hereof, no Holder of a Note may pursue any remedy with respect to this Indenture or the Notes unless: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such Holder has previously given the Trustee written notice that an Event of Default is continuing;</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(2) Holders of at least 30.0% in aggregate principal amount of the total outstanding Notes have requested the Trustee to pursue the remedy;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(3) Holders of the Notes have offered and, if requested, provide to the Trustee indemnity or security reasonably satisfactory to the Trustee against any loss, liability or expense;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the Trustee has not complied with such request within 60 days after the receipt thereof and the offer of security or indemnity;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Holders of a majority in aggregate principal amount of the total outstanding Notes have not given the Trustee a direction inconsistent with such request within such 60-day period.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Holder of a Note may not use this Indenture to prejudice the rights of another Holder of a Note or to obtain a preference or priority over another Holder of a Note.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6.07 Rights of Holders of Notes to Receive Payment</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any other provision of this Indenture, the right of any Holder of a Note to receive payment of principal, premium, if any, and interest on the Note, on or after the respective due dates expressed in the Note (including in connection with an Asset Sale Offer or a Change of Control Offer), or to bring suit for the enforcement of any such payment on or after such respective dates, shall not be impaired or affected without the consent of such Holder.</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6.08 Collection Suit by Trustee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 Event of Default specified in Section 6.01(a)(1) or (2) hereof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6.09 Restoration of Rights and Remedies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Issuers,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6.10 Rights and Remedies Cumulative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6.11 Delay or Omission Not Waiver</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6.12 Trustee May File Proofs of Claim</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the Notes Collateral Agent (including any claim for the reasonable compensation, expenses, disbursements and advances of the Notes Collateral Agent, its agents and counsel) and the Holders of the Notes allowed in any judicial proceedings relative to the Issuers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the Notes Collateral Agent, their agents and counsel, and any other amounts due the Trustee or Notes Collateral Agent under Section 7.07 hereof. To the extent that the payment of any such compensation, expenses, disbursements and advances of the Trustee, the Notes Collateral Agent, their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6.13 Priorities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If the Trustee collects any money or property pursuant to this Article 6, it shall pay out the money or property in the following order: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to the Trustee, the Notes Collateral Agent, their agents and attorneys for amounts due under Section 7.07 hereof, including payment of all compensation, expenses and liabilities incurred, and all advances made, by the Trustee and the costs and expenses of collection;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to the Issuers or to such party as a court of competent jurisdiction shall direct, including a Guarantor, if applicable.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may fix a record date and payment date for any payment to Holders of Notes pursuant to this Section 6.13.</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6.14 Undertaking for Costs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10.0% in principal amount of the then outstanding Notes.</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7</w:t>
        <w:br/>
        <w:br/>
        <w:t>TRUSTEE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7.01 Duties of Trustee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If an Event of Default has occurred and is continuing (which is known to the Trustee), the Trustee shall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Except during the continuance of an Event of Default: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Trustee may not be relieved from liabilities for its own negligent action, its own negligent failure to act, or its own willful misconduct, except that: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this Section 7.01(c) does not limit the effect of Section 7.01(b);</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the Trustee shall not be liable for any error of judgment made in good faith, unless it is proved in a court of competent jurisdiction that the Trustee was negligent in ascertaining the pertinent facts;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the Trustee shall not be liable with respect to any action it takes or omits to take in good faith in accordance with a direction received by it pursuant to Section 6.05 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Whether or not therein expressly so provided, every provision of this Indenture that in any way relates to the Trustee is subject to paragraphs (a), (b) and (c) of this Section 7.01 and Section 7.02(f).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The Trustee shall be under no obligation to exercise any of its rights or powers under this Indenture at the request or direction of any of the Holders of the Notes, unless the Holders have offered, and if requested, provided to the Trustee indemnity or security satisfactory to the Trustee against any loss, liability or expense.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The Trustee shall not be liable for interest on any money received by it except as the Trustee may agree in writing with the Issuers. Money held in trust by the Trustee need not be segregated from other funds except to the extent required by law.</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7.02 Rights of Trustee and Notes Collateral Agent</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Trustee and the Notes Collateral Agent may conclusively rely upon any document believed by it to be genuine and to have been signed or presented by the proper Person. The Trustee and the Notes Collateral Agent need not investigate any fact or matter stated in the document, but the Trustee and the Notes Collateral Agent, in their discretion, may make such further inquiry or investigation into such facts or matters as it may see fit, and, if the Trustee or the Notes Collateral Agent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Before the Trustee or the Notes Collateral Agent acts or refrains from acting, they may require an Officer’s Certificate or an Opinion of Counsel or both. Neither the Trustee nor the Notes Collateral Agent shall be liable for any action it takes or omits to take in good faith in reliance on such Officer’s Certificate or Opinion of Counsel. The Trustee and the Notes Collateral Agent may consult with counsel of its selection and the advice of such counsel or any Opinion of Counsel or both shall be full and complete authorization and protection from liability in respect of any action taken, suffered or omitted by it hereunder in good faith and in reliance thereon.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Trustee and the Notes Collateral Agent may act through their attorneys and agents and shall not be responsible for the misconduct or negligence of any agent or attorney appointed with due care.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The Trustee and the Notes Collateral Agent shall not be liable for any action they take or omit to take in good faith that they believe to be authorized or within the rights or powers conferred upon it by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Unless otherwise specifically provided in this Indenture, any demand, request, direction or notice from the Issuers shall be sufficient if signed by an Officer of the Issuers.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None of the provisions of this Indenture shall require the Trustee or the Notes Collateral Agent to expend or risk their own funds or otherwise to incur any liability, financial or otherwise, in the performance of any of their duties hereunder, or in the exercise of any of their rights or powers if they shall have reasonable grounds for believing that repayment of such funds or security or indemnity satisfactory to them against such risk or liability is not assured to them.</w:t>
      </w:r>
    </w:p>
    <w:p>
      <w:pPr>
        <w:pStyle w:val="TextBody"/>
        <w:bidi w:val="0"/>
        <w:spacing w:before="0" w:after="240"/>
        <w:jc w:val="left"/>
        <w:rPr>
          <w:rFonts w:ascii="Times New Roman" w:hAnsi="Times New Roman"/>
          <w:sz w:val="20"/>
        </w:rPr>
      </w:pPr>
      <w:r>
        <w:rPr>
          <w:rFonts w:ascii="Times New Roman;serif" w:hAnsi="Times New Roman;serif"/>
          <w:b w:val="false"/>
          <w:sz w:val="22"/>
        </w:rPr>
        <w:t>(g) Neither the Trustee nor the Notes Collateral Agent shall be deemed to have notice of any Default or Event of Default unless the Trustee or the Notes Collateral Agent, as applicable, has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actual knowledge thereof or unless written notice of any event which is in fact such a Default is received by the Trustee or the Notes Collateral Agent, as applicable, at the Corporate Trust Office of the Trustee or Notes Collateral Agent, respectively, and such notice references the Notes and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In no event shall the Trustee or the Notes Collateral Agent be responsible or liable for special, indirect, punitive or consequential loss or damage of any kind whatsoever (including, but not limited to, loss of profit) irrespective of whether the Trustee or the Notes Collateral Agent has been advised of the likelihood of such loss or damage and regardless of the form of action.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The rights, privileges, protections, immunities and benefits given to the Trustee and the Notes Collateral Agent, including, without limitation, its right to be indemnified, are extended to, and shall be enforceable by, the Trustee and the Notes Collateral Agent in each of its capacities hereunder, and each Agent, agent, custodian and other Person employed to act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(j) The Trustee and the Notes Collateral Agent may request that the Issuers and any Guarantor deliver an Officer’s Certificate setting forth the names of the individuals and/or titles of Officers (with specimen signatures) authorized at such times to take specific actions pursuant to this Indenture, which Officer’s Certificate may be signed by any person specified as so authorized in any certificate previously delivered and not superseded.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(k) The Trustee and the Notes Collateral Agent shall not be required to give any bond or surety in respect of the performance of its powers and duties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(l) The permissive right of the Trustee and the Notes Collateral Agent to take or refrain from taking any actions enumerated herein shall not be construed as a duty.</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7.03 Individual Rights of Trustee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The Notes Collateral Agent and any Agent may do the same with like rights and duties. The Trustee is also subject to Sections 7.10 and 7.11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7.04 Trustee’s Disclaimer</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7.05 Notice of Defaults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If a Default occurs and is continuing and if it is known to the Trustee, the Trustee shall send to Holders of Notes a notice of the Default within 90 days after it occurs. Except in the case of a Default relating to the payment of principal, premium, if any, or interest on any Note, the Trustee may withhold from the Holders notice of any continuing Default if and so long as a committee of its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Responsible Officers in good faith determines that withholding the notice is in the interests of the Holders of the Notes.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7.06 Reports by Trustee to Holders of the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Within 60 days after each October 1, beginning with October 1, 2020, and for so long as Notes remain outstanding, the Trustee shall send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send all reports as required by Trust Indenture Act Section 313(c).</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copy of each report at the time it is sent to the Holders of Notes shall be mailed to the Issuers and filed with the SEC and each stock exchange on which the Notes are listed in accordance with Trust Indenture Act Section 313(d). The Issuers shall promptly notify the Trustee when the Notes are listed on any stock exchange.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7.07 Compensation and Indemnity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pay to the Trustee and Notes Collateral Agent from time to time such compensation for its acceptance of this Indenture and services hereunder as the parties shall agree in writing from time to time. Neither the Trustee’s nor Notes Collateral Agent’s compensation shall be limited by any law on compensation of a trustee of an express trust. The Issuers shall reimburse the Trustee and Notes Collateral Agent promptly upon request for all reasonable disbursements, advances and expenses incurred or made by it in addition to the compensation for its services. Such expenses shall include the reasonable compensation, disbursements and expenses of the Trustee’s and Notes Collateral Agent’s agents and counsel.</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Company, Issuers and the Guarantors, jointly and severally, shall indemnify the Trustee and the Notes Collateral Agent, each of their officers, directors, employees and agents for, and hold the Trustee and Notes Collateral Agent harmless against, any and all loss, damage, claim, liability or expense (including attorneys’ fees) incurred by it in connection with the acceptance or administration of this trust and the performance of its duties hereunder (including the costs and expenses of enforcing this Indenture against the Company, Issuers and the Guarantors (including this Section 7.07) or defending itself against any claim whether asserted by any Holder, the Company, Issuers or any Guarantors, or liability in connection with the acceptance, exercise or performance of any of its powers or duties hereunder). The Trustee or Notes Collateral Agent, as applicable, shall notify the Issuers promptly of any claim for which it may seek indemnity. Failure by the Trustee or Notes Collateral Agent, as applicable, to so notify the Issuers shall not relieve the Issuers of their obligations hereunder. The Issuers shall defend the claim and the Trustee and Notes Collateral Agent may have separate counsel and the Issuers shall pay the fees and expenses of such counsel. The Issuers need not reimburse any expense or indemnify against any loss, liability or expense incurred by the Trustee or Notes Collateral Agent through the Trustee’s or Notes Collateral Agent’s, respectively, own willful misconduct or gross negligence.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obligations of the Company, Issuers and the Guarantors under this Section 7.07 shall survive the satisfaction and discharge of this Indenture or the earlier resignation or removal of the Trustee or Notes Collateral Agent.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secure the payment obligations of the Company, Issuers and the Guarantors in this Section 7.07, the Trustee shall have a Lien prior to the Notes on all money or property held or collected by the Trustee, except that held in trust to pay principal and interest on particular Notes. Such Lien shall survive the satisfaction and discharge of this Indenture or the earlier resignation or removal of the Trustee.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When the Trustee or Notes Collateral Agent incurs expenses or renders services after an Event of Default specified in Section 6.01(a)(6) or (7) hereof occurs, the expenses and the compensation for the services (including the fees and expenses of its agents and counsel) are intended to constitute expenses of administration under any Bankruptcy Law.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shall comply with the provisions of Trust Indenture Act Section 313(b)(2) to the extent applicable.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7.08 Replacement of Trustee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resignation or removal of the Trustee and appointment of a successor Trustee shall become effective only upon the successor Trustee’s acceptance of appointment as provided in this Section 7.08. The Trustee may resign in writing at any time and be discharged from the trust hereby created by so notifying the Issuers. The Holders of a majority in principal amount of the then outstanding Notes may remove the Trustee by so notifying the Trustee and the Issuers in writing. The Issuers may remove the Trustee if: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Trustee fails to comply with Section 7.10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the Trustee is adjudged a bankrupt or an insolvent or an order for relief is entered with respect to the Trustee under any Bankruptcy Law;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a custodian or public officer takes charge of the Trustee or its property;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the Trustee becomes incapable of acting.</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 successor Trustee does not take office within 60 days after the retiring Trustee resigns or is removed, the retiring Trustee (at the Issuers’ expense), the Issuers or the Holders of at least 10.0% in principal amount of the then outstanding Notes may petition any court of competent jurisdiction for the appointment of a successor Trustee.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Times New Roman;serif" w:hAnsi="Times New Roman;serif"/>
          <w:b w:val="false"/>
          <w:i/>
          <w:sz w:val="22"/>
        </w:rPr>
        <w:t>provided</w:t>
      </w:r>
      <w:r>
        <w:rPr>
          <w:rFonts w:ascii="Times New Roman;serif" w:hAnsi="Times New Roman;serif"/>
          <w:b w:val="false"/>
          <w:sz w:val="22"/>
        </w:rPr>
        <w:t>, all sums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owing to the Trustee hereunder have been paid and subject to the Lien provided for in Section 7.07 hereof. Notwithstanding replacement of the Trustee pursuant to this Section 7.08, the Issuer’s obligations under Section 7.07 hereof shall continue for the benefit of the retiring Trustee.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7.09 Successor Trustee by Merger, Etc</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Trustee consolidates, merges or converts into, or transfers all or substantially all of its corporate trust business to, another corporation, the successor corporation without any further act shall be the successor Trustee.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7.10 Eligibility; Disqualification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This Indenture shall always have a Trustee who satisfies the requirements of Trust Indenture Act Sections 310(a)(1), (2) and (5). The Trustee is subject to Trust Indenture Act Section 310(b).</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7.11 Preferential Collection of Claims Against Issuer</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7.12 </w:t>
      </w:r>
      <w:r>
        <w:rPr>
          <w:rFonts w:ascii="Times New Roman;serif" w:hAnsi="Times New Roman;serif"/>
          <w:b w:val="false"/>
          <w:sz w:val="22"/>
          <w:u w:val="single"/>
        </w:rPr>
        <w:t>Authorization to Enter Escrow Documents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By its receipt of a Note, each Holder shall be deemed to authorize and direct the Trustee to enter into and perform its obligations under the Escrow Agreement and the Escrow Account Pledge Agreement.</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8</w:t>
        <w:br/>
        <w:br/>
        <w:t>LEGAL DEFEASANCE AND COVENANT DEFEASANCE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8.01 Option to Effect Legal Defeasance or Covenant Defeasance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may, at their option and at any time, elect to have either Section 8.02 or 8.03 hereof applied to all outstanding Notes upon compliance with the conditions set forth below in this Article 8.</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8.02 Legal Defeasance and Discharge</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Upon the Issuers’ exercise under Section 8.01 hereof of the option applicable to this Section 8.02, the Issuers and the Guarantors shall, subject to the satisfaction of the conditions set forth in Section 8.04 hereof, be deemed to have been discharged from their obligations with respect to all outstanding Notes and Guarantees on the date the conditions set forth below are satisfied (“</w:t>
      </w:r>
      <w:r>
        <w:rPr>
          <w:rFonts w:ascii="Times New Roman;serif" w:hAnsi="Times New Roman;serif"/>
          <w:b w:val="false"/>
          <w:sz w:val="22"/>
          <w:u w:val="single"/>
        </w:rPr>
        <w:t>Legal Defeasance</w:t>
      </w:r>
      <w:r>
        <w:rPr>
          <w:rFonts w:ascii="Times New Roman" w:hAnsi="Times New Roman"/>
          <w:sz w:val="20"/>
        </w:rPr>
        <w:t>”</w:t>
      </w:r>
      <w:r>
        <w:rPr>
          <w:rFonts w:ascii="Times New Roman;serif" w:hAnsi="Times New Roman;serif"/>
          <w:b w:val="false"/>
          <w:sz w:val="22"/>
        </w:rPr>
        <w:t>). For this purpose, Legal Defeasance means that the Issuers shall be deemed to have paid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including that of the Guarantors (and the Trustee, on demand of and at the expense of the Issuers, shall execute such instruments reasonably requested by the Issuers acknowledging the same), except for the following provisions which shall survive until otherwise terminated or discharged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the rights of Holders of Notes to receive payments in respect of the principal of, premium, if any, and interest on the Notes when such payments are due solely out of the trust created pursuant to this Indenture referred to in Section 8.04 hereof;</w:t>
      </w:r>
    </w:p>
    <w:p>
      <w:pPr>
        <w:pStyle w:val="TextBody"/>
        <w:bidi w:val="0"/>
        <w:spacing w:before="0" w:after="240"/>
        <w:jc w:val="left"/>
        <w:rPr>
          <w:rFonts w:ascii="Times New Roman" w:hAnsi="Times New Roman"/>
          <w:sz w:val="20"/>
        </w:rPr>
      </w:pPr>
      <w:r>
        <w:rPr>
          <w:rFonts w:ascii="Times New Roman;serif" w:hAnsi="Times New Roman;serif"/>
          <w:b w:val="false"/>
          <w:sz w:val="22"/>
        </w:rPr>
        <w:t>(b) the Issuers’ obligations with respect to Notes concerning issuing temporary Notes, registration of such Notes, mutilated, destroyed, lost or stolen Notes and the maintenance of an office or agency for payment and money for security payments held in trust;</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rights, powers, trusts, duties and immunities of the Trustee, and the Issuers’ obligations in connection therewith;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this Section 8.02.</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compliance with this Article 8, the Issuers may exercise their option under this Section 8.02 notwithstanding the prior exercise of its option under Section 8.03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8.03 Covenant Defeasance</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Upon the Issuers’ exercise under Section 8.01 hereof of the option applicable to this Section 8.03, the Issuers and the Guarantors shall, subject to the satisfaction of the conditions set forth in Section 8.04 hereof, be released from their obligations under the covenants contained in Sections 4.03, 4.04, 4.05, 4.07, 4.08, 4.09, 4.10, 4.11, 4.12, 4.13, 4.14 and 4.15 hereof and clauses (3) and (4) of Section 5.01(a) and Sections 5.01(b) and 5.01(d) hereof with respect to the outstanding Notes on and after the date the conditions set forth in Section 8.04 hereof are satisfied (“</w:t>
      </w:r>
      <w:r>
        <w:rPr>
          <w:rFonts w:ascii="Times New Roman;serif" w:hAnsi="Times New Roman;serif"/>
          <w:b w:val="false"/>
          <w:sz w:val="22"/>
          <w:u w:val="single"/>
        </w:rPr>
        <w:t>Covenant Defeasance</w:t>
      </w:r>
      <w:r>
        <w:rPr>
          <w:rFonts w:ascii="Times New Roman" w:hAnsi="Times New Roman"/>
          <w:sz w:val="20"/>
        </w:rPr>
        <w:t>”</w:t>
      </w:r>
      <w:r>
        <w:rPr>
          <w:rFonts w:ascii="Times New Roman;serif" w:hAnsi="Times New Roman;serif"/>
          <w:b w:val="false"/>
          <w:sz w:val="22"/>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subject to the satisfaction of the conditions set forth in Section 8.04 hereof, Sections 6.01(a)(3), 6.01(a)(4), 6.01(a)(5), 6.01(a)(6) (solely with respect to Restricted Subsidiaries that are Significant Subsidiaries), 6.01(a)(7) (solely with respect to Restricted Subsidiaries that are Significant Subsidiaries) and 6.01(a)(8) hereof shall not constitute Events of Default.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8.04 Conditions to Legal or Covenant Defeasance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following shall be the conditions to the application of either Section 8.02 or 8.03 hereof to the outstanding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the Issuers must irrevocably deposit with the Trustee, in trust, for the benefit of the Holders of the Notes, cash in U.S. dollars,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Issuers must specify whether such Notes are being defeased to maturity or to a particular redemption date;</w:t>
      </w:r>
    </w:p>
    <w:p>
      <w:pPr>
        <w:pStyle w:val="TextBody"/>
        <w:bidi w:val="0"/>
        <w:spacing w:before="0" w:after="240"/>
        <w:jc w:val="left"/>
        <w:rPr>
          <w:rFonts w:ascii="Times New Roman" w:hAnsi="Times New Roman"/>
          <w:sz w:val="20"/>
        </w:rPr>
      </w:pPr>
      <w:r>
        <w:rPr>
          <w:rFonts w:ascii="Times New Roman;serif" w:hAnsi="Times New Roman;serif"/>
          <w:b w:val="false"/>
          <w:sz w:val="22"/>
        </w:rPr>
        <w:t>(2) in the case of Legal Defeasance, the Issuers shall have delivered to the Trustee an Opinion of Counsel confirming that, subject to customary assumptions and exclusions,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(a) the Issuers have received from, or there has been published by, the United States Internal Revenue Service a ruling,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since the issuance of the Notes, there has been a change in the applicable U.S. federal income tax law,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either case to the effect that, and based thereon such Opinion of Counsel shall confirm that, subject to customary assumptions and exclusions, the Holders of the Notes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in the case of Covenant Defeasance, the Issuers shall have delivered to the Trustee an Opinion of Counsel confirming that, subject to customary assumptions and exclusions, the Holders of the Notes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such Legal Defeasance or Covenant Defeasance shall not result in a breach or violation of, or constitute a default under the Senior Credit Facilities or any other material agreement or instrument (other than this Indenture) to which, the Issuers or any Guarantor are a party or by which the Issuers or any Guarantor are bound (other than that resulting from borrowing funds to be applied to make such deposit and any similar and simultaneous deposit relating to other Indebtedness and, in each case, the granting of Liens in connection therewith);</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(5) the Issuers shall have delivered to the Trustee an Officer’s Certificate stating that the deposit was not made by the Issuers with the intent of defeating, hindering, delaying or defrauding any creditors of the Issuers or any Guarantor or others;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the Issuers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8.05 Deposited Money and Government Securities to Be Held in Trust; Other Miscellaneous Provisions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Subject to Section 8.06 hereof, all money and Government Securities (including the proceeds thereof) deposited with the Trustee (or other qualifying trustee, collectively for purposes of this Section 8.05, the “</w:t>
      </w:r>
      <w:r>
        <w:rPr>
          <w:rFonts w:ascii="Times New Roman;serif" w:hAnsi="Times New Roman;serif"/>
          <w:b w:val="false"/>
          <w:sz w:val="22"/>
          <w:u w:val="single"/>
        </w:rPr>
        <w:t>Trustee</w:t>
      </w:r>
      <w:r>
        <w:rPr>
          <w:rFonts w:ascii="Times New Roman" w:hAnsi="Times New Roman"/>
          <w:sz w:val="20"/>
        </w:rPr>
        <w:t>”</w:t>
      </w:r>
      <w:r>
        <w:rPr>
          <w:rFonts w:ascii="Times New Roman;serif" w:hAnsi="Times New Roman;serif"/>
          <w:b w:val="false"/>
          <w:sz w:val="22"/>
        </w:rPr>
        <w:t>) pursuant to Section 8.04 hereof in respect of the outstanding Notes shall be held in trust and applied by the Trustee, in accordance with the provisions of such Notes and this Indenture, to the payment, either directly or through any Paying Agent (including the Issuers or a Guarantor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Anything in this Article 8 to the contrary notwithstanding, the Trustee shall deliver or pay to the Issuers from time to time upon the request of the Issuers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8.06 Repayment to Issuers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applicable abandoned property law, any money deposited with the Trustee or any Paying Agent, or then held by the Issuers, in trust for the payment of the principal of, premium, if any, or interest on any Note and remaining unclaimed for two years after such principal, and premium, if any, or interest has become due and payable shall be paid to the Issuers on their request or (if then held by the Issuers) shall be discharged from such trust; and the Holder of such Note shall thereafter look only to the Issuers for payment thereof, and all liability of the Trustee or such Paying Agent with respect to such trust money, and all liability of the Issuers as trustee thereof, shall thereupon cease.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8.07 Reinstatement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If the Trustee or Paying Agent is unable to apply any United States dollars or Government Securities in accordance with Section 8.02 or 8.03 hereof, as the case may be, by reason of any order or judgment of any court or governmental authority enjoining, restraining or otherwise prohibiting such application, then the Issuers’ obligations under the Notes Documents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serif" w:hAnsi="Times New Roman;serif"/>
          <w:b w:val="false"/>
          <w:i/>
          <w:sz w:val="22"/>
        </w:rPr>
        <w:t>provided</w:t>
      </w:r>
      <w:r>
        <w:rPr>
          <w:rFonts w:ascii="Times New Roman;serif" w:hAnsi="Times New Roman;serif"/>
          <w:b w:val="false"/>
          <w:sz w:val="22"/>
        </w:rPr>
        <w:t>, that if the Issuers make any payment of principal of, premium, if any, or interest on any Note following the reinstatement of its obligations, the Issuers shall be subrogated to the rights of the Holders of such Notes to receive such payment from the money held by the Trustee or Paying Agent.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9</w:t>
        <w:br/>
        <w:br/>
        <w:t>AMENDMENT, SUPPLEMENT AND WAIVER</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9.01 Without Consent of Holders of Notes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Notwithstanding Section 9.02 hereof, the Issuers, any Guarantor (with respect to a Guarantee or this Indenture), the Trustee and the Notes Collateral Agent may amend or supplement any Notes Documents without the consent of any Holder and the Issuers may direct the Trustee or the Notes Collateral Agent, and the Trustee or the Notes Collateral Agent shall (upon receipt of the documents required by the last paragraph of this Section 9.01), enter into an amendment to the Notes Documents to:</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 to cure any ambiguity, omission, mistake, defect or inconsistency;</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to provide for the assumption by a successor Person of the obligations of the Issuers or a Guarantor under any Notes Document pursuant to the terms of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(3) to provide for uncertificated Notes of such series in addition to or in place of certificated Notes;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to comply with Section 5.01 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(5) to provide for the assumption by a successor entity of the obligations of either of the Issuers or any Guarantor to the Holders under the Notes Documents in accordance with Section 5.01 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(6) to make any change that would provide any additional rights or benefits to the Holders or that does not materially and adversely affect the legal rights of any such Holder under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(7) to add covenants for the benefit of the Holders or to surrender any right or power conferred upon the Issuers or any Guarantor;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(8) to comply with requirements of the SEC in order to effect or maintain the qualification of this Indenture under the Trust Indenture Act;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(9) to evidence and provide for the acceptance and appointment under this Indenture of a successor Trustee or Notes Collateral Agent, provided that the successor Trustee or Notes Collateral Agent is otherwise qualified and eligible to act as such under the terms of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(10) to provide for the issuance of exchange notes or private exchange notes, which are identical to exchange notes except that they are not freely transferable;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(11) to add a Guarantor or a co-obligor of the Notes under this Indenture or to confirm and evidence the release, termination, discharge or retaking of any Guarantee or Lien with respect to or securing the Notes when such release, termination, discharge or retaking is provided for in accordance with and permitted by the term of this Indenture, Collateral Documents and the Pari Passu Intercreditor Agreement;</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(12) to add security to or for the benefit of the Notes;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(13) to conform the text of this Indenture, Guarantees or the Notes to any provision of the “Description of Notes” section of the Offering Memorandum;</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(14) to make any amendment to the provisions of this Indenture relating to the transfer and legending of Notes as permitted by this Indenture, including, without limitation to facilitate the issuance and administration of the Notes; provided, however, that (i) compliance with this Indenture as so amended would not result in Notes being transferred in violation of the Securities Act or any applicable securities law and (ii) such amendment does not materially and adversely affect the rights of Holders to transfer Notes;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(15) to mortgage, pledge, hypothecate or grant any other Lien in favor of the Trustee or Notes Collateral Agent for its benefit and the benefit of the Trustee, the Holders of the Notes and the holders of any future Other Pari Passu Lien Obligations, as additional security for the payment and performance of all or any portion of the Obligations, in any property or assets, including any which are required to be mortgaged, pledged or hypothecated, or in which a Lien is required to be granted to or for the benefit of the Trustee or the Notes Collateral Agent pursuant to this Indenture, the Pari Passu Intercreditor Agreement, the Collateral Documents or otherwise;</w:t>
      </w:r>
    </w:p>
    <w:p>
      <w:pPr>
        <w:pStyle w:val="TextBody"/>
        <w:bidi w:val="0"/>
        <w:spacing w:before="0" w:after="240"/>
        <w:jc w:val="left"/>
        <w:rPr>
          <w:rFonts w:ascii="Times New Roman" w:hAnsi="Times New Roman"/>
          <w:sz w:val="20"/>
        </w:rPr>
      </w:pPr>
      <w:r>
        <w:rPr>
          <w:rFonts w:ascii="Times New Roman;serif" w:hAnsi="Times New Roman;serif"/>
          <w:b w:val="false"/>
          <w:sz w:val="22"/>
        </w:rPr>
        <w:t>(16) provide for the release of Collateral from the Lien pursuant to this Indenture, the Collateral Documents and the Pari Passu Intercreditor Agreement when permitted or required by the Collateral Documents, this Indenture or the Pari Passu Intercreditor Agreement;</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(17) secure any future Indebtedness to the extent permitted under this Indenture, the Collateral Documents and the Pari Passu Intercreditor Agreement;</w:t>
      </w:r>
    </w:p>
    <w:p>
      <w:pPr>
        <w:pStyle w:val="TextBody"/>
        <w:bidi w:val="0"/>
        <w:spacing w:before="0" w:after="240"/>
        <w:jc w:val="left"/>
        <w:rPr>
          <w:rFonts w:ascii="Times New Roman" w:hAnsi="Times New Roman"/>
          <w:sz w:val="20"/>
        </w:rPr>
      </w:pPr>
      <w:r>
        <w:rPr>
          <w:rFonts w:ascii="Times New Roman;serif" w:hAnsi="Times New Roman;serif"/>
          <w:b w:val="false"/>
          <w:sz w:val="22"/>
        </w:rPr>
        <w:t>(18) to add additional parties with Pari Passu Lien Priority to any Collateral Documents;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(19) to enter into any intercreditor agreement having substantially similar terms with respect to the Holders as those set forth in the Pari Passu Intercreditor Agreement, taken as a whole, or any joinder thereto;</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(20) in the case of any Collateral Document, to include therein any legend required to be set forth therein pursuant to the Pari Passu Intercreditor Agreement or to modify any such legend as required by the Pari Passu Intercreditor Agreement;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(21) to provide for the succession of any parties to the Collateral Documents (and other amendments that are administrative or ministerial in nature) in connection with an amendment, renewal, extension, substitution, refinancing, restructuring, replacement, supplementing or other modification from time to time of the Senior Credit Facilities or any other agreement that is not prohibited by this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Upon the request of the Issuers and upon receipt by the Trustee of the documents described in Section 9.06 hereof, the Trustee shall join with the Company,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 Notwithstanding the foregoing, no Opinion of Counsel shall be required in connection with the addition of a Guarantor under this Indenture upon (i) execution and delivery by such Guarantor and the Trustee of a supplemental indenture to this Indenture, the form of which is attached as </w:t>
      </w:r>
      <w:r>
        <w:rPr>
          <w:rFonts w:ascii="Times New Roman;serif" w:hAnsi="Times New Roman;serif"/>
          <w:b w:val="false"/>
          <w:sz w:val="22"/>
          <w:u w:val="single"/>
        </w:rPr>
        <w:t>Exhibit D</w:t>
      </w:r>
      <w:r>
        <w:rPr>
          <w:rFonts w:ascii="Times New Roman" w:hAnsi="Times New Roman"/>
          <w:sz w:val="20"/>
        </w:rPr>
        <w:t xml:space="preserve"> </w:t>
      </w:r>
      <w:r>
        <w:rPr>
          <w:rFonts w:ascii="Times New Roman;serif" w:hAnsi="Times New Roman;serif"/>
          <w:b w:val="false"/>
          <w:sz w:val="22"/>
        </w:rPr>
        <w:t>hereto, (ii) execution and delivery by such Guarantor and the Trustee of the Completion Date Supplemental Indenture, the form of which is attached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as </w:t>
      </w:r>
      <w:r>
        <w:rPr>
          <w:rFonts w:ascii="Times New Roman;serif" w:hAnsi="Times New Roman;serif"/>
          <w:b w:val="false"/>
          <w:sz w:val="22"/>
          <w:u w:val="single"/>
        </w:rPr>
        <w:t>Exhibit E</w:t>
      </w:r>
      <w:r>
        <w:rPr>
          <w:rFonts w:ascii="Times New Roman" w:hAnsi="Times New Roman"/>
          <w:sz w:val="20"/>
        </w:rPr>
        <w:t xml:space="preserve"> </w:t>
      </w:r>
      <w:r>
        <w:rPr>
          <w:rFonts w:ascii="Times New Roman;serif" w:hAnsi="Times New Roman;serif"/>
          <w:b w:val="false"/>
          <w:sz w:val="22"/>
        </w:rPr>
        <w:t>hereto and (iii) delivery of an Officer’s Certificate complying with the provisions of Sections 9.06, 12.04 and 12.05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9.02 With Consent of Holders of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Except as provided below in this Section 9.02, the Issuers, the Trustee and the Notes Collateral Agent may amend or supplement any Notes Documents with the consent of the Holders of at least a majority in principal amount of the Notes (including Additional Notes, if any) then outstanding voting as a single class (including, without limitation,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Guarantees or the Notes may be waived with the consent of the Holders of a majority in aggregate principal amount of the then outstanding Notes (including Additional Notes, if any) voting as a single class (including consents obtained in connection with a tender offer or exchange offer for, or purchase of, the Notes). Section 2.08 and Section 2.09 hereof shall determine which Notes are considered to be “outstanding” for the purposes of this Section 9.02.</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Upon the request of the Issuers and upon the filing with the Trustee of evidence satisfactory to the Trustee of the consent of the Holders of Notes as aforesaid, and upon receipt by the Trustee and Notes Collateral Agent, if applicable, of the documents described in Section 9.06 hereof, the Trustee and Notes Collateral Agent, if applicable, shall join with the Issuers in the execution of such amended or supplemental indenture or amendment or supplement to Notes Documents unless such amended or supplemental indenture or amendment or supplement to any Notes Documents affects the Trustee’s or Notes Collateral Agent’s own rights, duties or immunities under this Indenture or otherwise, in which case the Trustee and Notes Collateral Agent, if applicable, may in its discretion, but shall not be obligated to, enter into such amended or supplemental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It shall not be necessary for the consent of the Holders of Notes under this Section 9.02 to approve the particular form of any proposed amendment, supplement or waiver. It shall be sufficient if such consent approves the substance of the proposed amendment or supplement. A consent to any amendment, supplement or waiver under this Indenture by any Holder given in connection with a tender of such Holder’s Notes will not be rendered invalid by such tender.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After an amendment, supplement or waiver under this Section 9.02 becomes effective, the Issuers shall send to the Holders of Notes affected thereby a notice briefly describing the amendment, supplement or waiver. The failure to give such notice to all the Holders, or any defect in the notice will not impair or affect the validity of any such amendment, supplement or waiver. Furthermore, by its acceptance of the Notes, each Holder of the Notes is deemed to have consented to the terms of the Intercreditor Agreements and the Collateral Documents and to have authorized and directed the Trustee and the Notes Collateral Agent, as applicable, to execute, deliver and perform each of the Intercreditor Agreements and Collateral Documents to which it is a party, binding the Holders to the terms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Without the consent of each affected Holder of Notes, an amendment or waiver under this Section 9.02 may not (with respect to any Notes held by a non-consenting Holder):</w:t>
      </w:r>
    </w:p>
    <w:p>
      <w:pPr>
        <w:pStyle w:val="TextBody"/>
        <w:bidi w:val="0"/>
        <w:spacing w:before="0" w:after="240"/>
        <w:jc w:val="left"/>
        <w:rPr>
          <w:rFonts w:ascii="Times New Roman" w:hAnsi="Times New Roman"/>
          <w:sz w:val="20"/>
        </w:rPr>
      </w:pPr>
      <w:r>
        <w:rPr>
          <w:rFonts w:ascii="Times New Roman;serif" w:hAnsi="Times New Roman;serif"/>
          <w:b w:val="false"/>
          <w:sz w:val="22"/>
        </w:rPr>
        <w:t>(1) reduce the principal amount of such Notes whose Holders must consent to an amendment, supplement or waiver;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reduce the principal of or change the fixed final maturity of any such Note or alter or waive the provisions with respect to the redemption of such Notes (other than provisions relating to Section 3.09, Section 4.10 and Section 4.14 hereof to the extent that any such amendment or waiver does not have the effect of reducing the principal of or changing the fixed final maturity of any such Note or altering or waiving the provisions with respect to the redemption of such Notes);</w:t>
      </w:r>
    </w:p>
    <w:p>
      <w:pPr>
        <w:pStyle w:val="TextBody"/>
        <w:bidi w:val="0"/>
        <w:spacing w:before="0" w:after="240"/>
        <w:jc w:val="left"/>
        <w:rPr>
          <w:rFonts w:ascii="Times New Roman" w:hAnsi="Times New Roman"/>
          <w:sz w:val="20"/>
        </w:rPr>
      </w:pPr>
      <w:r>
        <w:rPr>
          <w:rFonts w:ascii="Times New Roman;serif" w:hAnsi="Times New Roman;serif"/>
          <w:b w:val="false"/>
          <w:sz w:val="22"/>
        </w:rPr>
        <w:t>(3) reduce the rate of or change the time for payment of interest on any Note;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(4) waive a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 or in respect of a covenant or provision contained in this Indenture or any Guarantee which cannot be amended or modified without the consent of all Holders;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(5) make any Note payable in money other than that stated therein;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(6) make any change in the provisions of this Indenture relating to waivers of past Defaults or the rights of Holders to receive payments of principal of or premium, if any, or interest on the Notes;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(7) make any change in these amendment and waiver provisions;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(8) impair the right of any Holder to institute suit for the enforcement of any payment of principal of, or interest on such Holder’s Notes on or after the due dates therefor;</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(9) make any change to or modify the ranking of the Notes that would adversely affect the Holders; 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except as expressly permitted by this Indenture, modify or release the Guarantees of any Significant Subsidiary in any manner materially adverse to the Holders of the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the foregoing, without the consent of the Holders of at least 66-2/3% in aggregate principal amount of the Notes then outstanding, no amendment or waiver may (A) make any change in any Collateral Document or the provisions in this Indenture dealing with Collateral or application of trust proceeds of the Collateral with the effect of releasing the Liens on all or substantially all of the Collateral which secure the Obligations in respect of the Notes or (B) change or alter the priority of the Liens securing the Obligations in respect of the Notes in any material portion of the Collateral in any way materially adverse, taken as a whole, to the Holders, other than, in each case, as provided under the terms of this Indenture, the Collateral Documents or the Pari Passu Intercreditor Agreement.</w:t>
      </w:r>
    </w:p>
    <w:p>
      <w:pPr>
        <w:pStyle w:val="TextBody"/>
        <w:bidi w:val="0"/>
        <w:spacing w:before="0" w:after="240"/>
        <w:jc w:val="left"/>
        <w:rPr>
          <w:rFonts w:ascii="Times New Roman" w:hAnsi="Times New Roman"/>
          <w:sz w:val="20"/>
        </w:rPr>
      </w:pPr>
      <w:r>
        <w:rPr>
          <w:rFonts w:ascii="Times New Roman;serif" w:hAnsi="Times New Roman;serif"/>
          <w:b w:val="false"/>
          <w:sz w:val="22"/>
        </w:rPr>
        <w:t>Section 9.03 [</w:t>
      </w:r>
      <w:r>
        <w:rPr>
          <w:rFonts w:ascii="Times New Roman;serif" w:hAnsi="Times New Roman;serif"/>
          <w:b w:val="false"/>
          <w:sz w:val="22"/>
          <w:u w:val="single"/>
        </w:rPr>
        <w:t>Reserved</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9.04 Revocation and Effect of Consents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waiver, supplement or amendment becomes effective. An amendment, supplement or waiver becomes effective in accordance with its terms and thereafter binds every Holder.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9.05 Notation on or Exchange of Notes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Failure to make the appropriate notation or issue a new Note shall not affect the validity and effect of such amendment, supplement or waiver.</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9.06 Trustee to Sign Amendments, Etc</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and Notes Collateral Agent, if applicable, shall sign any amendment, supplement or waiver authorized pursuant to this Article 9 if the amendment or supplement does not adversely affect the rights, duties, liabilities or immunities of the Trustee or Notes Collateral Agent, if applicable. The Issuers may not sign an amendment, supplement or waiver until the board of directors approves it. In executing any amendment, supplement or waiver, the Trustee and Notes Collateral Agent, if applicable, shall be entitled to receive and (subject to Section 7.01 hereof) shall be fully protected in relying upon, in addition to the documents required by Section 12.04 hereof, an Officer’s Certificate and an Opinion of Counsel stating that the execution of such amended or supplemental indenture is authorized or permitted by this Indenture and an Opinion of Counsel stating that such amendment, supplement or waiver is the legal, valid and binding obligation of the Issuers and any Guarantors party thereto, enforceable against them in accordance with its terms, subject to customary exceptions, and complies with the provisions hereof. Notwithstanding the foregoing and upon satisfaction of the requirements set forth in the last sentence of Section 9.01 hereof, no Opinion of Counsel shall be required for the Trustee to execute any amendment or supplement adding a new Guarantor under this Indenture.</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10</w:t>
        <w:br/>
        <w:br/>
        <w:t>GUARANTEES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10.01 Guarantee</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Subject to this Article 10, each of the Guarantors, and from and after the consummation of the Transactions and upon the execution and delivery of the Completion Date Supplemental Indenture or any other supplemental indenture to this Indenture, each Guarantor to be added under this Indenture on or after the Completion Date that shall execute the Completion Date Supplemental Indenture or any other supplemental indenture, hereby, jointly and severally irrevocably and unconditionally guarantees, to each Holder of a Note authenticated and delivered by the Trustee and to the Trustee, the Notes Collateral Agent and its successors and assigns, irrespective of the validity and enforceability of this Indenture,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Notes or the obligations of the Issuers hereunder or thereunder, that: (a) the principal of, interest, and premium on the Notes shall be promptly paid in full when due, whether at maturity, by acceleration, redemption or otherwise, and interest on the overdue principal of and interest on the Notes, if any, if lawful, and all other obligations of the Issuers to the Holders, the Trustee or the Notes Collateral Agent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or any amendment of any provisions hereof or thereof, the recovery of any judgment against the Issuers,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Issuers, any right to require a proceeding first against the Issuers, protest, notice and all demands whatsoever and covenants that this Guarantee shall not be discharged except by complete performance of the obligations contained in the Notes and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Each Guarantor also agrees to pay any and all costs and expenses (including reasonable attorneys’ fees) incurred by the Trustee, the Notes Collateral Agent or any Holder in enforcing any rights under this Section 10.01.</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any Holder, the Trustee or the Notes Collateral Agent is required by any court or otherwise to return to the Issuers, the Guarantors or any custodian, trustee, liquidator or other similar official acting in relation to either the Issuers or the Guarantors, any amount paid either to the Trustee, the Notes Collateral Agent or such Holder, this Guarantee, to the extent theretofore discharged, shall be reinstated in full force and effect.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the Trustee and the Notes Collateral Agent, on the other hand, (x) the maturity of the obligations guaranteed hereby may be accelerated as provided in Article 6 hereof for the purposes of this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Guarantee. The Guarantors shall have the right to seek contribution from any non-paying Guarantor so long as the exercise of such right does not impair the rights of the Holders under the Guarantees.</w:t>
      </w:r>
    </w:p>
    <w:p>
      <w:pPr>
        <w:pStyle w:val="TextBody"/>
        <w:bidi w:val="0"/>
        <w:spacing w:before="0" w:after="240"/>
        <w:jc w:val="left"/>
        <w:rPr>
          <w:rFonts w:ascii="Times New Roman" w:hAnsi="Times New Roman"/>
          <w:sz w:val="20"/>
        </w:rPr>
      </w:pPr>
      <w:r>
        <w:rPr>
          <w:rFonts w:ascii="Times New Roman;serif" w:hAnsi="Times New Roman;serif"/>
          <w:b w:val="false"/>
          <w:sz w:val="22"/>
        </w:rPr>
        <w:t>Each Guarantee shall remain in full force and effect and continue to be effective should any petition be filed by or against the Issuers for liquidation or reorganization, should the Issuers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or returned by any obligee on the Notes or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case any provision of any Guarantee shall be invalid, illegal or unenforceable, the validity, legality, and enforceability of the remaining provisions shall not in any way be affected or impaired thereby.</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The Guarantee issued by any Guarantor shall be a general unsecured senior obligation of such Guarantor and shall be </w:t>
      </w:r>
      <w:r>
        <w:rPr>
          <w:rFonts w:ascii="Times New Roman;serif" w:hAnsi="Times New Roman;serif"/>
          <w:b w:val="false"/>
          <w:i/>
          <w:sz w:val="22"/>
        </w:rPr>
        <w:t>pari passu</w:t>
      </w:r>
      <w:r>
        <w:rPr>
          <w:rFonts w:ascii="Times New Roman" w:hAnsi="Times New Roman"/>
          <w:sz w:val="20"/>
        </w:rPr>
        <w:t xml:space="preserve"> </w:t>
      </w:r>
      <w:r>
        <w:rPr>
          <w:rFonts w:ascii="Times New Roman;serif" w:hAnsi="Times New Roman;serif"/>
          <w:b w:val="false"/>
          <w:sz w:val="22"/>
        </w:rPr>
        <w:t>in right of payment with all existing and future Senior Indebtedness of such Guarantor.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Each payment to be made by a Guarantor in respect of its Guarantee shall be made without set-off, counterclaim, reduction or diminution of any kind or nature.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10.02 Limitation on Guarantor Liability</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conveyance or fraudulent transfer under applicable law</w:t>
      </w:r>
      <w:r>
        <w:rPr>
          <w:rFonts w:ascii="Times New Roman" w:hAnsi="Times New Roman"/>
          <w:sz w:val="20"/>
        </w:rPr>
        <w:t xml:space="preserve"> </w:t>
      </w:r>
      <w:r>
        <w:rPr>
          <w:rFonts w:ascii="Times New Roman;serif" w:hAnsi="Times New Roman;serif"/>
          <w:b w:val="false"/>
          <w:sz w:val="22"/>
        </w:rPr>
        <w:t xml:space="preserve">or to comply with corporate benefit, financial assistance and other laws. Each Guarantor that makes a payment under its Guarantee shall be entitled upon payment in full of all guaranteed obligations under this Indenture to a contribution from each other Guarantor in an amount equal to such other Guarantor’s </w:t>
      </w:r>
      <w:r>
        <w:rPr>
          <w:rFonts w:ascii="Times New Roman;serif" w:hAnsi="Times New Roman;serif"/>
          <w:b w:val="false"/>
          <w:i/>
          <w:sz w:val="22"/>
        </w:rPr>
        <w:t>pro</w:t>
      </w:r>
      <w:r>
        <w:rPr>
          <w:rFonts w:ascii="Times New Roman" w:hAnsi="Times New Roman"/>
          <w:sz w:val="20"/>
          <w:u w:val="single"/>
        </w:rPr>
        <w:t xml:space="preserve"> </w:t>
      </w:r>
      <w:r>
        <w:rPr>
          <w:rFonts w:ascii="Times New Roman;serif" w:hAnsi="Times New Roman;serif"/>
          <w:b w:val="false"/>
          <w:i/>
          <w:sz w:val="22"/>
        </w:rPr>
        <w:t>rata</w:t>
      </w:r>
      <w:r>
        <w:rPr>
          <w:rFonts w:ascii="Times New Roman" w:hAnsi="Times New Roman"/>
          <w:sz w:val="20"/>
        </w:rPr>
        <w:t xml:space="preserve"> </w:t>
      </w:r>
      <w:r>
        <w:rPr>
          <w:rFonts w:ascii="Times New Roman;serif" w:hAnsi="Times New Roman;serif"/>
          <w:b w:val="false"/>
          <w:sz w:val="22"/>
        </w:rPr>
        <w:t>portion of such payment based on the respective net assets of all the Guarantors at the time of such payment determined in accordance with IFRS.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Each Guarantor shall waive any and all of its rights under the existing or future laws of Guernsey, whether by virtue of the </w:t>
      </w:r>
      <w:r>
        <w:rPr>
          <w:rFonts w:ascii="Times New Roman;serif" w:hAnsi="Times New Roman;serif"/>
          <w:b w:val="false"/>
          <w:i/>
          <w:sz w:val="22"/>
        </w:rPr>
        <w:t>droit de division</w:t>
      </w:r>
      <w:r>
        <w:rPr>
          <w:rFonts w:ascii="Times New Roman" w:hAnsi="Times New Roman"/>
          <w:sz w:val="20"/>
        </w:rPr>
        <w:t xml:space="preserve"> </w:t>
      </w:r>
      <w:r>
        <w:rPr>
          <w:rFonts w:ascii="Times New Roman;serif" w:hAnsi="Times New Roman;serif"/>
          <w:b w:val="false"/>
          <w:sz w:val="22"/>
        </w:rPr>
        <w:t xml:space="preserve">or otherwise, to require that any liability under or in connection with this Indenture be divided or apportioned with any other person or reduced in any manner whatsoever, and whether by virtue of the </w:t>
      </w:r>
      <w:r>
        <w:rPr>
          <w:rFonts w:ascii="Times New Roman;serif" w:hAnsi="Times New Roman;serif"/>
          <w:b w:val="false"/>
          <w:i/>
          <w:sz w:val="22"/>
        </w:rPr>
        <w:t>droit de discussion</w:t>
      </w:r>
      <w:r>
        <w:rPr>
          <w:rFonts w:ascii="Times New Roman" w:hAnsi="Times New Roman"/>
          <w:sz w:val="20"/>
        </w:rPr>
        <w:t xml:space="preserve"> </w:t>
      </w:r>
      <w:r>
        <w:rPr>
          <w:rFonts w:ascii="Times New Roman;serif" w:hAnsi="Times New Roman;serif"/>
          <w:b w:val="false"/>
          <w:sz w:val="22"/>
        </w:rPr>
        <w:t>or otherwise, to require that recourse be had to the assets of any other person before any claim is enforced against it.</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10.03 Execution and Delivery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evidence its Guarantee set forth in Section 10.01 hereof, each Guarantor, and each Guarantor to be added under this Indenture on or after the Completion Date that shall execute the Completion Date Supplemental Indenture, hereby agrees that this Indenture shall be executed on behalf of such Guarantor by its President, one of its Vice Presidents, one of its Assistant Vice Presidents or its Chief Financial Officer.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Each Guarantor hereby agrees that its Guarantee set forth in Section 10.01 hereof shall remain in full force and effect notwithstanding the absence of the endorsement of any notation of such Guarantee on the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an Officer whose signature is on this Indenture no longer holds that office at the time the Trustee authenticates the Note, the Guarantee shall be valid nevertheless.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delivery of any Note by the Trustee, after the authentication thereof hereunder, shall constitute due delivery of the Guarantee set forth in this Indenture on behalf of the Guarantors.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required by Section 4.15 hereof, the Issuers shall cause any newly created or acquired Restricted Subsidiary to comply with the provisions of Section 4.15 hereof and this Article 10, to the extent applicable.</w:t>
      </w:r>
    </w:p>
    <w:p>
      <w:pPr>
        <w:pStyle w:val="TextBody"/>
        <w:bidi w:val="0"/>
        <w:spacing w:before="0" w:after="240"/>
        <w:jc w:val="left"/>
        <w:rPr>
          <w:rFonts w:ascii="Times New Roman;serif" w:hAnsi="Times New Roman;serif"/>
          <w:b w:val="false"/>
          <w:sz w:val="22"/>
          <w:u w:val="single"/>
        </w:rPr>
      </w:pPr>
      <w:r>
        <w:rPr>
          <w:rFonts w:ascii="Times New Roman;serif" w:hAnsi="Times New Roman;serif"/>
          <w:b w:val="false"/>
          <w:sz w:val="22"/>
          <w:u w:val="single"/>
        </w:rPr>
        <w:t>Section 10.04 Subrogation.</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Each Guarantor shall be subrogated to all rights of Holders of Notes against the Issuers in respect of any amounts paid by any Guarantor pursuant to the provisions of Section 10.01 hereof; </w:t>
      </w:r>
      <w:r>
        <w:rPr>
          <w:rFonts w:ascii="Times New Roman;serif" w:hAnsi="Times New Roman;serif"/>
          <w:b w:val="false"/>
          <w:i/>
          <w:sz w:val="22"/>
        </w:rPr>
        <w:t>provided</w:t>
      </w:r>
      <w:r>
        <w:rPr>
          <w:rFonts w:ascii="Times New Roman;serif" w:hAnsi="Times New Roman;serif"/>
          <w:b w:val="false"/>
          <w:sz w:val="22"/>
        </w:rPr>
        <w:t>, that if an Event of Default has occurred and is continuing, no Guarantor shall be entitled to enforce or receive any payments arising out of, or based upon, such right of subrogation until all amounts then due and payable by the Issuers under this Indenture or the Notes shall have been paid in full.</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10.05 Benefits Acknowledged</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Each Guarantor acknowledges that it shall receive direct and indirect benefits from the financing arrangements contemplated by this Indenture and that the guarantee and waivers made by it pursuant to its Guarantee are knowingly made in contemplation of such benefits.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10.06 Release of Guarantees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Guarantee by a Guarantor shall be automatically and unconditionally released and discharged, and no further action by such Guarantor, the Issuers or the Trustee is required for the release of such Guarantor’s Guarantee, upon:</w:t>
      </w:r>
    </w:p>
    <w:p>
      <w:pPr>
        <w:pStyle w:val="TextBody"/>
        <w:bidi w:val="0"/>
        <w:spacing w:before="0" w:after="240"/>
        <w:jc w:val="left"/>
        <w:rPr>
          <w:rFonts w:ascii="Times New Roman" w:hAnsi="Times New Roman"/>
          <w:sz w:val="20"/>
        </w:rPr>
      </w:pPr>
      <w:r>
        <w:rPr>
          <w:rFonts w:ascii="Times New Roman;serif" w:hAnsi="Times New Roman;serif"/>
          <w:b w:val="false"/>
          <w:sz w:val="22"/>
        </w:rPr>
        <w:t>(1) (A) any sale, exchange, transfer or other disposition (by merger, amalgamation, consolidation or otherwise) of the Capital Stock of such Guarantor (including any sale, exchange or transfer), after which the applicable Guarantor is no longer a Restricted Subsidiary; or any sale, exchange or transfer of all or substantially all the assets of such Guarantor, in either case which sale, exchange or transfer is made in compliance with the applicable provisions of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upon the merger, amalgamation or consolidation of any Guarantor with and into an Issuers or another Guarantor or upon the liquidation of such Guarantor, in each case, in compliance with the applicable provisions of this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(C) the designation of any Restricted Subsidiary that is a Guarantor as an Unrestricted Subsidiary in compliance with the applicable provisions of this Indenture</w:t>
      </w:r>
      <w:r>
        <w:rPr>
          <w:rFonts w:ascii="Times New Roman" w:hAnsi="Times New Roman"/>
          <w:sz w:val="20"/>
        </w:rPr>
        <w:t xml:space="preserve"> </w:t>
      </w:r>
      <w:r>
        <w:rPr>
          <w:rFonts w:ascii="Times New Roman;serif" w:hAnsi="Times New Roman;serif"/>
          <w:b w:val="false"/>
          <w:sz w:val="22"/>
        </w:rPr>
        <w:t>or the occurrence of any event after which the Guarantor is no longer a Restricted Subsidiary;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(D) the Issuers’ exercising their Legal Defeasance option or Covenant Defeasance option in accordance with Article 8 hereof or the satisfaction and discharge of the Issuers’ obligations under this Indenture in accordance with the terms of this Indenture;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to the extent that such Guarantor is not an Immaterial Subsidiary solely due to the operation of clause (i) of the definition of “Immaterial Subsidiary,” upon the release of the guarantee referred to in such clause;</w:t>
      </w:r>
    </w:p>
    <w:p>
      <w:pPr>
        <w:pStyle w:val="TextBody"/>
        <w:bidi w:val="0"/>
        <w:spacing w:before="0" w:after="240"/>
        <w:jc w:val="left"/>
        <w:rPr>
          <w:rFonts w:ascii="Times New Roman" w:hAnsi="Times New Roman"/>
          <w:sz w:val="20"/>
        </w:rPr>
      </w:pPr>
      <w:r>
        <w:rPr>
          <w:rFonts w:ascii="Times New Roman;serif" w:hAnsi="Times New Roman;serif"/>
          <w:b w:val="false"/>
          <w:sz w:val="22"/>
        </w:rPr>
        <w:t>(F) such Guarantor being released from all of (i) its obligations under all of its Guarantees of payment of all Indebtedness of the Company under the Senior Credit Facilities (except a discharge or release by or as a result of payment in connection with the enforcement of remedies under such guarantee or direct obligation) unless at the time of such release or discharge such Guarantor is then a guarantor or an obligor in respect of any other Indebtedness that would require it to provide a Guarantee pursuant to Section 4.15 hereof; or (ii) in the case of a Guarantee made by a Guarantor (each, an “</w:t>
      </w:r>
      <w:r>
        <w:rPr>
          <w:rFonts w:ascii="Times New Roman;serif" w:hAnsi="Times New Roman;serif"/>
          <w:b w:val="false"/>
          <w:sz w:val="22"/>
          <w:u w:val="single"/>
        </w:rPr>
        <w:t>Other Guarantee</w:t>
      </w:r>
      <w:r>
        <w:rPr>
          <w:rFonts w:ascii="Times New Roman" w:hAnsi="Times New Roman"/>
          <w:sz w:val="20"/>
        </w:rPr>
        <w:t>”</w:t>
      </w:r>
      <w:r>
        <w:rPr>
          <w:rFonts w:ascii="Times New Roman;serif" w:hAnsi="Times New Roman;serif"/>
          <w:b w:val="false"/>
          <w:sz w:val="22"/>
        </w:rPr>
        <w:t>) as a result of its guarantee of other Indebtedness of either Issuer or the Company or a Guarantor pursuant to Section 4.15 hereof, the relevant Indebtedness, except in the case of (i) or (ii), a release as a result of (x) payment in full under such guarantee (it being understood that a release subject to a contingent reinstatement is still considered a release, and if any such Guarantee of such Guarantor under the Senior Credit Facilities or any Other Guarantee is so reinstated, such Guarantee shall also be reinstated), (y) a refinancing or replacement in full of the Senior Credit Facilities and/or such other Indebtedness;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 solely if such Guarantor does not guarantee Indebtedness (or commitments in respect thereof) (other than the Notes) (for the avoidance of doubt, prior to giving effect to any release pursuant to this clause (g)) immediately prior and during the Suspension Period; </w:t>
      </w:r>
      <w:r>
        <w:rPr>
          <w:rFonts w:ascii="Times New Roman;serif" w:hAnsi="Times New Roman;serif"/>
          <w:b w:val="false"/>
          <w:i/>
          <w:sz w:val="22"/>
        </w:rPr>
        <w:t>provided</w:t>
      </w:r>
      <w:r>
        <w:rPr>
          <w:rFonts w:ascii="Times New Roman;serif" w:hAnsi="Times New Roman;serif"/>
          <w:b w:val="false"/>
          <w:sz w:val="22"/>
        </w:rPr>
        <w:t>, that such Guarantee shall be reinstated upon the Reversion Date or, if earlier, the guarantee by such Guarantor of Indebtedness (or commitments in respect thereof) with Pari Passu Lien Priority relative to the Notes (for the avoidance of doubt, prior to giving effect to any release pursuant to this clause (g));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as described under Article 9 hereof;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the Issuers delivering to the Trustee an Officer’s Certificate and an Opinion of Counsel, each stating that all conditions precedent provided for in this Indenture relating to such transaction have been complied with.</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11</w:t>
        <w:br/>
        <w:br/>
        <w:t>SATISFACTION AND DISCHARGE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11.01 Satisfaction and Discharge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This Indenture shall be discharged and shall cease to be of further effect as to all Notes, when either: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all Notes theretofore authenticated and delivered, except lost, stolen or destroyed Notes which have been replaced or paid and Notes for whose payment money has theretofore been deposited in trust, have been delivered to the Trustee for cancellation; or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(2) (A) all Notes not theretofore delivered to the Trustee for cancellation have become due and payable by reason of the making of a notice of redemption or otherwise, shall become due and payable within one year or may be called for redemption within one year under arrangements satisfactory to the Trustee for the giving of notice of redemption by the Trustee in the name, and at the expense, of the Issuers and the Issuers or any Guarantor have irrevocably deposited or caused to be deposited with the Trustee as trust funds in trust solely for the benefit of the Holders of the Notes, cash in U.S. dollars, Government Securities or a combination 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(B) the Issuers have paid or caused to be paid all sums payable by it under this Indenture; and</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the Issuers have delivered irrevocable instructions to the Trustee to apply the deposited money toward the payment of the Notes at maturity or the redemption date, as the case may be.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addition, the Issuers must deliver an Officer’s Certificate and an Opinion of Counsel to the Trustee stating that all conditions precedent to satisfaction and discharge have been satisfied.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the satisfaction and discharge of this Indenture, the provisions of Section 7.07 hereof shall survive and, if money shall have been deposited with the Trustee pursuant to subclause (A) of clause (2) of this Section 11.01, the provisions of Section 11.02 and Section 8.06 hereof shall survive.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11.02 Application of Trust Money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hereof; </w:t>
      </w:r>
      <w:r>
        <w:rPr>
          <w:rFonts w:ascii="Times New Roman;serif" w:hAnsi="Times New Roman;serif"/>
          <w:b w:val="false"/>
          <w:i/>
          <w:sz w:val="22"/>
        </w:rPr>
        <w:t>provided</w:t>
      </w:r>
      <w:r>
        <w:rPr>
          <w:rFonts w:ascii="Times New Roman;serif" w:hAnsi="Times New Roman;serif"/>
          <w:b w:val="false"/>
          <w:sz w:val="22"/>
        </w:rPr>
        <w:t>,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12</w:t>
        <w:br/>
        <w:br/>
        <w:t>MISCELLANEOUS</w:t>
      </w:r>
    </w:p>
    <w:p>
      <w:pPr>
        <w:pStyle w:val="TextBody"/>
        <w:bidi w:val="0"/>
        <w:spacing w:before="0" w:after="240"/>
        <w:jc w:val="left"/>
        <w:rPr>
          <w:rFonts w:ascii="Times New Roman" w:hAnsi="Times New Roman"/>
          <w:sz w:val="20"/>
        </w:rPr>
      </w:pPr>
      <w:r>
        <w:rPr>
          <w:rFonts w:ascii="Times New Roman;serif" w:hAnsi="Times New Roman;serif"/>
          <w:b w:val="false"/>
          <w:sz w:val="22"/>
        </w:rPr>
        <w:t>Section 12.01 [</w:t>
      </w:r>
      <w:r>
        <w:rPr>
          <w:rFonts w:ascii="Times New Roman;serif" w:hAnsi="Times New Roman;serif"/>
          <w:b w:val="false"/>
          <w:sz w:val="22"/>
          <w:u w:val="single"/>
        </w:rPr>
        <w:t>Reserved</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u w:val="single"/>
        </w:rPr>
      </w:pPr>
      <w:r>
        <w:rPr>
          <w:rFonts w:ascii="Times New Roman;serif" w:hAnsi="Times New Roman;serif"/>
          <w:b w:val="false"/>
          <w:sz w:val="22"/>
          <w:u w:val="single"/>
        </w:rPr>
        <w:t>Section 12.02 Notices.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 notice or communication by the Company, the Issuers, any Guarantor, the Trustee or the Notes Collateral Agent to the others is duly given if in writing and delivered in person or mailed by first-class mail (registered or certified, return receipt requested), fax or overnight air courier guaranteeing next day delivery, to the others’ address:</w:t>
      </w:r>
    </w:p>
    <w:p>
      <w:pPr>
        <w:pStyle w:val="TextBody"/>
        <w:bidi w:val="0"/>
        <w:spacing w:before="0" w:after="240"/>
        <w:jc w:val="left"/>
        <w:rPr>
          <w:rFonts w:ascii="Times New Roman" w:hAnsi="Times New Roman"/>
          <w:sz w:val="20"/>
        </w:rPr>
      </w:pPr>
      <w:r>
        <w:rPr>
          <w:rFonts w:ascii="Times New Roman;serif" w:hAnsi="Times New Roman;serif"/>
          <w:b w:val="false"/>
          <w:sz w:val="22"/>
        </w:rPr>
        <w:t>If to the Company, the Issuers and/or any Guarantor:</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Connect Finco SARL</w:t>
        <w:br/>
        <w:t>1-3, boulevard de la Foire</w:t>
        <w:br/>
        <w:t>L-1528 Luxembourg</w:t>
        <w:br/>
        <w:t>Attention: Gonzague de L’honeux</w:t>
      </w:r>
    </w:p>
    <w:p>
      <w:pPr>
        <w:pStyle w:val="TextBody"/>
        <w:bidi w:val="0"/>
        <w:spacing w:before="0" w:after="0"/>
        <w:jc w:val="left"/>
        <w:rPr>
          <w:rFonts w:ascii="Times New Roman" w:hAnsi="Times New Roman"/>
          <w:sz w:val="20"/>
        </w:rPr>
      </w:pPr>
      <w:r>
        <w:rPr>
          <w:rFonts w:ascii="Times New Roman;serif" w:hAnsi="Times New Roman;serif"/>
          <w:b w:val="false"/>
          <w:sz w:val="22"/>
        </w:rPr>
        <w:t>With a copy</w:t>
      </w:r>
      <w:r>
        <w:rPr>
          <w:rFonts w:ascii="Times New Roman" w:hAnsi="Times New Roman"/>
          <w:sz w:val="20"/>
        </w:rPr>
        <w:t xml:space="preserve"> </w:t>
      </w:r>
      <w:r>
        <w:rPr>
          <w:rFonts w:ascii="Times New Roman;serif" w:hAnsi="Times New Roman;serif"/>
          <w:b w:val="false"/>
          <w:sz w:val="22"/>
        </w:rPr>
        <w:t>(which shall not constitute notice) to:</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Connect U.S. Finco LLC</w:t>
        <w:br/>
        <w:t>251 Little Falls Drive</w:t>
        <w:br/>
        <w:t>Wilmington, Delaware 19808</w:t>
        <w:br/>
        <w:t>United States</w:t>
        <w:br/>
        <w:t>Attention: Gonzague de L’honeux</w:t>
      </w:r>
    </w:p>
    <w:p>
      <w:pPr>
        <w:pStyle w:val="TextBody"/>
        <w:bidi w:val="0"/>
        <w:spacing w:before="0" w:after="0"/>
        <w:jc w:val="left"/>
        <w:rPr>
          <w:rFonts w:ascii="Times New Roman" w:hAnsi="Times New Roman"/>
          <w:sz w:val="20"/>
        </w:rPr>
      </w:pPr>
      <w:r>
        <w:rPr>
          <w:rFonts w:ascii="Times New Roman;serif" w:hAnsi="Times New Roman;serif"/>
          <w:b w:val="false"/>
          <w:sz w:val="22"/>
        </w:rPr>
        <w:t>With a copy</w:t>
      </w:r>
      <w:r>
        <w:rPr>
          <w:rFonts w:ascii="Times New Roman" w:hAnsi="Times New Roman"/>
          <w:sz w:val="20"/>
        </w:rPr>
        <w:t xml:space="preserve"> </w:t>
      </w:r>
      <w:r>
        <w:rPr>
          <w:rFonts w:ascii="Times New Roman;serif" w:hAnsi="Times New Roman;serif"/>
          <w:b w:val="false"/>
          <w:sz w:val="22"/>
        </w:rPr>
        <w:t>(which shall not constitute notice) to:</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Kirkland &amp; Ellis LLP</w:t>
        <w:br/>
        <w:t>601 Lexington Avenue</w:t>
        <w:br/>
        <w:t>New York, New York 10022</w:t>
        <w:br/>
        <w:t>Fax: 212-446-4900</w:t>
        <w:br/>
        <w:t>Attention: Joshua N. Korff and Sophia Hudson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If to the Trustee or the Notes Collateral Agent: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Wilmington Trust, National Association</w:t>
        <w:br/>
        <w:t>Global Capital Markets</w:t>
        <w:br/>
        <w:t>246 Goose Lane, Suite 105</w:t>
        <w:br/>
        <w:t>Guilford, CT 06437</w:t>
        <w:br/>
        <w:t>Fax No.: 203-453-1183</w:t>
        <w:br/>
        <w:t>Attention: Connect Finco Administrator</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Company, Issuers, any Guarantor, the Trustee or the Notes Collateral Agent, by notice to the others, may designate additional or different addresses for subsequent notices or communications.</w:t>
      </w:r>
    </w:p>
    <w:p>
      <w:pPr>
        <w:pStyle w:val="TextBody"/>
        <w:bidi w:val="0"/>
        <w:spacing w:before="0" w:after="240"/>
        <w:jc w:val="left"/>
        <w:rPr>
          <w:rFonts w:ascii="Times New Roman" w:hAnsi="Times New Roman"/>
          <w:sz w:val="20"/>
        </w:rPr>
      </w:pPr>
      <w:r>
        <w:rPr>
          <w:rFonts w:ascii="Times New Roman;serif" w:hAnsi="Times New Roman;serif"/>
          <w:b w:val="false"/>
          <w:sz w:val="22"/>
        </w:rPr>
        <w:t>All notices and communications (other than those sent to Holders) shall be deemed to have been duly given: at the time delivered by hand, if personally delivered; on first date on which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publication is made, if by publication; five (5)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Times New Roman;serif" w:hAnsi="Times New Roman;serif"/>
          <w:b w:val="false"/>
          <w:i/>
          <w:sz w:val="22"/>
        </w:rPr>
        <w:t>provided</w:t>
      </w:r>
      <w:r>
        <w:rPr>
          <w:rFonts w:ascii="Times New Roman;serif" w:hAnsi="Times New Roman;serif"/>
          <w:b w:val="false"/>
          <w:sz w:val="22"/>
        </w:rPr>
        <w:t>, that any notice or communication delivered to the Trustee or Notes Collateral Agent shall be deemed effective upon actual receipt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 notice or communication to a Holder shall be mailed by first-class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pursuant to the standing instructions from the Depositary.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 notice or communication is mailed in the manner provided above within the time prescribed, it is duly given, whether or not the addressee receives it.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the Issuers mail a notice or communication to Holders, they shall mail a copy to the Trustee, the Notes Collateral Agent and each Agent at the same time.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agrees to accept and act upon instructions or directions pursuant to this Indenture sent by unsecured e-mail, facsimile transmission or other similar unsecured electronic methods. If the Company, Issuers, any Guarantor or any Holder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12.03 Communication by Holders of Notes with Other Holders of Notes</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Holders may communicate pursuant to Trust Indenture Act Section 312(b) with other Holders with respect to their rights under this Indenture or the Notes. The Issuers, the Trustee, the Registrar and anyone else shall have the protection of Trust Indenture Act Section 312(c).</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12.04 Certificate and Opinion as to Conditions Precedent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Upon any request or application by the Company, the Issuers or any of the Guarantors to the Trustee to take any action under this Indenture, the Company, the Issuers or such Guarantor, as the case may be, shall furnish to the Trustee: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An Officer’s Certificate in form satisfactory to the Trustee (which shall include the statements set forth in Section 12.05 hereof) stating that, in the opinion of the signers, all conditions precedent and covenants, if any, provided for in this Indenture relating to the proposed action have been satisfied;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An Opinion of Counsel in form satisfactory to the Trustee (which shall include the statements set forth in Section 12.05 hereof) stating that, in the opinion of such counsel, all such conditions precedent and covenants have been satisfied.</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12.05 Statements Required in Certificate or Opinion</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Each certificate or opinion with respect to compliance with a condition or covenant provided for in this Indenture (other than a certificate provided pursuant to Section 4.04 hereof) shall include: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a statement that the Person making such certificate or opinion has read such covenant or condition;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 brief statement as to the nature and scope of the examination or investigation upon which the statements or opinions contained in such certificate or opinion are based;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(d) a statement as to whether or not, in the opinion of such Person, such condition or covenant has been complied with; </w:t>
      </w:r>
      <w:r>
        <w:rPr>
          <w:rFonts w:ascii="Times New Roman;serif" w:hAnsi="Times New Roman;serif"/>
          <w:b w:val="false"/>
          <w:i/>
          <w:sz w:val="22"/>
        </w:rPr>
        <w:t>provided</w:t>
      </w:r>
      <w:r>
        <w:rPr>
          <w:rFonts w:ascii="Times New Roman;serif" w:hAnsi="Times New Roman;serif"/>
          <w:b w:val="false"/>
          <w:sz w:val="22"/>
        </w:rPr>
        <w:t>, that with respect to matters of fact, an Opinion of Counsel may rely on an Officer’s Certificate or certificates of public officials.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12.06 Rules by Trustee and Agents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Trustee may make reasonable rules for action by or at a meeting of Holders. The Registrar or Paying Agent may make reasonable rules and set reasonable requirements for its functions.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12.07 No Personal Liability of Directors, Officers, Employees and Stockholders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 past, present or future director, officer, employee, incorporator, member, partner or stockholder of the Company or any Guarantor or any of their direct or indirect parent companies (other than the Company and the Guarantors) shall have any liability for any obligations of the Company, the Issuers or the Guarantors under the Notes, the Guarantees or this Indenture or for any claim based on, in respect of, or by reason of such obligations or their creation. Each Holder by accepting Notes waives and releases all such liability. The waiver and release are part of the consideration for issuance of the Notes.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12.08 Governing Law</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THIS INDENTURE, THE NOTES AND ANY GUARANTEE WILL BE GOVERNED BY AND CONSTRUED IN ACCORDANCE WITH THE LAWS OF THE STATE OF NEW YORK.</w:t>
      </w:r>
      <w:r>
        <w:rPr>
          <w:rFonts w:ascii="Times New Roman" w:hAnsi="Times New Roman"/>
          <w:sz w:val="20"/>
        </w:rPr>
        <w:t xml:space="preserve"> </w:t>
      </w:r>
      <w:r>
        <w:rPr>
          <w:rFonts w:ascii="Times New Roman;serif" w:hAnsi="Times New Roman;serif"/>
          <w:b w:val="false"/>
          <w:sz w:val="22"/>
        </w:rPr>
        <w:t>FOR THE AVOIDANCE OF DOUBT, ARTICLES 470-3 TO 470-19 OF THE LUXEMBOURG ACT OF 10 AUGUST 1915 ON COMMERCIAL COMPANIES, AS AMENDED, DO NOT APPLY TO THE NOTES ISSUED BY THE LUXEMBOURG ISSUER.</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12.09 Waiver of Jury Trial</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EACH OF THE ISSUERS, THE GUARANTORS, THE TRUSTEE AND THE NOTES COLLATERAL AGENT HEREBY IRREVOCABLY WAIVES, TO THE FULLEST EXTENT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PERMITTED BY APPLICABLE LAW, ANY AND ALL RIGHT TO TRIAL BY JURY IN ANY LEGAL PROCEEDING ARISING OUT OF OR RELATING TO THIS INDENTURE, THE NOTES OR THE TRANSACTIONS CONTEMPLATED HEREBY.</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12.10 Force Majeure</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no event shall the Trustee or Notes Collateral Agent be responsible or liable for any failure or delay in the performance of its obligations under this Indenture or the other Notes Documents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12.11 No Adverse Interpretation of Other Agreements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This Indenture may not be used to interpret any other indenture, loan or debt agreement of the Issuers or its Restricted Subsidiaries or of any other Person. Any such indenture, loan or debt agreement may not be used to interpret this Indenture.</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12.12 Successors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All agreements of the Company and the Issuers in this Indenture and the Notes shall bind its successors. All agreements of the Trustee in this Indenture shall bind its successors. All agreements of each Guarantor in this Indenture shall bind its successors, except as otherwise provided in Section 10.05 hereof.</w:t>
      </w:r>
    </w:p>
    <w:p>
      <w:pPr>
        <w:pStyle w:val="TextBody"/>
        <w:bidi w:val="0"/>
        <w:spacing w:before="0" w:after="240"/>
        <w:jc w:val="left"/>
        <w:rPr>
          <w:rFonts w:ascii="Times New Roman;serif" w:hAnsi="Times New Roman;serif"/>
          <w:b w:val="false"/>
          <w:sz w:val="22"/>
          <w:u w:val="single"/>
        </w:rPr>
      </w:pPr>
      <w:r>
        <w:rPr>
          <w:rFonts w:ascii="Times New Roman;serif" w:hAnsi="Times New Roman;serif"/>
          <w:b w:val="false"/>
          <w:sz w:val="22"/>
          <w:u w:val="single"/>
        </w:rPr>
        <w:t>Section 12.13 Severability.</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12.14 Counterpart Originals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parties may sign any number of copies of this Indenture. Each signed copy shall be an original, but all of them together represent one and the same agreement. The exchange of copies of this Indenture and of signature pages by facsimile, PDF or other electronic transmission shall constitute effective execution and delivery of this Indenture as to the parties hereto and may be used in lieu of the original Indenture and signature pages for all purposes. Signatures of the parties hereto transmitted by facsimile or PDF shall be deemed to be their original signatures for all purposes.</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12.15 Table of Contents, Headings, Etc</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before="0" w:after="240"/>
        <w:jc w:val="left"/>
        <w:rPr>
          <w:rFonts w:ascii="Times New Roman" w:hAnsi="Times New Roman"/>
          <w:sz w:val="20"/>
        </w:rPr>
      </w:pPr>
      <w:r>
        <w:rPr>
          <w:rFonts w:ascii="Times New Roman;serif" w:hAnsi="Times New Roman;serif"/>
          <w:b w:val="false"/>
          <w:sz w:val="22"/>
          <w:u w:val="single"/>
        </w:rPr>
        <w:t>Section 12.16 U.S.A. PATRIOT Act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The parties hereto acknowledge that in accordance with Section 326 of the U.S.A. PATRIOT Act, the Trustee and Notes Collateral Agent are required to obtain, verify and record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information that identifies each person or legal entity that establishes a relationship or opens an account with the Trustee or Notes Collateral Agent. The parties to this Indenture agree that they will provide the Trustee and Notes Collateral Agent with such information as the Trustee or Notes Collateral Agent may reasonably request in order for the Trustee and Notes Collateral Agent to satisfy the requirements of the U.S.A. PATRIOT Act.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12.17 </w:t>
      </w:r>
      <w:r>
        <w:rPr>
          <w:rFonts w:ascii="Times New Roman;serif" w:hAnsi="Times New Roman;serif"/>
          <w:b w:val="false"/>
          <w:sz w:val="22"/>
          <w:u w:val="single"/>
        </w:rPr>
        <w:t>Jurisdiction</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The Issuers and each Guarantor agree that any suit, action or proceeding against the Issuers or any Guarantor brought by any Holder, the Trustee or the Notes Collateral Agent arising out of or based up-on this Indenture, the Guarantees or the Notes may be instituted in any state or Federal court in the Borough of Manhattan, New York, New York, and any appellate court from any thereof, and each of them irrevocably submits to the non-exclusive jurisdiction of such courts in any suit, action or proceeding. The Issuers and each Guarantor irrevocably waive, to the fullest extent permitted by law, any objection to any suit, action, or proceeding that may be brought in connection with this Indenture, the Guarantees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Issuers and each Guarantor agree that final judgment in any such suit, action or proceeding brought in such court shall be conclusive and binding upon the Issuers or the Guarantors, as the case may be, and may be enforced in any court to the jurisdiction of which the Issuers or the Guarantors, as the case may be, are subject by a suit upon such judgment.</w:t>
      </w:r>
      <w:r>
        <w:rPr>
          <w:rFonts w:ascii="Times New Roman" w:hAnsi="Times New Roman"/>
          <w:sz w:val="20"/>
        </w:rPr>
        <w:t xml:space="preserve"> </w:t>
      </w:r>
      <w:r>
        <w:rPr>
          <w:rFonts w:ascii="Times New Roman;serif" w:hAnsi="Times New Roman;serif"/>
          <w:b w:val="false"/>
          <w:sz w:val="22"/>
        </w:rPr>
        <w:t>The Issuers and each Guarantor hereby designate and appoint the U.S. Issuer as their authorized agent upon which process may be served in any such action or proceeding that may be instituted in any such court, and agree that service of any process, summons, notice or document by U.S. registered mail addressed to the U.S. Issuer, with written notice of said service to such Person at the address of the U.S. Issuer set forth in Section 12.02 hereof, shall be effective service of process for any such legal action or proceeding brought in any such court.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12.18 </w:t>
      </w:r>
      <w:r>
        <w:rPr>
          <w:rFonts w:ascii="Times New Roman;serif" w:hAnsi="Times New Roman;serif"/>
          <w:b w:val="false"/>
          <w:sz w:val="22"/>
          <w:u w:val="single"/>
        </w:rPr>
        <w:t>Legal Holidays</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a payment date is a Legal Holiday, payment shall be made on the next succeeding day that is not a Legal Holiday, and no interest shall accrue for the intervening period. If a Record Date is a Legal Holiday, the Record Date shall not be affected.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12.19 </w:t>
      </w:r>
      <w:r>
        <w:rPr>
          <w:rFonts w:ascii="Times New Roman;serif" w:hAnsi="Times New Roman;serif"/>
          <w:b w:val="false"/>
          <w:sz w:val="22"/>
          <w:u w:val="single"/>
        </w:rPr>
        <w:t>Currency Indemnity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Dollars are the sole currency (the “Required Currency”) of account and payment for all sums payable by the Issuers or any Guarantor under or in connection with the Notes, this Indenture and the Guarantees, including damages. Any amount with respect to the Notes, this Indenture the Guarantees or the other Notes Documents received or recovered in a currency other than the Required Currency, whether as a result of, or the enforcement of, a judgment or order of a court of any jurisdiction, in the winding-up or dissolution of the Issuers or any Guarantor or otherwise by any Holder or by the Trustee or Paying Agent or Notes Collateral Agent, in respect of any sum expressed to be due to it from the Issuers or any Guarantor will only constitute a discharge to the Issuers or any Guarantor to the extent of the Required Currency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pStyle w:val="TextBody"/>
        <w:bidi w:val="0"/>
        <w:spacing w:before="0" w:after="240"/>
        <w:jc w:val="left"/>
        <w:rPr>
          <w:rFonts w:ascii="Times New Roman" w:hAnsi="Times New Roman"/>
          <w:sz w:val="20"/>
        </w:rPr>
      </w:pPr>
      <w:r>
        <w:rPr>
          <w:rFonts w:ascii="Times New Roman;serif" w:hAnsi="Times New Roman;serif"/>
          <w:b w:val="false"/>
          <w:sz w:val="22"/>
        </w:rPr>
        <w:t>If the Required Currency amount is less than the Required Currency amount expressed to be due to the recipient or the Trustee or Paying Agent or Notes Collateral Agent under the Notes, the Issuers and each Guarantor will indemnify such recipient and/or the Trustee or Paying Agent or Notes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Collateral Agent against any loss sustained by it as a result. In any event, the Issuers and each Guarantor will indemnify the recipient against the cost of making any such purchase. For the purposes of this currency indemnity provision, it will be prima facie evidence of the matter stated therein, for the Holder of a Note or the Trustee or Paying Agent or Notes Collateral Agent to certify in a manner satisfactory to the Issuers (indicating the sources of information used) the loss it incurred in making any such purchase. These indemnities constitute a separate and independent obligation from the Issuers’ and each Guarantor’s other obligations, will give rise to a separate and independent cause of action, will apply irrespective of any waiver granted by any Holder of a Note or the Trustee or Paying Agent or Notes Collateral Agent (other than a waiver of the indemnities set out herein) and will continue in full force and effect despite any other judgment, order, claim or proof for a liquidated amount in respect of any sum due under any Note or to the Trustee or Notes Collateral Agent. For the purposes of determining the amount in a currency other than the Required Currency, such amount shall be determined using the Exchange Rate then in effect.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Section 12.20 </w:t>
      </w:r>
      <w:r>
        <w:rPr>
          <w:rFonts w:ascii="Times New Roman;serif" w:hAnsi="Times New Roman;serif"/>
          <w:b w:val="false"/>
          <w:sz w:val="22"/>
          <w:u w:val="single"/>
        </w:rPr>
        <w:t>Waiver of Immunity</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With respect to any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any court of competent jurisdiction, and with respect to any judgment, each party waives any such immunity in any court of competent jurisdiction, and will not raise or claim or cause to be pleaded any such immunity at or in respect of any such proceeding or judgment, including, without limitation, any immunity pursuant to the United States Foreign Sovereign Immunities Act of 1976, as amended.</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ARTICLE 13</w:t>
        <w:br/>
        <w:br/>
        <w:t>COLLATERAL</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13.01 Collateral Documents.</w:t>
      </w:r>
    </w:p>
    <w:p>
      <w:pPr>
        <w:pStyle w:val="TextBody"/>
        <w:bidi w:val="0"/>
        <w:spacing w:before="0" w:after="240"/>
        <w:jc w:val="left"/>
        <w:rPr>
          <w:rFonts w:ascii="Times New Roman" w:hAnsi="Times New Roman"/>
          <w:sz w:val="20"/>
        </w:rPr>
      </w:pPr>
      <w:r>
        <w:rPr>
          <w:rFonts w:ascii="Times New Roman;serif" w:hAnsi="Times New Roman;serif"/>
          <w:b w:val="false"/>
          <w:sz w:val="22"/>
        </w:rPr>
        <w:t>The due and punctual payment of the principal of, premium, if any, and interest on the Notes and Guarantees when and as the same shall be due and payable, whether on an Interest Payment Date, at maturity, by acceleration, repurchase, redemption or otherwise, and interest on the overdue principal of and interest on the Notes and Guarantees and performance of all other Obligations of the Issuers and the Guarantors to the Noteholder Secured Parties under this Indenture, the Notes, the Guarantees, the Intercreditor Agreements and the Collateral Documents, according to the terms hereunder or thereunder, shall be secured as provided in the Collateral Documents, which define the terms of the Liens that secure the Obligations, subject to the terms of the Intercreditor Agreements. The Trustee, the Issuers and the Guarantors hereby acknowledge and agree that the Notes Collateral Agent holds the Collateral in trust for the benefit of the Noteholder Secured Parties pursuant to the terms of the Collateral Documents and the Intercreditor Agreements. Each Holder, by accepting a Note, consents and agrees to the terms of the Collateral Documents (including the provisions providing for the possession, use, release and foreclosure of Collateral) and the Intercreditor Agreements as each may be in effect or may be amended from time to time in accordance with their terms and this Indenture and the Intercreditor Agreements, and authorizes and directs the Notes Collateral Agent to enter into the Collateral Documents and the Intercreditor Agreements and authorizes and directs the Trustee to enter into the Pari Passu Intercreditor Agreement and authorizes and directs each of the Notes Collateral Agent and the Trustee to perform its respective obligations and exercise its respective rights under and in accordance with the Collateral Documents and Intercreditor Agreements to which it is a party. The Issuers and the Guarantors shall deliver to the Notes Collateral Agent copies of all documents required to be filed pursuant to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Collateral Documents, and will do or cause to be done all such acts and things as required by the next sentence of this Section 13.01, to assure and confirm to the Notes Collateral Agent the first-priority security interest in the Collateral, by the Collateral Documents or any part thereof, as from time to time constituted, so as to render the same available for the security and benefit of this Indenture and of the Notes secured hereby, according to the intent and purposes herein expressed. The Issuers and the Guarantors shall, and the Company shall cause its Subsidiaries to, take any and all actions and make all filings, registrations and recordations (including the filing of UCC financing statements, continuation statements and amendments thereto) required to cause the Collateral Documents to create, perfect and maintain, as security for the Obligations of the Issuers and the Guarantors to the Noteholder Secured Parties under this Indenture, the Notes, the Guarantees, the Intercreditor Agreements and the Collateral Documents, a valid and enforceable perfected Lien and security interest in and on all of the Collateral (subject to the terms of the Intercreditor Agreements and the Collateral Documents), in favor of the Notes Collateral Agent for the benefit of the Noteholder Secured Parties subject to no Liens other than Permitted Liens. For the avoidance of doubt, the Trustee and Notes Collateral Agent shall not have a Lien on the Excluded Assets. Subject to the applicable limitations set forth in the Collateral Documents and herein, (i) if, after the Completion Date, any material assets (other than Excluded Assets), are acquired by either Issuer or are held by any Subsidiary on or after the time it becomes a Guarantor hereunder (other than assets constituting Collateral under a Collateral Document that becomes subject to the Lien created by such Collateral Document upon acquisition thereof or assets constituting Excluded Assets), the Company will notify the Notes Collateral Agent thereof, and, (ii) if the Company has granted a security interest in such asset to the Senior Credit Facilities Collateral Agent to secure the Senior Credit Facilities Obligations, the Company will cause such assets to be subjected to a Lien securing the Secured Obligations and will take and cause the Issuers to take, such actions as shall be necessary or as may be reasonably requested by the Notes Collateral Agent to grant and perfect such Liens, all at the expense of the Issuers.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13.02 Non-Impairment of Liens.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Any release of Collateral permitted by Section 13.03 will be deemed not to impair the Liens under this Indenture and the Collateral Documents in contravention thereof.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13.03 Release of Collateral.</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Subject to Section 13.03(b), the Liens securing the Notes may be released at any time or from time to time in accordance with the provisions of the Collateral Documents, the Intercreditor Agreements and this Indenture, and, notwithstanding anything to the contrary in any Notes Document, will be automatically released, and the Trustee (subject to its receipt of an Officer’s Certificate and Opinion of Counsel as provided below) shall execute documents evidencing such release, or instruct the Notes Collateral Agent to execute, as applicable, the same at the Issuers’ sole cost and expense, under one or more of the following circumstances: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in whole upon:</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payment in full of the principal of, together with accrued and unpaid interest on, the Notes and all other obligations (other than contingent indemnity obligations for which no demand has been made) under this Indenture, the Guarantees under this Indenture and the Collateral Documents that are due and payable at or prior to the time such principal, together with accrued and unpaid interest, is paid;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all then outstanding Notes being cancelled in full by the Trustee pursuant to the terms of this Indenture;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satisfaction and discharge of this Indenture as set forth under Article 11;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a Legal Defeasance or Covenant Defeasance of this Indenture as set forth under Article 8;</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in whole or in part, with the consent of Holders of the Notes in accordance with Article 9 of this Indenture;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in part, as to any asset constituting Collateral:</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(A) that is sold or otherwise disposed of by the Issuers or any Guarantor to any Person that is not the Luxembourg Issuer, the U.S. Issuer or a Guarantor in a transaction not prohibited by this Indenture at the time of such transfer or disposition, including, without limitation, as a result of a transaction of the type permitted under </w:t>
      </w:r>
      <w:r>
        <w:rPr>
          <w:rFonts w:ascii="Times New Roman;serif" w:hAnsi="Times New Roman;serif"/>
          <w:b w:val="false"/>
          <w:sz w:val="22"/>
          <w:u w:val="single"/>
        </w:rPr>
        <w:t>Section 4.10</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(B) that is owned or at any time acquired by a Guarantor that has been released from its Guarantee, concurrently with the release of such Guarantee, in accordance with </w:t>
      </w:r>
      <w:r>
        <w:rPr>
          <w:rFonts w:ascii="Times New Roman;serif" w:hAnsi="Times New Roman;serif"/>
          <w:b w:val="false"/>
          <w:sz w:val="22"/>
          <w:u w:val="single"/>
        </w:rPr>
        <w:t>Section 10.06</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in the case of Collateral comprised of property leased to the Issuers or a Guarantor, upon termination or expiration of such lease;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in the case of Collateral that is Capital Stock, upon the dissolution or liquidation of the issuer of that Capital Stock that is not prohibited by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 that becomes an “Excluded Asset” or that becomes subject to certain Permitted Liens;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that is otherwise released in accordance with the applicable provisions of the Collateral Documents and the Intercreditor Agreements, but subject to any restrictions thereon set forth in this Indenture or the Intercreditor Agreements;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With respect to any release of Collateral, upon receipt of an Officer’s Certificate and an Opinion of Counsel each stating that all conditions precedent under this Indenture and the Collateral Documents and the Intercreditor Agreements, as applicable, to such release have been met and that it is proper for the Trustee or Notes Collateral Agent to execute and deliver the documents requested by the Issuers in connection with such release, and any instruments of termination, satisfaction, discharge or release prepared by the Issuers, the Trustee shall, or shall cause the Notes Collateral Agent to, execute, deliver or acknowledge (at the Issuers’ expense) such instruments or releases to evidence the release and discharge of any Collateral permitted to be released pursuant to this Indenture or the Collateral Documents or the Intercreditor Agreements. Neither the Trustee nor the Notes Collateral Agent shall be liable for any such release undertaken in reliance upon any such Officer’s Certificate or Opinion of Counsel, and notwithstanding any term hereof or in any Collateral Document or in the Intercreditor Agreements to the contrary, the Trustee and the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13.04 Suits to Protect the Collateral.</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the provisions of the Collateral Documents, the Pari Passu Intercreditor Agreement and the Second Lien Intercreditor Agreement, if applicable, the Trustee, without the consent of the Holders, on behalf of the Holders, may or may direct the Notes Collateral Agent to take all actions it determines in order 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enforce any of the terms of the Collateral Documents;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collect and receive any and all amounts payable in respect of the Obligations hereunder.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the provisions of the Collateral Documents, the Pari Passu Intercreditor Agreement and the Second Lien Intercreditor Agreement, if applicable, the Trustee and the Notes Collateral Agent shall have power to institute and to maintain such suits and proceedings as the Trustee may determine to prevent any impairment of the Collateral by any acts which may be unlawful or in violation of any of the Collateral Documents or this Indenture, and such suits and proceedings as the Trustee and/or the Notes Collateral Agent may determine to preserve or protect its interests and the interests of the Holders in the Collateral. Nothing in this Section 13.04 shall be considered to impose any such duty or obligation to act on the part of the Trustee or the Notes Collateral Agent.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13.05 Authorization of Receipt of Funds by the Trustee Under the Collateral Documents.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the provisions of the Pari Passu Intercreditor Agreement and the Second Lien Intercreditor Agreement, if applicable, the Trustee is authorized to receive any funds for the benefit of the Holders distributed under the Collateral Documents, and to make further distributions of such funds to the Holders according to the provisions of this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13.06 Purchaser Protected.</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In no event shall any purchaser in good faith of any property purported to be released hereunder be bound to ascertain the authority of the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w:t>
      </w:r>
      <w:r>
        <w:rPr>
          <w:rFonts w:ascii="Times New Roman;serif" w:hAnsi="Times New Roman;serif"/>
          <w:b w:val="false"/>
          <w:sz w:val="22"/>
          <w:u w:val="single"/>
        </w:rPr>
        <w:t>Article 13</w:t>
      </w:r>
      <w:r>
        <w:rPr>
          <w:rFonts w:ascii="Times New Roman" w:hAnsi="Times New Roman"/>
          <w:sz w:val="20"/>
        </w:rPr>
        <w:t xml:space="preserve"> </w:t>
      </w:r>
      <w:r>
        <w:rPr>
          <w:rFonts w:ascii="Times New Roman;serif" w:hAnsi="Times New Roman;serif"/>
          <w:b w:val="false"/>
          <w:sz w:val="22"/>
        </w:rPr>
        <w:t>to be sold be under any obligation to ascertain or inquire into the authority of the Issuers or the applicable Guarantor to make any such sale or other transfer.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13.07 Powers Exercisable by Receiver or Trustee.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case the Collateral shall be in the possession of a receiver or trustee, lawfully appointed, the powers conferred in this Article 13 upon the Issuers or a Guarantor with respect to the release, sale or other disposition of such property may be exercised by such receiver or trustee, and an instrument signed by such receiver or trustee shall be deemed the equivalent of any similar instrument of the Issuers or a Guarantor or of any Officer or Officers thereof required by the provisions of this Article 13; and if the Trustee shall be in the possession of the Collateral under any provision of this Indenture, then such powers may be exercised by the Trustee.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13.08 Release Upon Termination of the Issuers’ Obligations.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 the event that the Issuers deliver to the Trustee an Officer’s Certificate certifying that (i) payment in full of the principal of, premium, if any, together with accrued and unpaid interest on, the Notes and all other Obligations under this Indenture, the Notes, the Guarantees and the Collateral Documents that are due and payable at or prior to the time such principal, together with accrued and unpaid interest, are paid or (ii) the Issuers shall have exercised their Legal Defeasance option or their Covenant Defeasance option, in each case in compliance with the provisions of Article 8, and an Opinion of Counsel stating that all conditions precedent to the execution and delivery of such notice by the Trustee have been satisfied, the Trustee shall deliver to the Issuers and the Notes Collateral Agent a notice stating that the Trustee, on behalf of the Holders, disclaims and gives up any and all rights it has in or to the Collateral (other than with respect to funds held by the Trustee pursuant to Article 8), and any rights it has under the Collateral Documents, and upon receipt by the Notes Collateral Agent of such notice, the Notes Collateral Agent shall be deemed not to hold a Lien in the Collateral on behalf of the Trustee and shall do or cause to be done all acts reasonably requested by the Issuers to release and discharge such Lien as soon as is reasonably practicable.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13.09 Notes Collateral Agent.</w:t>
      </w:r>
    </w:p>
    <w:p>
      <w:pPr>
        <w:pStyle w:val="TextBody"/>
        <w:bidi w:val="0"/>
        <w:spacing w:before="0" w:after="240"/>
        <w:jc w:val="left"/>
        <w:rPr>
          <w:rFonts w:ascii="Times New Roman" w:hAnsi="Times New Roman"/>
          <w:sz w:val="20"/>
        </w:rPr>
      </w:pPr>
      <w:r>
        <w:rPr>
          <w:rFonts w:ascii="Times New Roman;serif" w:hAnsi="Times New Roman;serif"/>
          <w:b w:val="false"/>
          <w:sz w:val="22"/>
        </w:rPr>
        <w:t>(a) By their acceptance of the Notes, the Holders hereby designate and appoint Wilmington Trust, National Association to serve as Notes Collateral Agent and as their agent under this Indenture, the Collateral Documents, the Pari Passu Intercreditor Agreement and the Second Lien Intercreditor Agreement, if applicable, and each of the Holders by acceptance of the Notes and the Trustee hereby irrevocably authorizes the Notes Collateral Agent to take such action on their behalf under the provisions of this Indenture, the Collateral Documents, the Pari Passu Intercreditor Agreement and the Second Lien Intercreditor Agreement, if applicable, and to exercise such powers and perform such duties as are expressly delegated to the Notes Collateral Agent by the terms of this Indenture, the Collateral Documents, the Pari Passu Intercreditor Agreement and the Second Lien Intercreditor Agreement, if applicable, and consents and agrees to the terms of the Pari Passu Intercreditor Agreement, the Second Lien Intercreditor Agreement, if applicable, and each Collateral Document, as the same may be in effect or may be amended, restated, supplemented or otherwise modified from time to time in accordance with their respective terms. Wilmington Trust, National Association hereby agrees to serve as Notes Collateral Agent under the Collateral Documents, the Pari Passu Intercreditor Agreement and the Second Lien Intercreditor Agreement, if applicable, and acknowledges that the Notes Collateral Agent agrees to act as such on the express conditions contained in this Section 13.09. The provisions of this Section 13.09 are solely for the benefit of the Notes Collateral Agent and none of the Trustee, any of the Holders nor any of the Grantors shall have any rights as a third party beneficiary of any of the provisions contained herein other than as expressly provided in Section 13.04. Each Holder agrees that any action taken by the Notes Collateral Agent in accordance with the provision of this Indenture, the Pari Passu Intercreditor Agreement, the Second Lien Intercreditor Agreement, if applicable, and the Collateral Documents, and the exercise by the Notes Collateral Agent of any rights or remedies set forth herein and therein shall be authorized and binding upon all Holders. Notwithstanding any provision to the contrary contained elsewhere in this Indenture, the Collateral Documents, the Pari Passu Intercreditor Agreement and the Second Lien Intercreditor Agreement, if applicable, the duties of the Notes Collateral Agent shall be ministerial and administrative in nature, and the Notes Collateral Agent shall not have any duties or responsibilities, except those expressly set forth herein and in the other Notes Documents to which the Notes Collateral Agent is a party, nor shall the Notes Collateral Agent have or be deemed to have any trust or other fiduciary relationship with the Trustee, any Holder, any Grantor or any other Person, and no implied covenants, functions, responsibilities, duties, obligations or liabilities shall be read into this Indenture, the Collateral Documents, the Pari Passu Intercreditor Agreement or the Second Lien Intercreditor Agreement, if applicable or otherwise exist against the Notes Collateral Agent. Without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before="0" w:after="240"/>
        <w:jc w:val="left"/>
        <w:rPr>
          <w:rFonts w:ascii="Times New Roman" w:hAnsi="Times New Roman"/>
          <w:sz w:val="20"/>
        </w:rPr>
      </w:pPr>
      <w:r>
        <w:rPr>
          <w:rFonts w:ascii="Times New Roman;serif" w:hAnsi="Times New Roman;serif"/>
          <w:b w:val="false"/>
          <w:sz w:val="22"/>
        </w:rPr>
        <w:t>(b) The Notes Collateral Agent may perform any of its duties under this Indenture, the Collateral Documents, the Pari Passu Intercreditor Agreement or the Second Lien Intercreditor Agreement, if applicable by or through receivers, agents, employees, attorneys-in-fact or through its officers, directors, Affiliates, employees, agents, advisors, and attorneys in fact (collectively, “</w:t>
      </w:r>
      <w:r>
        <w:rPr>
          <w:rFonts w:ascii="Times New Roman;serif" w:hAnsi="Times New Roman;serif"/>
          <w:b w:val="false"/>
          <w:sz w:val="22"/>
          <w:u w:val="single"/>
        </w:rPr>
        <w:t>Related Persons</w:t>
      </w:r>
      <w:r>
        <w:rPr>
          <w:rFonts w:ascii="Times New Roman" w:hAnsi="Times New Roman"/>
          <w:sz w:val="20"/>
        </w:rPr>
        <w:t>”</w:t>
      </w:r>
      <w:r>
        <w:rPr>
          <w:rFonts w:ascii="Times New Roman;serif" w:hAnsi="Times New Roman;serif"/>
          <w:b w:val="false"/>
          <w:sz w:val="22"/>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attorney-in-fact or Related Person that it selects as long as such selection was made in good faith.</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None of the Notes Collateral Agent or any of its Related Persons shall (i) be liable for any action taken or omitted to be taken by any of them under or in connection with this Indenture or the transactions contemplated hereby (except to the extent that the foregoing are found by a final, non-appealable judgment of a court of competent jurisdiction to have resulted from its own gross negligence or willful misconduct) or under or in connection with any Collateral Document, the Pari Passu Intercreditor Agreement or the Second Lien Intercreditor Agreement, if applicable or the transactions contemplated thereby (except to the extent that the foregoing are found by a final, non-appealable judgment of a court of competent jurisdiction to have resulted from its own gross negligence or willful misconduct), or (ii) be responsible in any manner to any of the Trustee or any Holder for any recital, statement, representation, warranty, covenant or agreement made by the Company, the Issuers or any Grantor or Affiliate of any Grantor, or any Officer or Related Persons thereof, contained in this Indenture, or any other Notes Documents, or in any certificate, report, statement or other document referred to or provided for in, or received by the Notes Collateral Agent under or in connection with, this Indenture, the Collateral Documents, the Pari Passu Intercreditor Agreement or the Second Lien Intercreditor Agreement, if applicable, or the validity, effectiveness, genuineness, enforceability or sufficiency of this Indenture, the Collateral Documents, the Pari Passu Intercreditor Agreement or the Second Lien Intercreditor Agreement, if applicable, or for any failure of any Grantor or any other party to this Indenture, the Collateral Documents, the Pari Passu Intercreditor Agreement or the Second Lien Intercreditor Agreement, if applicable to perform its obligations hereunder or thereunder. None of the Notes Collateral Agent or any of its respective Related Persons shall be under any obligation to the Trustee or any Holder to monitor, ascertain or inquire as to the observance or performance of any of the agreements contained in, or conditions of, this Indenture, the Collateral Documents, the Pari Passu Intercreditor Agreement or the Second Lien Intercreditor Agreement, if applicable or to inspect the properties, books, or records of any Grantor or any Grantor’s Affiliates.</w:t>
      </w:r>
    </w:p>
    <w:p>
      <w:pPr>
        <w:pStyle w:val="TextBody"/>
        <w:bidi w:val="0"/>
        <w:spacing w:before="0" w:after="240"/>
        <w:jc w:val="left"/>
        <w:rPr>
          <w:rFonts w:ascii="Times New Roman" w:hAnsi="Times New Roman"/>
          <w:sz w:val="20"/>
        </w:rPr>
      </w:pPr>
      <w:r>
        <w:rPr>
          <w:rFonts w:ascii="Times New Roman;serif" w:hAnsi="Times New Roman;serif"/>
          <w:b w:val="false"/>
          <w:sz w:val="22"/>
        </w:rPr>
        <w:t>(d) 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Indenture, the Collateral Documents, the Pari Passu Intercreditor Agreement or the Second Lien Intercreditor Agreement, if applicable unless it shall first receive such advice or concurrence of the Trustee or the Holders of a majority in aggregate principal amount of the Notes as it determines, or if there are any Other Pari Passu Lien Obligations then outstanding, the “Applicable Authorized Representative” under the Pari Passu Intercreditor Agreement (if other than the Notes Collateral Agent) and, if it so requests, it shall first be indemnified to its satisfaction by the Holders (or holders of Other Pari Passu Lien Obligations (if applicable)) against any and all liability and expense which may be incurred by it by reason of taking or continuing to take any such action. The Notes Collateral Agent shall in all cases be fully protected in acting, or in refraining from acting, under this Indenture, the Collateral Documents, the Pari Passu Intercreditor Agreement or the Second Lien Intercreditor Agreement, if applicable in accordance with a written request, direction, instruction or consent of the Trustee or the Holders of a majority in aggregate principal amount of the then outstanding Notes, or if there are any Other Pari Passu Lien Obligations then outstanding, the Applicable Authorized Representative (if other than the Notes Collateral Agent) and such request and any action taken or failure to act pursuant thereto shall be binding upon all of the Holders and holders of Other Pari Passu Lien Obligations (if applicable).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(e) The Notes Collateral Agent shall not be deemed to have knowledge or notice of the occurrence of any Default or Event of Default, unless a Responsible Officer of the Notes Collateral Agent shall have received written notice from the Trustee or the Issuers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Times New Roman;serif" w:hAnsi="Times New Roman;serif"/>
          <w:b w:val="false"/>
          <w:sz w:val="22"/>
          <w:u w:val="single"/>
        </w:rPr>
        <w:t>Article</w:t>
      </w:r>
      <w:r>
        <w:rPr>
          <w:rFonts w:ascii="Times New Roman" w:hAnsi="Times New Roman"/>
          <w:sz w:val="20"/>
        </w:rPr>
        <w:t xml:space="preserve"> </w:t>
      </w:r>
      <w:r>
        <w:rPr>
          <w:rFonts w:ascii="Times New Roman;serif" w:hAnsi="Times New Roman;serif"/>
          <w:b w:val="false"/>
          <w:sz w:val="22"/>
          <w:u w:val="single"/>
        </w:rPr>
        <w:t>6</w:t>
      </w:r>
      <w:r>
        <w:rPr>
          <w:rFonts w:ascii="Times New Roman" w:hAnsi="Times New Roman"/>
          <w:sz w:val="20"/>
        </w:rPr>
        <w:t xml:space="preserve"> </w:t>
      </w:r>
      <w:r>
        <w:rPr>
          <w:rFonts w:ascii="Times New Roman;serif" w:hAnsi="Times New Roman;serif"/>
          <w:b w:val="false"/>
          <w:sz w:val="22"/>
        </w:rPr>
        <w:t>or the Holders of a majority in aggregate principal amount of the Notes (subject to this Section 13.09 and the terms of the Intercreditor Agreements).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(f) The Notes Collateral Agent may resign at any time by notice to the Trustee and the Issuer, such resignation to be effective upon the acceptance of a successor agent to its appointment as Notes Collateral Agent. If the Notes Collateral Agent resigns under this Indenture or the Pari Passu Intercreditor Agreement, the Issuers shall appoint a successor notes collateral agent. If no successor notes collateral agent is appointed prior to the intended effective date of the resignation of the Notes Collateral Agent (as stated in the notice of resignation), the Notes Collateral Agent may appoint, after consulting with the Trustee, subject to the consent of the Issuers (which shall not be unreasonably withheld and which shall not be required during a continuing Event of Default), a successor notes collateral agent. If no successor notes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notes collateral agent hereunder, such successor notes collateral agent shall succeed to all the rights, powers and duties of the retiring Notes Collateral Agent, and the term “Notes Collateral Agent” or “Collateral Agent” (as applicable) in the Notes Documents shall mean such successor notes collateral agent, and the retiring Notes Collateral Agent’s appointment, powers and duties as the Notes Collateral Agent shall be terminated. After the retiring Notes Collateral Agent’s resignation hereunder, the provisions of this Section 13.09 (and Section 7.07) shall continue to inure to its benefit and the retiring Notes Collateral Agent shall not by reason of such resignation be deemed to be released from liability as to any actions taken or omitted to be taken by it while it was the Notes Collateral Agent under this Indenture or the Intercreditor Agreements.</w:t>
      </w:r>
    </w:p>
    <w:p>
      <w:pPr>
        <w:pStyle w:val="TextBody"/>
        <w:bidi w:val="0"/>
        <w:spacing w:before="0" w:after="240"/>
        <w:jc w:val="left"/>
        <w:rPr>
          <w:rFonts w:ascii="Times New Roman" w:hAnsi="Times New Roman"/>
          <w:sz w:val="20"/>
        </w:rPr>
      </w:pPr>
      <w:r>
        <w:rPr>
          <w:rFonts w:ascii="Times New Roman;serif" w:hAnsi="Times New Roman;serif"/>
          <w:b w:val="false"/>
          <w:sz w:val="22"/>
        </w:rPr>
        <w:t>(g) Wilmington Trust, National Association shall initially act as Notes Collateral Agent and shall be authorized to appoint co-Notes Collateral Agents as necessary in its sole discretion. Neither the Notes Collateral Agent nor any of its respective officers, directors, employees or agents or other Related Persons shall be liable to any Grantor or any Noteholder Secured Party for failure to demand, collect or realize upon any of the Collateral or for any delay in doing so or shall be under any obligation to sell or otherwise dispose of any Collateral upon the request of any other Person or to take any other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attorneys, representatives or agents shall be responsible for any act or failure to act hereunder, except to the extent such act is found by a final, non-appealable judgment of a court of competent jurisdiction to have resulted from its own gross negligence or willful misconduct.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(h) By their acceptance of the Notes hereunder, the Notes Collateral Agent is authorized and directed by the Holders to (i) enter into the Collateral Documents to which it is party, whether executed on or after the Issue Date, (ii) enter into the Intercreditor Agreements, (iii) bind the Holders on the terms as set forth in the Collateral Documents and the Intercreditor Agreements, (iv) make the representations of the Holders set forth in the Collateral Documents and the Intercreditor Agreements, (v) perform and observe its obligations under the Collateral Documents, the Intercreditor Agreements and (vi) release any Collateral in accordance with the terms hereof.</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Article 7,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the Collateral Documents, the Pari Passu Intercreditor Agreement and the Second Lien Intercreditor Agreement, if applicable.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(j) 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(k) The Notes Collateral Agent (and the Trustee) shall have no obligation whatsoever to the Trustee, any of the Holders, or any of the Noteholder Secured Parties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Collateral Document, the Pari Passu Intercreditor Agreement or the Second Lien Intercreditor Agreement, if applicable other than pursuant to the instructions of the Trustee or the Holders of a majority in aggregate principal amount of the Notes or if there are Other Pari Passu Lien Obligations then outstanding, the Applicable Authorized Representative (if other than the Notes Collateral Agent), or as otherwise provided in the Collateral Documents, the Pari Passu Intercreditor Agreement or the Second Lien Intercreditor Agreement, if applicable, it being understood and agreed that in respect of the Collateral, or any act, omission, or event related thereto, the Notes Collateral Agent shall have no other duty or liability whatsoever to the Trustee, any Holder, or any Noteholder Secured Party as to any of the foregoing.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(l) If the Issuers or any Guarantor (i) incurs any obligations in respect of Other Pari Passu Lien Obligations at any time when no Pari Passu Intercreditor Agreement is in effect or at any time when Indebtedness constituting Pari Passu Indebtedness entitled to the benefit of an existing Pari Passu Intercreditor Agreement is concurrently retired, and (ii) delivers to the Notes Collateral Agent an Officer’s Certificate so stating and requesting the Notes Collateral Agent to enter into an intercreditor agreement (on substantially the same terms as the Pari Passu Intercreditor Agreement) in favor of a designated agent or representative for the holders of the Other Pari Passu Lien Obligations so incurred, the Notes Collateral Agent shall (and is hereby authorized and directed to) enter into such Pari Passu Intercreditor Agreement (at the sole expense and cost of the Issuers, including reasonable legal fees and expenses of the Notes Collateral Agent), bind the Holders on the terms set forth therein and perform and observe its obligations thereunder. To the extent a Pari Passu Intercreditor Agreement is already then in existence, if the Issuers or any Guarantor (i) incurs any additional Other Pari Passu Lien Obligations and (ii) delivers to the Notes Collateral Agent an Officer’s Certificate so stating and requesting the Notes Collateral Agent to enter into a joinder to the Pari Passu Intercreditor Agreement in favor of a designated agent or representative for the holders of such Other Pari Passu Lien Obligations, the Notes Collateral Agent shall (and is hereby authorized and directed to) enter into such joinder (at the sole expense and cost of the Issuers, including reasonable legal fees and expenses of the Notes Collateral Agent). If the Issuers or any Guarantor (i) incurs any Obligations in respect of Indebtedness secured by the Collateral with Junior Lien Priority relative to the Notes and the Guarantees at any time when no Second Lien Intercreditor Agreement is in effect or at any time when Indebtedness constituting Indebtedness secured by the Collateral with Junior Lien Priority relative to the Notes and the Guarantees entitled to the benefit of an existing Second Lien Intercreditor Agreement is concurrently retired, and (ii) delivers to the Notes Collateral Agent an Officer’s Certificate so stating and requesting the Notes Collateral Agent to enter into an intercreditor agreement (substantially in form of the Second Lien Intercreditor Agreement attached hereto as Exhibit F) in favor of a designated agent or representative for the holders of the Obligations in respect of Indebtedness secured by the Collateral with Junior Lien Priority relative to the Notes and the Guarantees so incurred, the Notes Collateral Agent shall (and is hereby authorized and directed to) enter into such Second Lien Intercreditor Agreement (at the sole expense and cost of the Issuers, including reasonable legal fees and expenses of the Notes Collateral Agent), bind the Holders on the terms set forth therein and perform and observe its obligations thereunder. To the extent a Second Lien Intercreditor Agreement is already then in existence, if the Issuers or any Guarantor (i) incurs any additional Obligations in respect of Indebtedness secured by the Collateral with Junior Lien Priority relative to the Notes and the Guarantees and (ii) delivers to the Notes Collateral Agent an Officer’s Certificate so stating and requesting the Notes Collateral Agent to enter into a joinder to the Second Lien Intercreditor Agreement in favor of a designated agent or representative for the holders of such Obligations in respect of Indebtedness secured by the Collateral with Junior Lien Priority relative to the Notes and the Guarantees, the Notes Collateral Agent shall (and is hereby authorized and directed to) enter into such joinder (at the sole expense and cost of the Issuers, including reasonable legal fees and expenses of the Notes Collateral Agent). By its acceptance of the Notes, each Holder shall be deemed to have authorized and directed the Notes Collateral Agent to enter into and perform its obligations under the Second Lien Intercreditor Agreement.</w:t>
      </w:r>
    </w:p>
    <w:p>
      <w:pPr>
        <w:pStyle w:val="TextBody"/>
        <w:bidi w:val="0"/>
        <w:spacing w:before="0" w:after="240"/>
        <w:jc w:val="left"/>
        <w:rPr>
          <w:rFonts w:ascii="Times New Roman" w:hAnsi="Times New Roman"/>
          <w:sz w:val="20"/>
        </w:rPr>
      </w:pPr>
      <w:r>
        <w:rPr>
          <w:rFonts w:ascii="Times New Roman;serif" w:hAnsi="Times New Roman;serif"/>
          <w:b w:val="false"/>
          <w:sz w:val="22"/>
        </w:rPr>
        <w:t>(m) No provision of this Indenture, the Pari Passu Intercreditor Agreement, the Second Lien Intercreditor Agreement, if applicable or any Collateral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or, if there are Other Pari Passu Lien Obligations then outstanding, the Applicable Authorized Representative (if other than the Notes Collateral Agent) unless the Notes Collateral Agent shall have received indemnity satisfactory to the Notes Collateral Agent against potential costs and liabilities incurred by the Notes Collateral Agent relating thereto. Notwithstanding anything to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contrary contained in this Indenture, the Pari Passu Intercreditor Agreement, the Second Lien Intercreditor Agreement, if applicable or the Collateral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any mortgages or take any such other action if the Notes Collateral Agent has determined that the Notes Collateral Agent may incur personal liability as a result of the presence at, or release on or from, the Collateral or such property, of any hazardous substances unless the Notes Collateral Agent has received security or indemnity from the Holders (and the holders of Other Pari Passu Lien Obligations (if applicable)) in an amount and in a form all satisfactory to the Notes Collateral Agent in its sole discretion, protecting the Notes Collateral Agent from all such liability. The Notes Collateral Agent shall at any time be entitled to cease taking any action described above if it no longer reasonably deems any indemnity, security or undertaking from the Issuers or the Holders (or holders of Other Pari Passu Lien Obligations (if applicable)) to be sufficient.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 The Notes Collateral Agent (i) shall not be liable for any action taken or omitted to be taken by it in connection with this Indenture, the Pari Passu Intercreditor Agreement, the Second Lien Intercreditor Agreement, if applicable, and the Collateral Documents or any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Issuers (and money held in trust by the Notes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(o) In no event shall the Notes Collateral Agent be responsible or liable for any special, indirect, punitive, incidental or consequential loss or damage or any kind whatsoever (including, but not limited to, lost profits) irrespective of whether the Notes Collateral Agent has been advised of the likelihood of such loss or damage and regardless of the form of action.</w:t>
      </w:r>
    </w:p>
    <w:p>
      <w:pPr>
        <w:pStyle w:val="TextBody"/>
        <w:bidi w:val="0"/>
        <w:spacing w:before="0" w:after="240"/>
        <w:jc w:val="left"/>
        <w:rPr>
          <w:rFonts w:ascii="Times New Roman" w:hAnsi="Times New Roman"/>
          <w:sz w:val="20"/>
        </w:rPr>
      </w:pPr>
      <w:r>
        <w:rPr>
          <w:rFonts w:ascii="Times New Roman;serif" w:hAnsi="Times New Roman;serif"/>
          <w:b w:val="false"/>
          <w:sz w:val="22"/>
        </w:rPr>
        <w:t>(p) The Notes Collateral Agent does not assume any responsibility for any failure or delay in performance or any breach by the Issuers or any other Grantor under this Indenture, the Pari Passu Intercreditor Agreement, the Second Lien Intercreditor Agreement, if applicable, and the Collateral Documents. The Notes Collateral Agent shall not be responsible to the Holders or any other Person for any recitals, statements, information, representations or warranties contained in any Notes Documents or in any certificate, report, statement, or other document referred to or provided for in, or received by the Notes Collateral Agent under or in connection with, this Indenture, the Pari Passu Intercreditor Agreement, the Second Lien Intercreditor Agreement, if applicable or any Collateral Document; the execution, validity, genuineness, effectiveness or enforceability of the Pari Passu Intercreditor Agreement, the Second Lien Intercreditor Agreement, if applicable, and any Collateral Documents as to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Pari Passu Intercreditor Agreement, the Second Lien Intercreditor Agreement, if applicable, and the Collateral Documents. The Notes Collateral Agent shall have no obligation to any Holder or any other Person to ascertain or inquire into the existence of any Default or Event of Default, the observance or performance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by any obligor of any terms of this Indenture, the Pari Passu Intercreditor Agreement, the Second Lien Intercreditor Agreement, if applicable, and the Collateral Documents, or the satisfaction of any conditions precedent contained in this Indenture, the Pari Passu Intercreditor Agreement, the Second Lien Intercreditor Agreement, if applicable, and any Collateral Document. The Notes Collateral Agent shall not be required to initiate or conduct any litigation or collection or other proceeding under this Indenture, the Pari Passu Intercreditor Agreement, the Second Lien Intercreditor Agreement, if applicable, and the Collateral Documents unless expressly set forth hereunder or thereunder or as directed by Holders of a majority in aggregate principal amount of the Notes or, if Other Pari Passu Lien Obligations are then outstanding, the Applicable Authorized Representative (if other than the Notes Collateral Agent). The Notes Collateral Agent shall have the right at any time to seek instructions from the Holders with respect to the administration of the Notes Documents.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(q) The parties hereto and the Holders hereby agree and acknowledge that the Notes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Pari Passu Intercreditor Agreement, the Second Lien Intercreditor Agreement, if applicable, and the Collateral Documents or any actions taken pursuant hereto or thereto. Further, the parties hereto and the Holders hereby agree and acknowledge that in the exercise of its rights under this Indenture, the Pari Passu Intercreditor Agreement, the Second Lien Intercreditor Agreement, if applicable, and the Collateral Documents, the Notes Collateral Agent may hold or obtain indicia of ownership primarily to protect the security interest of the Notes Collateral Agent in the Collateral, including without limitation the properties constituting real property that constitute Collateral, and that any such actions taken by the Notes Collateral Agent shall not be construed as or otherwise constitute any participation in the management of such Collateral, including without limitation the real properties that constitute Collateral, as those terms are defined in Section 101(20)(E) of the Comprehensive Environmental Response, Compensation, and Liability Act, 42 U.S.C. §§ 9601 et seq., as amended.</w:t>
      </w:r>
    </w:p>
    <w:p>
      <w:pPr>
        <w:pStyle w:val="TextBody"/>
        <w:bidi w:val="0"/>
        <w:spacing w:before="0" w:after="240"/>
        <w:jc w:val="left"/>
        <w:rPr>
          <w:rFonts w:ascii="Times New Roman" w:hAnsi="Times New Roman"/>
          <w:sz w:val="20"/>
        </w:rPr>
      </w:pPr>
      <w:r>
        <w:rPr>
          <w:rFonts w:ascii="Times New Roman;serif" w:hAnsi="Times New Roman;serif"/>
          <w:b w:val="false"/>
          <w:sz w:val="22"/>
        </w:rPr>
        <w:t>(r) Upon the receipt by the Notes Collateral Agent of a written request of the Issuers signed by one Officer of each Issuer (a “</w:t>
      </w:r>
      <w:r>
        <w:rPr>
          <w:rFonts w:ascii="Times New Roman;serif" w:hAnsi="Times New Roman;serif"/>
          <w:b w:val="false"/>
          <w:sz w:val="22"/>
          <w:u w:val="single"/>
        </w:rPr>
        <w:t>Security Document Order</w:t>
      </w:r>
      <w:r>
        <w:rPr>
          <w:rFonts w:ascii="Times New Roman" w:hAnsi="Times New Roman"/>
          <w:sz w:val="20"/>
        </w:rPr>
        <w:t>”</w:t>
      </w:r>
      <w:r>
        <w:rPr>
          <w:rFonts w:ascii="Times New Roman;serif" w:hAnsi="Times New Roman;serif"/>
          <w:b w:val="false"/>
          <w:sz w:val="22"/>
        </w:rPr>
        <w:t>), the Notes Collateral Agent is hereby authorized to execute and enter into, and if satisfactory in form and substance to the Notes Collateral Agent, execute and enter into, without the further consent of any Holder or the Trustee, any Collateral Document to be executed after the Issue Date. Such Security Document Order shall (i) state that it is being delivered to the Notes Collateral Agent pursuant to, and is a Security Document Order referred to in, this Section 13.09(r), and (ii) instruct the Notes Collateral Agent to execute and enter into such Collateral Document. Any such execution of a Collateral Document shall be at the direction and expense of the Issuer, upon delivery to the Notes Collateral Agent of an Officer’s Certificate and Opinion of Counsel stating that all conditions precedent to the execution and delivery of the Collateral Document have been satisfied. The Holders, by their acceptance of the Notes, hereby authorize and direct the Notes Collateral Agent to execute such Collateral Documents.</w:t>
      </w:r>
    </w:p>
    <w:p>
      <w:pPr>
        <w:pStyle w:val="TextBody"/>
        <w:bidi w:val="0"/>
        <w:spacing w:before="0" w:after="240"/>
        <w:jc w:val="left"/>
        <w:rPr>
          <w:rFonts w:ascii="Times New Roman" w:hAnsi="Times New Roman"/>
          <w:sz w:val="20"/>
        </w:rPr>
      </w:pPr>
      <w:r>
        <w:rPr>
          <w:rFonts w:ascii="Times New Roman;serif" w:hAnsi="Times New Roman;serif"/>
          <w:b w:val="false"/>
          <w:sz w:val="22"/>
        </w:rPr>
        <w:t>(s) Subject to the provisions of the applicable Collateral Documents, each Holder, by acceptance of the Notes, agrees that the Notes Collateral Agent shall execute and deliver the Collateral Documents to which it is a party and all agreements, documents and instruments incidental thereto, and act in accordance with the terms thereof. For the avoidance of doubt, except as expressly set forth herein, in the Collateral Documents, the Notes Collateral Agent shall have no discretion under this Indenture, the Pari Passu Intercreditor Agreement (if applicable), the Second Lien Intercreditor Agreement, if applicable or the Collateral Documents and shall not be required to make or give any determination, consent,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approval, request or direction without the written direction of the Holders of a majority in aggregate principal amount of the then outstanding Notes or the Trustee or, if Other Pari Passu Lien Obligations are then outstanding, the Applicable Authorized Representative (if other than the Notes Collateral Agent), as applicable.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 After the occurrence and during the continuance of an Event of Default and subject to the terms of the Pari Passu Intercreditor Agreement, the Trustee may direct the Notes Collateral Agent in connection with any action required or permitted by this Indenture, the Collateral Documents, the Pari Passu Intercreditor Agreement and the Second Lien Intercreditor Agreement, if applicable.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 The Notes Collateral Agent is authorized to receive any funds for the benefit of itself, the Trustee and the Holders distributed under the Collateral Documents, for turnover to the Trustee to make further distributions of such funds to itself, the Trustee and the Holders in accordance with the provisions of Section 6.13 and the other provisions of this Indenture and the Pari Passu Intercreditor Agreement.</w:t>
      </w:r>
    </w:p>
    <w:p>
      <w:pPr>
        <w:pStyle w:val="TextBody"/>
        <w:bidi w:val="0"/>
        <w:spacing w:before="0" w:after="240"/>
        <w:jc w:val="left"/>
        <w:rPr>
          <w:rFonts w:ascii="Times New Roman" w:hAnsi="Times New Roman"/>
          <w:sz w:val="20"/>
        </w:rPr>
      </w:pPr>
      <w:r>
        <w:rPr>
          <w:rFonts w:ascii="Times New Roman;serif" w:hAnsi="Times New Roman;serif"/>
          <w:b w:val="false"/>
          <w:sz w:val="22"/>
        </w:rPr>
        <w:t>(v) In each case that Notes Collateral Agent may or is required hereunder or under any other Notes Document to take any action (an “</w:t>
      </w:r>
      <w:r>
        <w:rPr>
          <w:rFonts w:ascii="Times New Roman;serif" w:hAnsi="Times New Roman;serif"/>
          <w:b w:val="false"/>
          <w:sz w:val="22"/>
          <w:u w:val="single"/>
        </w:rPr>
        <w:t>Action</w:t>
      </w:r>
      <w:r>
        <w:rPr>
          <w:rFonts w:ascii="Times New Roman" w:hAnsi="Times New Roman"/>
          <w:sz w:val="20"/>
        </w:rPr>
        <w:t>”</w:t>
      </w:r>
      <w:r>
        <w:rPr>
          <w:rFonts w:ascii="Times New Roman;serif" w:hAnsi="Times New Roman;serif"/>
          <w:b w:val="false"/>
          <w:sz w:val="22"/>
        </w:rPr>
        <w:t>), including without limitation to make any determination, to give consents, to exercise rights, powers or remedies, to release or sell Collateral or otherwise to act hereunder or under any other Notes Document,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Subject to the terms of the Pari Passu Intercreditor Agreement, if the Notes Collateral Agent shall request direction from the Holders of a majority in aggregate principal amount of the then 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 Notwithstanding anything to the contrary in this Indenture or any other Notes Document, in no event shall the Notes Collateral Agent (or the Trustee) be responsible for, or have any duty or obligation with respect to, the recording, filing, registering, perfection, protection or maintenance of the security interests or Liens intended to be created by this Indenture or the other Notes Documents (including without limitation the filing or continuation of any UCC financing or continuation statements or similar documents or instruments), nor shall the Notes Collateral Agent and the Trustee be responsible for, and the Notes Collateral Agent and Trustee make no representation regarding, the validity, effectiveness or priority of any of the Collateral Documents or the security interests or Liens intended to be created thereby. The Notes Collateral Agent makes no representation regarding the validity, effectiveness or enforceability of the Pari Passu Intercreditor Agreement, the Second Lien Intercreditor Agreement, if applicable or any subsequent intercreditor agreement.</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(x) Before the Notes Collateral Agent acts or refrains from acting in each case at the request or direction of the Issuers or the Guarantors, or in connection with any Collateral Document, the Pari Passu Intercreditor Agreement or the Second Lien Intercreditor Agreement, if applicable, it may require an Officer’s Certificate and an Opinion of Counsel, which shall conform to the provisions of </w:t>
      </w:r>
      <w:r>
        <w:rPr>
          <w:rFonts w:ascii="Times New Roman;serif" w:hAnsi="Times New Roman;serif"/>
          <w:b w:val="false"/>
          <w:sz w:val="22"/>
          <w:u w:val="single"/>
        </w:rPr>
        <w:t>Section 12.05</w:t>
      </w:r>
      <w:r>
        <w:rPr>
          <w:rFonts w:ascii="Times New Roman;serif" w:hAnsi="Times New Roman;serif"/>
          <w:b w:val="false"/>
          <w:sz w:val="22"/>
        </w:rPr>
        <w:t>. The Notes Collateral Agent shall not be liable for any action it takes or omits to take in good faith in reliance on such certificate or opinion.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(y) Notwithstanding anything to the contrary contained herein but subject to the terms of any Intercreditor Agreement, the Notes Collateral Agent shall act pursuant to the instructions of the Noteholder Secured Parties as provided in this Indenture solely with respect to the Collateral Documents.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(z) The Issuers and the Guarantors, jointly and severally, shall indemnify the Notes Collateral Agent for, and hold the Notes Collateral Agent harmless against, any and all loss, damage, claim, liability or expense (including attorneys’ fees) incurred by it in connection with the acceptance or the performance of its duties hereunder and under the other Notes Documents (including the costs and expenses of enforcing any Notes Document against the Issuers or any of the Guarantors (including this Article 13) or defending itself against any claim whether asserted by any Holder, the Issuers or any Guarantor, any holder of Other Pari Passu Lien Obligations or liability in connection with the acceptance, exercise or performance of any of its powers or duties hereunder). The Notes Collateral Agent shall notify the Issuers promptly of any claim for which it may seek indemnity. Failure by the Notes Collateral Agent to so notify the Issuers shall not relieve the Issuers or any Guarantor of their obligations hereunder. The Issuers and the Guarantors shall defend the claim and the Notes Collateral Agent may have separate counsel and the Issuers and the Guarantors shall pay the reasonable fees and expenses of such counsel. The Issuers and the Guarantors need not reimburse any expense or indemnify against any loss, liability or expense incurred by the Notes Collateral Agent through the result of the Notes Collateral Agent’s own willful misconduct or gross negligence. The obligations of the Issuers and the Guarantors under this Section 13.09(z) shall survive the satisfaction and discharge of this Indenture or the earlier resignation or removal of the Notes Collateral Agent. To secure the payment obligations of the Issuers and the Guarantors in this Section 13.09(z) but subject to the terms of the Notes Collateral Agent shall have a Lien prior to the Notes and rights of the Holders on all money or property held or collected by the Trustee or Notes Collateral Agent, except that held in trust to pay principal, premium, if any, and interest on particular Notes. Such Lien shall survive the satisfaction and discharge of this Indenture. For the avoidance of doubt, the Issuers shall pay compensation to, reimburse expenses of and indemnify the Notes Collateral Agent in accordance with Section 7.07.</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Section 13.10 Designations.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Except as provided in the next sentence, for purposes of the provisions hereof and of the Pari Passu Intercreditor Agreement, the Second Lien Intercreditor Agreement, if applicable, and the Collateral Documents requiring the Issuers to designate Indebtedness for the purposes of the terms “Credit Agreement Obligations” and “Additional First Lien Obligations” or any other such designations hereunder or under the Pari Passu Intercreditor Agreement, the Second Lien Intercreditor Agreement, if applicable or the Collateral Documents, any such designation shall be sufficient if the relevant designation is set forth in writing, signed on behalf of the Issuers by an Officer of each Issuer and delivered to the Trustee, the Notes Collateral Agent, the Senior Credit Facility Collateral Agent and if any Additional First Lien Obligations are then outstanding, each Authorized Representative. For all purposes hereof and of the Intercreditor Agreements, the Issuers hereby designate the Senior Credit Facility Obligations pursuant to the Senior Credit Facilities or any amendment or supplement thereto or refinancing thereof, as “Credit Agreement Obligations.” For all purposes hereof and of the Pari Passu Intercreditor Agreement, the Issuers hereby designate the Obligations pursuant to this Indenture or amendment or supplement thereto or refinancing thereof, as “Additional First Lien Obligations.”</w:t>
      </w:r>
    </w:p>
    <w:p>
      <w:pPr>
        <w:pStyle w:val="TextBody"/>
        <w:bidi w:val="0"/>
        <w:spacing w:before="0" w:after="24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pages follow]</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CONNECT FINCO SARL</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Gonzague de L’honeux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Gonzague de L’honeux</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Manager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CONNECT U.S. FINCO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Gonzague de L’honeux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Gonzague de L’honeux</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President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Indenture]</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CONNECT BIDCO LIMITED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Gonzague de L’honeux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Gonzague de L’honeux</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Director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CONNECT MIDCO LIMITED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Gonzague de L’honeux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Gonzague de L’honeux</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Director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 xml:space="preserve">WILMINGTON TRUST, NATIONAL ASSOCIATION, </w:t>
        <w:br/>
        <w:t>as Trustee and as Notes Collateral Agent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Joseph P. O’Donnell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Joseph P. O’Donnell</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Vice President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Indenture]</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right"/>
        <w:rPr>
          <w:rFonts w:ascii="Times New Roman;serif" w:hAnsi="Times New Roman;serif"/>
          <w:b w:val="false"/>
          <w:sz w:val="22"/>
        </w:rPr>
      </w:pPr>
      <w:r>
        <w:rPr>
          <w:rFonts w:ascii="Times New Roman;serif" w:hAnsi="Times New Roman;serif"/>
          <w:b w:val="false"/>
          <w:sz w:val="22"/>
        </w:rPr>
        <w:t>EXHIBIT A</w:t>
      </w:r>
    </w:p>
    <w:p>
      <w:pPr>
        <w:pStyle w:val="TextBody"/>
        <w:bidi w:val="0"/>
        <w:spacing w:before="0" w:after="480"/>
        <w:jc w:val="center"/>
        <w:rPr>
          <w:rFonts w:ascii="Times New Roman;serif" w:hAnsi="Times New Roman;serif"/>
          <w:b w:val="false"/>
          <w:sz w:val="22"/>
        </w:rPr>
      </w:pPr>
      <w:r>
        <w:rPr>
          <w:rFonts w:ascii="Times New Roman;serif" w:hAnsi="Times New Roman;serif"/>
          <w:b w:val="false"/>
          <w:sz w:val="22"/>
        </w:rPr>
        <w:t>[Face of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[Insert the Global Note Legend, if applicable pursuant to the provisions of the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[Insert the Private Placement Legend, if applicable pursuant to the provisions of the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[Insert the Regulation S Temporary Global Note Legend, if applicable pursuant to the provisions of the Indenture]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Times New Roman;serif" w:hAnsi="Times New Roman;serif"/>
          <w:b w:val="false"/>
          <w:sz w:val="22"/>
        </w:rPr>
      </w:pPr>
      <w:r>
        <w:rPr>
          <w:rFonts w:ascii="Times New Roman;serif" w:hAnsi="Times New Roman;serif"/>
          <w:b w:val="false"/>
          <w:sz w:val="22"/>
        </w:rPr>
        <w:t>CUSIP [ ]</w:t>
      </w:r>
    </w:p>
    <w:p>
      <w:pPr>
        <w:pStyle w:val="TextBody"/>
        <w:bidi w:val="0"/>
        <w:spacing w:before="0" w:after="0"/>
        <w:jc w:val="right"/>
        <w:rPr>
          <w:rFonts w:ascii="Times New Roman;serif" w:hAnsi="Times New Roman;serif"/>
          <w:b w:val="false"/>
          <w:sz w:val="22"/>
        </w:rPr>
      </w:pPr>
      <w:r>
        <w:rPr>
          <w:rFonts w:ascii="Times New Roman;serif" w:hAnsi="Times New Roman;serif"/>
          <w:b w:val="false"/>
          <w:sz w:val="22"/>
        </w:rPr>
        <w:t>ISIN [ ]</w:t>
      </w:r>
    </w:p>
    <w:p>
      <w:pPr>
        <w:pStyle w:val="TextBody"/>
        <w:bidi w:val="0"/>
        <w:spacing w:before="0" w:after="0"/>
        <w:jc w:val="right"/>
        <w:rPr/>
      </w:pPr>
      <w:r>
        <w:rPr/>
        <w:t> </w:t>
      </w:r>
    </w:p>
    <w:p>
      <w:pPr>
        <w:pStyle w:val="TextBody"/>
        <w:bidi w:val="0"/>
        <w:spacing w:before="0" w:after="0"/>
        <w:jc w:val="right"/>
        <w:rPr/>
      </w:pPr>
      <w:r>
        <w:rPr/>
        <w:t> </w:t>
      </w:r>
    </w:p>
    <w:p>
      <w:pPr>
        <w:pStyle w:val="TextBody"/>
        <w:bidi w:val="0"/>
        <w:spacing w:before="0" w:after="0"/>
        <w:jc w:val="righ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[[RULE 144A][REGULATION S] GLOBAL NOTE</w:t>
        <w:br/>
        <w:t>representing up to</w:t>
        <w:br/>
        <w:t>$______________]</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6.750% Senior Secured Notes due 2026</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No. ___ [$______________]</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2"/>
        </w:rPr>
        <w:t>CONNECT FINCO SARL and CONNECT U.S. FINCO LLC</w:t>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promises to pay to CEDE &amp; CO. or registered assigns, the principal sum [set forth on the Schedule of Exchanges of Interests in the Global Note attached hereto] [of ________________________ United States Dollars] on October 1, 2026.</w:t>
      </w:r>
    </w:p>
    <w:p>
      <w:pPr>
        <w:pStyle w:val="TextBody"/>
        <w:bidi w:val="0"/>
        <w:spacing w:before="0" w:after="24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Interest Payment Dates: April 1 and October 1</w:t>
        <w:br/>
      </w:r>
      <w:r>
        <w:rPr>
          <w:rFonts w:ascii="Times New Roman" w:hAnsi="Times New Roman"/>
          <w:sz w:val="20"/>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Record Dates: March 15 and September 15</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IN WITNESS HEREOF, the Issuers have caused this instrument to be duly executed.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Dated: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CONNECT FINCO SARL</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By: </w:t>
      </w:r>
    </w:p>
    <w:p>
      <w:pPr>
        <w:pStyle w:val="TextBody"/>
        <w:bidi w:val="0"/>
        <w:spacing w:before="0" w:after="0"/>
        <w:jc w:val="left"/>
        <w:rPr>
          <w:rFonts w:ascii="Times New Roman" w:hAnsi="Times New Roman"/>
          <w:sz w:val="20"/>
        </w:rPr>
      </w:pPr>
      <w:r>
        <w:rPr>
          <w:rFonts w:ascii="Times New Roman;serif" w:hAnsi="Times New Roman;serif"/>
          <w:b w:val="false"/>
          <w:sz w:val="24"/>
        </w:rPr>
        <w:t>Name: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Title: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CONNECT U.S. FINCO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By: </w:t>
      </w:r>
    </w:p>
    <w:p>
      <w:pPr>
        <w:pStyle w:val="TextBody"/>
        <w:bidi w:val="0"/>
        <w:spacing w:before="0" w:after="0"/>
        <w:jc w:val="left"/>
        <w:rPr>
          <w:rFonts w:ascii="Times New Roman" w:hAnsi="Times New Roman"/>
          <w:sz w:val="20"/>
        </w:rPr>
      </w:pPr>
      <w:r>
        <w:rPr>
          <w:rFonts w:ascii="Times New Roman;serif" w:hAnsi="Times New Roman;serif"/>
          <w:b w:val="false"/>
          <w:sz w:val="24"/>
        </w:rPr>
        <w:t>Name: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This is one of the Notes referred to in the within-mentioned Indenture:</w:t>
      </w:r>
    </w:p>
    <w:p>
      <w:pPr>
        <w:pStyle w:val="TextBody"/>
        <w:bidi w:val="0"/>
        <w:spacing w:before="0" w:after="0"/>
        <w:jc w:val="left"/>
        <w:rPr>
          <w:rFonts w:ascii="Times New Roman" w:hAnsi="Times New Roman"/>
          <w:sz w:val="20"/>
        </w:rPr>
      </w:pPr>
      <w:r>
        <w:rPr>
          <w:rFonts w:ascii="Times New Roman;serif" w:hAnsi="Times New Roman;serif"/>
          <w:b w:val="false"/>
          <w:caps/>
          <w:sz w:val="22"/>
        </w:rPr>
        <w:br/>
      </w:r>
      <w:r>
        <w:rPr>
          <w:rFonts w:ascii="Times New Roman" w:hAnsi="Times New Roman"/>
          <w:caps/>
          <w:sz w:val="20"/>
        </w:rPr>
        <w:t> </w:t>
      </w:r>
    </w:p>
    <w:p>
      <w:pPr>
        <w:pStyle w:val="TextBody"/>
        <w:bidi w:val="0"/>
        <w:spacing w:before="0" w:after="0"/>
        <w:jc w:val="left"/>
        <w:rPr>
          <w:rFonts w:ascii="Times New Roman" w:hAnsi="Times New Roman"/>
          <w:sz w:val="20"/>
        </w:rPr>
      </w:pPr>
      <w:r>
        <w:rPr>
          <w:rFonts w:ascii="Times New Roman;serif" w:hAnsi="Times New Roman;serif"/>
          <w:b w:val="false"/>
          <w:caps/>
          <w:sz w:val="22"/>
        </w:rPr>
        <w:t>WILMINGTON TRUST, NATIONAL ASSOCIATION</w:t>
      </w:r>
      <w:r>
        <w:rPr>
          <w:rFonts w:ascii="Times New Roman;serif" w:hAnsi="Times New Roman;serif"/>
          <w:b w:val="false"/>
          <w:sz w:val="22"/>
        </w:rPr>
        <w:t>,</w:t>
        <w:br/>
        <w:t>as Trustee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Dated: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By: </w:t>
        <w:br/>
        <w:t>Authorized Signatory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[Back of Note]</w:t>
        <w:br/>
        <w:br/>
        <w:t>6.750% Senior Secured Notes due 2026</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Capitalized terms used herein shall have the meanings assigned to them in the Indenture referred to below unless otherwise indicated.</w:t>
      </w:r>
    </w:p>
    <w:p>
      <w:pPr>
        <w:pStyle w:val="TextBody"/>
        <w:bidi w:val="0"/>
        <w:spacing w:before="0" w:after="240"/>
        <w:jc w:val="left"/>
        <w:rPr>
          <w:rFonts w:ascii="Times New Roman" w:hAnsi="Times New Roman"/>
          <w:sz w:val="20"/>
        </w:rPr>
      </w:pPr>
      <w:r>
        <w:rPr>
          <w:rFonts w:ascii="Times New Roman;serif" w:hAnsi="Times New Roman;serif"/>
          <w:b w:val="false"/>
          <w:sz w:val="22"/>
        </w:rPr>
        <w:t>1. INTEREST. Connect Finco SARL, a private limited liability company (</w:t>
      </w:r>
      <w:r>
        <w:rPr>
          <w:rFonts w:ascii="Times New Roman;serif" w:hAnsi="Times New Roman;serif"/>
          <w:b w:val="false"/>
          <w:i/>
          <w:sz w:val="22"/>
        </w:rPr>
        <w:t>société à responsabilité limitée</w:t>
      </w:r>
      <w:r>
        <w:rPr>
          <w:rFonts w:ascii="Times New Roman;serif" w:hAnsi="Times New Roman;serif"/>
          <w:b w:val="false"/>
          <w:sz w:val="22"/>
        </w:rPr>
        <w:t>) incorporated under the laws of Luxembourg, having its registered office at 1-3, Boulevard de la Foire, L-1528 Luxembourg, Grand Duchy of Luxembourg, registered with the Luxembourg Register of Commerce and Companies (R.C.S. Luxembourg) under number B 233109, and a Wholly Owned Subsidiary of the Company (the “</w:t>
      </w:r>
      <w:r>
        <w:rPr>
          <w:rFonts w:ascii="Times New Roman;serif" w:hAnsi="Times New Roman;serif"/>
          <w:b w:val="false"/>
          <w:sz w:val="22"/>
          <w:u w:val="single"/>
        </w:rPr>
        <w:t>Luxembourg Issuer</w:t>
      </w:r>
      <w:r>
        <w:rPr>
          <w:rFonts w:ascii="Times New Roman" w:hAnsi="Times New Roman"/>
          <w:sz w:val="20"/>
        </w:rPr>
        <w:t>”</w:t>
      </w:r>
      <w:r>
        <w:rPr>
          <w:rFonts w:ascii="Times New Roman;serif" w:hAnsi="Times New Roman;serif"/>
          <w:b w:val="false"/>
          <w:sz w:val="22"/>
        </w:rPr>
        <w:t>), and Connect U.S. Finco LLC, a limited liability company organized and existing under the laws of the State of Delaware and a Wholly Owned Subsidiary of the Company (the “</w:t>
      </w:r>
      <w:r>
        <w:rPr>
          <w:rFonts w:ascii="Times New Roman;serif" w:hAnsi="Times New Roman;serif"/>
          <w:b w:val="false"/>
          <w:sz w:val="22"/>
          <w:u w:val="single"/>
        </w:rPr>
        <w:t>U.S. Issuer,</w:t>
      </w:r>
      <w:r>
        <w:rPr>
          <w:rFonts w:ascii="Times New Roman" w:hAnsi="Times New Roman"/>
          <w:sz w:val="20"/>
        </w:rPr>
        <w:t xml:space="preserve">” </w:t>
      </w:r>
      <w:r>
        <w:rPr>
          <w:rFonts w:ascii="Times New Roman;serif" w:hAnsi="Times New Roman;serif"/>
          <w:b w:val="false"/>
          <w:sz w:val="22"/>
        </w:rPr>
        <w:t>together with the Luxembourg Issuer, the “</w:t>
      </w:r>
      <w:r>
        <w:rPr>
          <w:rFonts w:ascii="Times New Roman;serif" w:hAnsi="Times New Roman;serif"/>
          <w:b w:val="false"/>
          <w:sz w:val="22"/>
          <w:u w:val="single"/>
        </w:rPr>
        <w:t>Issuers</w:t>
      </w:r>
      <w:r>
        <w:rPr>
          <w:rFonts w:ascii="Times New Roman" w:hAnsi="Times New Roman"/>
          <w:sz w:val="20"/>
        </w:rPr>
        <w:t>”</w:t>
      </w:r>
      <w:r>
        <w:rPr>
          <w:rFonts w:ascii="Times New Roman;serif" w:hAnsi="Times New Roman;serif"/>
          <w:b w:val="false"/>
          <w:sz w:val="22"/>
        </w:rPr>
        <w:t>), promise to pay interest on the principal amount of this Note at 6.750% per annum from October 7, 2019 until maturity. The Issuers will pay interest semi-annually in arrears on April 1 and October 1 of each year, or if any such day is not a Business Day, on the next succeeding Business Day (each, an “</w:t>
      </w:r>
      <w:r>
        <w:rPr>
          <w:rFonts w:ascii="Times New Roman;serif" w:hAnsi="Times New Roman;serif"/>
          <w:b w:val="false"/>
          <w:sz w:val="22"/>
          <w:u w:val="single"/>
        </w:rPr>
        <w:t>Interest Payment Date</w:t>
      </w:r>
      <w:r>
        <w:rPr>
          <w:rFonts w:ascii="Times New Roman" w:hAnsi="Times New Roman"/>
          <w:sz w:val="20"/>
        </w:rPr>
        <w:t>”</w:t>
      </w:r>
      <w:r>
        <w:rPr>
          <w:rFonts w:ascii="Times New Roman;serif" w:hAnsi="Times New Roman;serif"/>
          <w:b w:val="false"/>
          <w:sz w:val="22"/>
        </w:rPr>
        <w:t xml:space="preserve">) and no interest shall accrue on such payment as the result of the delay. Interest on the Notes will accrue from the most recent date to which interest has been paid or, if no interest has been paid, from the date of issuance; </w:t>
      </w:r>
      <w:r>
        <w:rPr>
          <w:rFonts w:ascii="Times New Roman;serif" w:hAnsi="Times New Roman;serif"/>
          <w:b w:val="false"/>
          <w:i/>
          <w:sz w:val="22"/>
        </w:rPr>
        <w:t>provided</w:t>
      </w:r>
      <w:r>
        <w:rPr>
          <w:rFonts w:ascii="Times New Roman;serif" w:hAnsi="Times New Roman;serif"/>
          <w:b w:val="false"/>
          <w:sz w:val="22"/>
        </w:rPr>
        <w:t>, that the first Interest Payment Date shall be April 1, 2020. The Issuers will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periods) from time to time on demand at the interest rate on the Notes. Interest will be computed on the basis of a 360-day year comprised of twelve 30-day months.</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 METHOD OF PAYMENT. The Issuers will pay interest on the Notes to the Persons who are registered Holders of Notes at the close of business on the March 15 or September 15 (whether or not a Business Day), as the case may be, next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Times New Roman;serif" w:hAnsi="Times New Roman;serif"/>
          <w:b w:val="false"/>
          <w:i/>
          <w:sz w:val="22"/>
        </w:rPr>
        <w:t>provided</w:t>
      </w:r>
      <w:r>
        <w:rPr>
          <w:rFonts w:ascii="Times New Roman;serif" w:hAnsi="Times New Roman;serif"/>
          <w:b w:val="false"/>
          <w:sz w:val="22"/>
        </w:rPr>
        <w:t>, that payment by wire transfer of immediately available funds will be required with respect to principal of and interest and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PAYING AGENT AND REGISTRAR. Initially, Wilmington Trust, National Association, the Trustee under the Indenture, will act as Paying Agent and Registrar. The Issuers may change any Paying Agent or Registrar without notice to the Holders. The Company or any of its Subsidiaries may act in any such capacity.</w:t>
      </w:r>
    </w:p>
    <w:p>
      <w:pPr>
        <w:pStyle w:val="TextBody"/>
        <w:bidi w:val="0"/>
        <w:spacing w:before="0" w:after="240"/>
        <w:jc w:val="left"/>
        <w:rPr>
          <w:rFonts w:ascii="Times New Roman" w:hAnsi="Times New Roman"/>
          <w:sz w:val="20"/>
        </w:rPr>
      </w:pPr>
      <w:r>
        <w:rPr>
          <w:rFonts w:ascii="Times New Roman;serif" w:hAnsi="Times New Roman;serif"/>
          <w:b w:val="false"/>
          <w:sz w:val="22"/>
        </w:rPr>
        <w:t>4. INDENTURE. The Issuers issued the Notes under an Indenture, dated as of October 7, 2019 (the “</w:t>
      </w:r>
      <w:r>
        <w:rPr>
          <w:rFonts w:ascii="Times New Roman;serif" w:hAnsi="Times New Roman;serif"/>
          <w:b w:val="false"/>
          <w:sz w:val="22"/>
          <w:u w:val="single"/>
        </w:rPr>
        <w:t>Indenture</w:t>
      </w:r>
      <w:r>
        <w:rPr>
          <w:rFonts w:ascii="Times New Roman" w:hAnsi="Times New Roman"/>
          <w:sz w:val="20"/>
        </w:rPr>
        <w:t>”</w:t>
      </w:r>
      <w:r>
        <w:rPr>
          <w:rFonts w:ascii="Times New Roman;serif" w:hAnsi="Times New Roman;serif"/>
          <w:b w:val="false"/>
          <w:sz w:val="22"/>
        </w:rPr>
        <w:t>), among the Issuers, the Guarantors named therein, the Trustee and Wilmington Trust, National Association, as Notes Collateral Agent. This Note is one of a duly authorized issue of notes of the Issuers designated as its 6.750% Senior Secured Notes due 2026. The Issuers shall be entitled to issue Additional Notes pursuant to Section 2.01 and 4.09 of the Indenture. The terms of the Notes include those stated in the Indenture. The Notes are subject to all such terms, and Holders are referred to the Indenture for a statement of such terms. To the extent any provision of this Note conflicts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with the express provisions of the Indenture, the provisions of the Indenture shall govern and be controlling.</w:t>
      </w:r>
    </w:p>
    <w:p>
      <w:pPr>
        <w:pStyle w:val="TextBody"/>
        <w:bidi w:val="0"/>
        <w:spacing w:before="0" w:after="240"/>
        <w:jc w:val="left"/>
        <w:rPr>
          <w:rFonts w:ascii="Times New Roman" w:hAnsi="Times New Roman"/>
          <w:sz w:val="20"/>
        </w:rPr>
      </w:pPr>
      <w:r>
        <w:rPr>
          <w:rFonts w:ascii="Times New Roman;serif" w:hAnsi="Times New Roman;serif"/>
          <w:b w:val="false"/>
          <w:sz w:val="22"/>
        </w:rPr>
        <w:t>5. REDEMPTION AND REPURCHASE. The Notes may be redeemed at the option of the Issuers and are subject to Special Mandatory Redemption, and may be the subject of a Change of Control Offer and an Asset Sale Offer, as further described in the Indenture. Except as provided in the Indenture, the Issuers shall not be required to make any mandatory redemption or sinking fund payments with respect to the Notes.</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6. DENOMINATIONS, TRANSFER, EXCHANGE. The Notes are in registered form without coupons in minimum denominations of $200,000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or tendered (and not withdrawn) for repurchase in connection with a Change of Control Offer, an Asset Sale Offer or other tender offer, in whole or in part, except for the unredeemed portion of any Note being redeemed in part.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7. PERSONS DEEMED OWNERS. The registered Holder of a Note may be treated as its owner for all purposes.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8. AMENDMENT, SUPPLEMENT AND WAIVER. The Indenture, the Guarantees or the Notes may be amended or supplemented as provided in the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9. DEFAULTS AND REMEDIES. The Events of Default relating to the Notes are defined in Section 6.01 of the Indenture. Upon the occurrence of an Event of Default, the rights and obligations of the Issuers, the Guarantors, the Trustee and the Holders shall be set forth in the applicable provisions of the Indenture.</w:t>
      </w:r>
      <w:r>
        <w:rPr>
          <w:rFonts w:ascii="Times New Roman" w:hAnsi="Times New Roman"/>
          <w:sz w:val="20"/>
        </w:rPr>
        <w:t xml:space="preserve">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10. AUTHENTICATION. This Note shall not be entitled to any benefit under the Indenture or be valid or obligatory for any purpose until authenticated by the manual signature of the Trustee.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11. GOVERNING LAW. THE LAWS OF THE STATE OF NEW YORK SHALL GOVERN AND BE USED TO CONSTRUE THE INDENTURE, THE NOTES AND THE GUARANTEES.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12. CUSIP NUMBERS.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A-6</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Issuers will furnish to any Holder upon written request and without charge a copy of the Indenture. Requests may be made to the Issuers at the following address: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Connect Finco SARL</w:t>
        <w:br/>
        <w:t>1-3, boulevard de la Foire</w:t>
        <w:br/>
        <w:t>L-1528 Luxembourg</w:t>
        <w:br/>
        <w:t>Attention: Gonzague de L’honeux</w:t>
      </w:r>
    </w:p>
    <w:p>
      <w:pPr>
        <w:pStyle w:val="TextBody"/>
        <w:bidi w:val="0"/>
        <w:spacing w:before="0" w:after="0"/>
        <w:jc w:val="left"/>
        <w:rPr>
          <w:rFonts w:ascii="Times New Roman" w:hAnsi="Times New Roman"/>
          <w:sz w:val="20"/>
        </w:rPr>
      </w:pPr>
      <w:r>
        <w:rPr>
          <w:rFonts w:ascii="Times New Roman;serif" w:hAnsi="Times New Roman;serif"/>
          <w:b w:val="false"/>
          <w:sz w:val="22"/>
        </w:rPr>
        <w:t>With a copy</w:t>
      </w:r>
      <w:r>
        <w:rPr>
          <w:rFonts w:ascii="Times New Roman" w:hAnsi="Times New Roman"/>
          <w:sz w:val="20"/>
        </w:rPr>
        <w:t xml:space="preserve"> </w:t>
      </w:r>
      <w:r>
        <w:rPr>
          <w:rFonts w:ascii="Times New Roman;serif" w:hAnsi="Times New Roman;serif"/>
          <w:b w:val="false"/>
          <w:sz w:val="22"/>
        </w:rPr>
        <w:t>(which shall not constitute notice) to:</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U.S. Finco LLC</w:t>
        <w:br/>
        <w:t>251 Little Falls Drive</w:t>
        <w:br/>
        <w:t>Wilmington, Delaware 19808</w:t>
        <w:br/>
        <w:t>United States</w:t>
        <w:br/>
        <w:t>Attention: Gonzague de L’honeux</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A-7</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ASSIGNMENT FORM</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assign this Note, fill in the form below:</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(I) or (we) assign and transfer this Note to: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(Insert assignee’s legal name)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br/>
        <w:t>(Insert assignee’s soc. sec. or tax I.D. no.)</w:t>
      </w:r>
    </w:p>
    <w:p>
      <w:pPr>
        <w:pStyle w:val="TextBody"/>
        <w:bidi w:val="0"/>
        <w:spacing w:before="0" w:after="0"/>
        <w:jc w:val="left"/>
        <w:rPr>
          <w:rFonts w:ascii="Times New Roman;serif" w:hAnsi="Times New Roman;serif"/>
          <w:b w:val="false"/>
          <w:sz w:val="22"/>
          <w:u w:val="single"/>
        </w:rPr>
      </w:pPr>
      <w:r>
        <w:rPr>
          <w:rFonts w:ascii="Times New Roman;serif" w:hAnsi="Times New Roman;serif"/>
          <w:b w:val="false"/>
          <w:sz w:val="22"/>
          <w:u w:val="single"/>
        </w:rPr>
        <w:br/>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(Print or type assignee’s name, address and zip code)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and irrevocably appoint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to transfer this Note on the books of the Issuer. The agent may substitute another to act for him.</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Date: _____________________</w:t>
      </w:r>
    </w:p>
    <w:p>
      <w:pPr>
        <w:pStyle w:val="TextBody"/>
        <w:bidi w:val="0"/>
        <w:spacing w:before="240" w:after="480"/>
        <w:jc w:val="left"/>
        <w:rPr>
          <w:rFonts w:ascii="Times New Roman;serif" w:hAnsi="Times New Roman;serif"/>
          <w:b w:val="false"/>
          <w:sz w:val="22"/>
        </w:rPr>
      </w:pPr>
      <w:r>
        <w:rPr>
          <w:rFonts w:ascii="Times New Roman;serif" w:hAnsi="Times New Roman;serif"/>
          <w:b w:val="false"/>
          <w:sz w:val="22"/>
        </w:rPr>
        <w:t xml:space="preserve">Your Signature: </w:t>
        <w:br/>
        <w:t>(Sign exactly as your name appears on the face of this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Signature Guarantee:* __________________________________</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xml:space="preserve">* Participant in a recognized Signature Guarantee Medallion Program (or other </w:t>
        <w:br/>
        <w:t>signature guarantor acceptable to the Trustee).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A-8</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OPTION OF HOLDER TO ELECT PURCHASE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you want to elect to have this Note purchased by the Issuers pursuant to Section 4.10 or 4.14 of the Indenture, check the appropriate box below:</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 ] Section 4.10 [ ] Section 4.14</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If you want to elect to have only part of this Note purchased by the Issuers pursuant to Section 4.10 or Section 4.14 of the Indenture, state the amount you elect to have purchased:</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$_______________</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Date: _____________________</w:t>
      </w:r>
    </w:p>
    <w:p>
      <w:pPr>
        <w:pStyle w:val="TextBody"/>
        <w:bidi w:val="0"/>
        <w:spacing w:before="240" w:after="0"/>
        <w:jc w:val="left"/>
        <w:rPr>
          <w:rFonts w:ascii="Times New Roman;serif" w:hAnsi="Times New Roman;serif"/>
          <w:b w:val="false"/>
          <w:sz w:val="22"/>
        </w:rPr>
      </w:pPr>
      <w:r>
        <w:rPr>
          <w:rFonts w:ascii="Times New Roman;serif" w:hAnsi="Times New Roman;serif"/>
          <w:b w:val="false"/>
          <w:sz w:val="22"/>
        </w:rPr>
        <w:t xml:space="preserve">Your Signature: </w:t>
        <w:br/>
        <w:t>(Sign exactly as your name appears on the face of this Note)</w:t>
      </w:r>
    </w:p>
    <w:p>
      <w:pPr>
        <w:pStyle w:val="TextBody"/>
        <w:bidi w:val="0"/>
        <w:spacing w:before="240" w:after="240"/>
        <w:jc w:val="left"/>
        <w:rPr>
          <w:rFonts w:ascii="Times New Roman;serif" w:hAnsi="Times New Roman;serif"/>
          <w:b w:val="false"/>
          <w:sz w:val="22"/>
        </w:rPr>
      </w:pPr>
      <w:r>
        <w:rPr>
          <w:rFonts w:ascii="Times New Roman;serif" w:hAnsi="Times New Roman;serif"/>
          <w:b w:val="false"/>
          <w:sz w:val="22"/>
        </w:rPr>
        <w:t xml:space="preserve">Tax Identification No.: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Signature Guarantee:* __________________________________</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Participant in a recognized Signature Guarantee Medallion Program (or other</w:t>
        <w:br/>
        <w:t>signature guarantor acceptable to the Trustee).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A-9</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SCHEDULE OF EXCHANGES OF INTERESTS IN THE GLOBAL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initial outstanding principal amount of this Global Note is $__________. The following exchanges of a part of this Global Note for an interest in another Global Note or for a Definitive Note, or exchanges of a part of another Global or Definitive Note for an interest in this Global Note, have been made:</w:t>
      </w:r>
    </w:p>
    <w:tbl>
      <w:tblPr>
        <w:tblW w:w="9575" w:type="dxa"/>
        <w:jc w:val="left"/>
        <w:tblInd w:w="0" w:type="dxa"/>
        <w:tblLayout w:type="fixed"/>
        <w:tblCellMar>
          <w:top w:w="28" w:type="dxa"/>
          <w:left w:w="28" w:type="dxa"/>
          <w:bottom w:w="28" w:type="dxa"/>
          <w:right w:w="28" w:type="dxa"/>
        </w:tblCellMar>
      </w:tblPr>
      <w:tblGrid>
        <w:gridCol w:w="1801"/>
        <w:gridCol w:w="1996"/>
        <w:gridCol w:w="1951"/>
        <w:gridCol w:w="2011"/>
        <w:gridCol w:w="1816"/>
      </w:tblGrid>
      <w:tr>
        <w:trPr/>
        <w:tc>
          <w:tcPr>
            <w:tcW w:w="180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Date of Exchange</w:t>
            </w:r>
          </w:p>
        </w:tc>
        <w:tc>
          <w:tcPr>
            <w:tcW w:w="1996"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Amount of decrease</w:t>
              <w:br/>
              <w:t>in Principal Amount</w:t>
            </w:r>
          </w:p>
        </w:tc>
        <w:tc>
          <w:tcPr>
            <w:tcW w:w="1951"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Amount of increase</w:t>
              <w:br/>
              <w:t>in Principal</w:t>
              <w:br/>
              <w:t>Amount of this</w:t>
              <w:br/>
              <w:t>Global Note</w:t>
            </w:r>
          </w:p>
        </w:tc>
        <w:tc>
          <w:tcPr>
            <w:tcW w:w="2011"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Principal Amount of</w:t>
              <w:br/>
              <w:t>this Global Note</w:t>
              <w:br/>
              <w:t>following such</w:t>
              <w:br/>
              <w:t>decrease or increase</w:t>
            </w:r>
          </w:p>
        </w:tc>
        <w:tc>
          <w:tcPr>
            <w:tcW w:w="1816" w:type="dxa"/>
            <w:tcBorders/>
            <w:tcMar>
              <w:top w:w="0" w:type="dxa"/>
              <w:left w:w="0" w:type="dxa"/>
              <w:bottom w:w="0" w:type="dxa"/>
              <w:right w:w="0" w:type="dxa"/>
            </w:tcMar>
            <w:vAlign w:val="center"/>
          </w:tcPr>
          <w:p>
            <w:pPr>
              <w:pStyle w:val="TableContents"/>
              <w:pBdr>
                <w:bottom w:val="single" w:sz="4" w:space="1" w:color="000000"/>
              </w:pBdr>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Signature of</w:t>
              <w:br/>
              <w:t>authorized officer</w:t>
              <w:br/>
              <w:t xml:space="preserve">of Trustee or </w:t>
              <w:br/>
              <w:t>Note Custodian</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__________________</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 This schedule should be included only if the Note is issued in global form.</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A-10</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480"/>
        <w:jc w:val="right"/>
        <w:rPr>
          <w:rFonts w:ascii="Times New Roman;serif" w:hAnsi="Times New Roman;serif"/>
          <w:b w:val="false"/>
          <w:sz w:val="22"/>
        </w:rPr>
      </w:pPr>
      <w:r>
        <w:rPr>
          <w:rFonts w:ascii="Times New Roman;serif" w:hAnsi="Times New Roman;serif"/>
          <w:b w:val="false"/>
          <w:sz w:val="22"/>
        </w:rPr>
        <w:t>EXHIBIT B</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FORM OF CERTIFICATE OF TRANSFER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 Connect Finco SARL</w:t>
        <w:br/>
        <w:t>1-3, boulevard de la Foire</w:t>
        <w:br/>
        <w:t>L-1528 Luxembourg</w:t>
        <w:br/>
        <w:t>Attention: Gonzague de L’honeux</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With a copy to:</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U.S. Finco LLC</w:t>
        <w:br/>
        <w:t>251 Little Falls Drive</w:t>
        <w:br/>
        <w:t>Wilmington, Delaware 19808</w:t>
        <w:br/>
        <w:t>United States</w:t>
        <w:br/>
        <w:t>Attention: Gonzague de L’honeux</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Wilmington Trust, National Association</w:t>
        <w:br/>
        <w:t>Global Capital Markets</w:t>
        <w:br/>
        <w:t>246 Goose Lane, Suite 105</w:t>
        <w:br/>
        <w:t>Guilford, CT 06437</w:t>
        <w:br/>
        <w:t>Fax No.: 203-453-1183</w:t>
        <w:br/>
        <w:t>Attention: Connect Finco Administrator</w:t>
      </w:r>
    </w:p>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Re: Connect Finco SARL and U.S. Finco LLC 6.750% Senior Secured Notes due 2026</w:t>
      </w:r>
    </w:p>
    <w:p>
      <w:pPr>
        <w:pStyle w:val="TextBody"/>
        <w:bidi w:val="0"/>
        <w:spacing w:before="0" w:after="240"/>
        <w:jc w:val="left"/>
        <w:rPr>
          <w:rFonts w:ascii="Times New Roman" w:hAnsi="Times New Roman"/>
          <w:sz w:val="20"/>
        </w:rPr>
      </w:pPr>
      <w:r>
        <w:rPr>
          <w:rFonts w:ascii="Times New Roman;serif" w:hAnsi="Times New Roman;serif"/>
          <w:b w:val="false"/>
          <w:sz w:val="22"/>
        </w:rPr>
        <w:t>Reference is hereby made to the Indenture, dated as of October 7, 2019 (the “</w:t>
      </w:r>
      <w:r>
        <w:rPr>
          <w:rFonts w:ascii="Times New Roman;serif" w:hAnsi="Times New Roman;serif"/>
          <w:b w:val="false"/>
          <w:sz w:val="22"/>
          <w:u w:val="single"/>
        </w:rPr>
        <w:t>Indenture</w:t>
      </w:r>
      <w:r>
        <w:rPr>
          <w:rFonts w:ascii="Times New Roman" w:hAnsi="Times New Roman"/>
          <w:sz w:val="20"/>
        </w:rPr>
        <w:t>”</w:t>
      </w:r>
      <w:r>
        <w:rPr>
          <w:rFonts w:ascii="Times New Roman;serif" w:hAnsi="Times New Roman;serif"/>
          <w:b w:val="false"/>
          <w:sz w:val="22"/>
        </w:rPr>
        <w:t>), among Connect Finco SARL, U.S. Finco LLC, the Guarantors named therein, the Trustee and the Notes Collateral Agent. Capitalized terms used but not defined herein shall have the meanings given to them in the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_______________ (the “</w:t>
      </w:r>
      <w:r>
        <w:rPr>
          <w:rFonts w:ascii="Times New Roman;serif" w:hAnsi="Times New Roman;serif"/>
          <w:b w:val="false"/>
          <w:sz w:val="22"/>
          <w:u w:val="single"/>
        </w:rPr>
        <w:t>Transferor</w:t>
      </w:r>
      <w:r>
        <w:rPr>
          <w:rFonts w:ascii="Times New Roman" w:hAnsi="Times New Roman"/>
          <w:sz w:val="20"/>
        </w:rPr>
        <w:t>”</w:t>
      </w:r>
      <w:r>
        <w:rPr>
          <w:rFonts w:ascii="Times New Roman;serif" w:hAnsi="Times New Roman;serif"/>
          <w:b w:val="false"/>
          <w:sz w:val="22"/>
        </w:rPr>
        <w:t>) owns and proposes to transfer the Note[s] or interest in such Note[s] specified in Annex A hereto, in the principal amount of $___________ in such Note[s] or interests (the “</w:t>
      </w:r>
      <w:r>
        <w:rPr>
          <w:rFonts w:ascii="Times New Roman;serif" w:hAnsi="Times New Roman;serif"/>
          <w:b w:val="false"/>
          <w:sz w:val="22"/>
          <w:u w:val="single"/>
        </w:rPr>
        <w:t>Transfer</w:t>
      </w:r>
      <w:r>
        <w:rPr>
          <w:rFonts w:ascii="Times New Roman" w:hAnsi="Times New Roman"/>
          <w:sz w:val="20"/>
        </w:rPr>
        <w:t>”</w:t>
      </w:r>
      <w:r>
        <w:rPr>
          <w:rFonts w:ascii="Times New Roman;serif" w:hAnsi="Times New Roman;serif"/>
          <w:b w:val="false"/>
          <w:sz w:val="22"/>
        </w:rPr>
        <w:t>), to _______________ (the “</w:t>
      </w:r>
      <w:r>
        <w:rPr>
          <w:rFonts w:ascii="Times New Roman;serif" w:hAnsi="Times New Roman;serif"/>
          <w:b w:val="false"/>
          <w:sz w:val="22"/>
          <w:u w:val="single"/>
        </w:rPr>
        <w:t>Transferee</w:t>
      </w:r>
      <w:r>
        <w:rPr>
          <w:rFonts w:ascii="Times New Roman" w:hAnsi="Times New Roman"/>
          <w:sz w:val="20"/>
        </w:rPr>
        <w:t>”</w:t>
      </w:r>
      <w:r>
        <w:rPr>
          <w:rFonts w:ascii="Times New Roman;serif" w:hAnsi="Times New Roman;serif"/>
          <w:b w:val="false"/>
          <w:sz w:val="22"/>
        </w:rPr>
        <w:t>), as further specified in Annex A hereto. In connection with the Transfer, the Transferor hereby certifies that:</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[CHECK ALL THAT APPLY]</w:t>
      </w:r>
    </w:p>
    <w:p>
      <w:pPr>
        <w:pStyle w:val="TextBody"/>
        <w:bidi w:val="0"/>
        <w:spacing w:before="0" w:after="240"/>
        <w:jc w:val="left"/>
        <w:rPr>
          <w:rFonts w:ascii="Times New Roman" w:hAnsi="Times New Roman"/>
          <w:sz w:val="20"/>
        </w:rPr>
      </w:pPr>
      <w:r>
        <w:rPr>
          <w:rFonts w:ascii="Times New Roman;serif" w:hAnsi="Times New Roman;serif"/>
          <w:b w:val="false"/>
          <w:sz w:val="22"/>
        </w:rPr>
        <w:t>1. [ ] 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Times New Roman;serif" w:hAnsi="Times New Roman;serif"/>
          <w:b w:val="false"/>
          <w:sz w:val="22"/>
          <w:u w:val="single"/>
        </w:rPr>
        <w:t>Securities Act</w:t>
      </w:r>
      <w:r>
        <w:rPr>
          <w:rFonts w:ascii="Times New Roman" w:hAnsi="Times New Roman"/>
          <w:sz w:val="20"/>
        </w:rPr>
        <w:t>”</w:t>
      </w:r>
      <w:r>
        <w:rPr>
          <w:rFonts w:ascii="Times New Roman;serif" w:hAnsi="Times New Roman;serif"/>
          <w:b w:val="false"/>
          <w:sz w:val="22"/>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B-1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 ] 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3. [ ] CHECK AND COMPLETE IF TRANSFEREE WILL TAKE DELIVERY OF A BENEFICIAL INTEREST IN THE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 ] such Transfer is being effected pursuant to and in accordance with Rule 144 under the Securities Act;</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 ] such Transfer is being effected to the Issuers or a subsidiary thereof;</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 ] such Transfer is being effected pursuant to an effective registration statement under the Securities Act and, if applicable, in compliance with the prospectus delivery requirements of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4. [ ] CHECK IF TRANSFEREE WILL TAKE DELIVERY OF A BENEFICIAL INTEREST IN AN UNRESTRICTED GLOBAL NOTE OR OF AN UNRESTRICTED DEFINITIVE NOTE.</w:t>
      </w:r>
    </w:p>
    <w:p>
      <w:pPr>
        <w:pStyle w:val="TextBody"/>
        <w:bidi w:val="0"/>
        <w:spacing w:before="0" w:after="240"/>
        <w:jc w:val="left"/>
        <w:rPr>
          <w:rFonts w:ascii="Times New Roman" w:hAnsi="Times New Roman"/>
          <w:sz w:val="20"/>
        </w:rPr>
      </w:pPr>
      <w:r>
        <w:rPr>
          <w:rFonts w:ascii="Times New Roman;serif" w:hAnsi="Times New Roman;serif"/>
          <w:b w:val="false"/>
          <w:sz w:val="22"/>
        </w:rPr>
        <w:t>(a) [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B-2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the Private Placement Legend printed on the Restricted Global Notes, on Restricted Definitive Notes and in the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B-3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This certificate and the statements contained herein are made for your benefit and the benefit of the Issuer.</w:t>
      </w:r>
    </w:p>
    <w:p>
      <w:pPr>
        <w:pStyle w:val="TextBody"/>
        <w:bidi w:val="0"/>
        <w:spacing w:before="240" w:after="360"/>
        <w:jc w:val="left"/>
        <w:rPr>
          <w:rFonts w:ascii="Times New Roman;serif" w:hAnsi="Times New Roman;serif"/>
          <w:b w:val="false"/>
          <w:sz w:val="22"/>
        </w:rPr>
      </w:pPr>
      <w:r>
        <w:rPr>
          <w:rFonts w:ascii="Times New Roman;serif" w:hAnsi="Times New Roman;serif"/>
          <w:b w:val="false"/>
          <w:sz w:val="22"/>
        </w:rPr>
        <w:t>[Insert Name of Transferor]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br/>
      </w:r>
      <w:r>
        <w:rPr>
          <w:rFonts w:ascii="Times New Roman;serif" w:hAnsi="Times New Roman;serif"/>
          <w:b w:val="false"/>
          <w:sz w:val="22"/>
        </w:rPr>
        <w:t xml:space="preserve">Name: </w:t>
        <w:br/>
        <w:t>Title:</w:t>
      </w:r>
    </w:p>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Dated: _______________________</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B-4</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right"/>
        <w:rPr>
          <w:rFonts w:ascii="Times New Roman;serif" w:hAnsi="Times New Roman;serif"/>
          <w:b w:val="false"/>
          <w:sz w:val="22"/>
        </w:rPr>
      </w:pPr>
      <w:r>
        <w:rPr>
          <w:rFonts w:ascii="Times New Roman;serif" w:hAnsi="Times New Roman;serif"/>
          <w:b w:val="false"/>
          <w:sz w:val="22"/>
        </w:rPr>
        <w:t>ANNEX A TO CERTIFICATE OF TRANSFER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The Transferor owns and proposes to transfer the following:</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[CHECK ONE OF (a) OR (b)]</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 ] a beneficial interest in the: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 ] 144A Global Note (CUSIP [ ]),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 ] Regulation S Global Note (CUSIP [ ]),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 ] a Restricted Definitive Note.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After the Transfer the Transferee will hold:</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[CHECK ONE]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(a) [ ] a beneficial interest in the: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 [ ] 144A Global Note (CUSIP [ ]),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 [ ] Regulation S Global Note (CUSIP [ ]),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(iii) [ ] Unrestricted Global Note (CUSIP [ ]);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 ] a Restricted Definitive Note; or</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 ] an Unrestricted Definitive Note,</w:t>
        <w:br/>
        <w:t>in accordance with the terms of the Indenture.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B-5</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480"/>
        <w:jc w:val="right"/>
        <w:rPr>
          <w:rFonts w:ascii="Times New Roman;serif" w:hAnsi="Times New Roman;serif"/>
          <w:b w:val="false"/>
          <w:sz w:val="22"/>
        </w:rPr>
      </w:pPr>
      <w:r>
        <w:rPr>
          <w:rFonts w:ascii="Times New Roman;serif" w:hAnsi="Times New Roman;serif"/>
          <w:b w:val="false"/>
          <w:sz w:val="22"/>
        </w:rPr>
        <w:t>EXHIBIT C</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FORM OF CERTIFICATE OF EXCHANGE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 Connect Finco SARL</w:t>
        <w:br/>
        <w:t>1-3, boulevard de la Foire</w:t>
        <w:br/>
        <w:t>L-1528 Luxembourg</w:t>
        <w:br/>
        <w:t>Attention: Gonzague de L’honeux</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With a copy to:</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U.S. Finco LLC</w:t>
        <w:br/>
        <w:t>251 Little Falls Drive</w:t>
        <w:br/>
        <w:t>Wilmington, Delaware 19808</w:t>
        <w:br/>
        <w:t>United States</w:t>
        <w:br/>
        <w:t>Attention: Gonzague de L’honeux</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Wilmington Trust, National Association</w:t>
        <w:br/>
        <w:t>Global Capital Markets</w:t>
        <w:br/>
        <w:t>246 Goose Lane, Suite 105</w:t>
        <w:br/>
        <w:t>Guilford, CT 06437</w:t>
        <w:br/>
        <w:t>Fax No.: 203-453-1183</w:t>
        <w:br/>
        <w:t>Attention: Connect Finco Administrator</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Re: Connect Finco SARL and U.S. Finco LLC 6.750% Senior Secured Notes due 2026</w:t>
      </w:r>
    </w:p>
    <w:p>
      <w:pPr>
        <w:pStyle w:val="TextBody"/>
        <w:bidi w:val="0"/>
        <w:spacing w:before="0" w:after="240"/>
        <w:jc w:val="left"/>
        <w:rPr>
          <w:rFonts w:ascii="Times New Roman" w:hAnsi="Times New Roman"/>
          <w:sz w:val="20"/>
        </w:rPr>
      </w:pPr>
      <w:r>
        <w:rPr>
          <w:rFonts w:ascii="Times New Roman;serif" w:hAnsi="Times New Roman;serif"/>
          <w:b w:val="false"/>
          <w:sz w:val="22"/>
        </w:rPr>
        <w:t>Reference is hereby made to the Indenture, dated as of October 7, 2019 (the “</w:t>
      </w:r>
      <w:r>
        <w:rPr>
          <w:rFonts w:ascii="Times New Roman;serif" w:hAnsi="Times New Roman;serif"/>
          <w:b w:val="false"/>
          <w:sz w:val="22"/>
          <w:u w:val="single"/>
        </w:rPr>
        <w:t>Indenture</w:t>
      </w:r>
      <w:r>
        <w:rPr>
          <w:rFonts w:ascii="Times New Roman" w:hAnsi="Times New Roman"/>
          <w:sz w:val="20"/>
        </w:rPr>
        <w:t>”</w:t>
      </w:r>
      <w:r>
        <w:rPr>
          <w:rFonts w:ascii="Times New Roman;serif" w:hAnsi="Times New Roman;serif"/>
          <w:b w:val="false"/>
          <w:sz w:val="22"/>
        </w:rPr>
        <w:t>), among Connect Finco SARL, U.S. Finco LLC, the Guarantors named therein, the Trustee and the Notes Collateral Agent. Capitalized terms used but not defined herein shall have the meanings given to them in the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___________ (the “</w:t>
      </w:r>
      <w:r>
        <w:rPr>
          <w:rFonts w:ascii="Times New Roman;serif" w:hAnsi="Times New Roman;serif"/>
          <w:b w:val="false"/>
          <w:sz w:val="22"/>
          <w:u w:val="single"/>
        </w:rPr>
        <w:t>Owner</w:t>
      </w:r>
      <w:r>
        <w:rPr>
          <w:rFonts w:ascii="Times New Roman" w:hAnsi="Times New Roman"/>
          <w:sz w:val="20"/>
        </w:rPr>
        <w:t>”</w:t>
      </w:r>
      <w:r>
        <w:rPr>
          <w:rFonts w:ascii="Times New Roman;serif" w:hAnsi="Times New Roman;serif"/>
          <w:b w:val="false"/>
          <w:sz w:val="22"/>
        </w:rPr>
        <w:t>) owns and proposes to exchange the Note[s] or interest in such Note[s] specified herein, in the principal amount of $__________ in such Note[s] or interests (the “</w:t>
      </w:r>
      <w:r>
        <w:rPr>
          <w:rFonts w:ascii="Times New Roman;serif" w:hAnsi="Times New Roman;serif"/>
          <w:b w:val="false"/>
          <w:sz w:val="22"/>
          <w:u w:val="single"/>
        </w:rPr>
        <w:t>Exchange</w:t>
      </w:r>
      <w:r>
        <w:rPr>
          <w:rFonts w:ascii="Times New Roman" w:hAnsi="Times New Roman"/>
          <w:sz w:val="20"/>
        </w:rPr>
        <w:t>”</w:t>
      </w:r>
      <w:r>
        <w:rPr>
          <w:rFonts w:ascii="Times New Roman;serif" w:hAnsi="Times New Roman;serif"/>
          <w:b w:val="false"/>
          <w:sz w:val="22"/>
        </w:rPr>
        <w:t>). In connection with the Exchange, the Owner hereby certifies that: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1) EXCHANGE OF RESTRICTED DEFINITIVE NOTES OR BENEFICIAL INTERESTS IN A RESTRICTED GLOBAL NOTE FOR UNRESTRICTED DEFINITIVE NOTES OR BENEFICIAL INTERESTS IN AN UNRESTRICTED GLOBAL NOTE</w:t>
      </w:r>
    </w:p>
    <w:p>
      <w:pPr>
        <w:pStyle w:val="TextBody"/>
        <w:bidi w:val="0"/>
        <w:spacing w:before="0" w:after="240"/>
        <w:jc w:val="left"/>
        <w:rPr>
          <w:rFonts w:ascii="Times New Roman" w:hAnsi="Times New Roman"/>
          <w:sz w:val="20"/>
        </w:rPr>
      </w:pPr>
      <w:r>
        <w:rPr>
          <w:rFonts w:ascii="Times New Roman;serif" w:hAnsi="Times New Roman;serif"/>
          <w:b w:val="false"/>
          <w:sz w:val="22"/>
        </w:rPr>
        <w:t>a) [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serif" w:hAnsi="Times New Roman;serif"/>
          <w:b w:val="false"/>
          <w:sz w:val="22"/>
          <w:u w:val="single"/>
        </w:rPr>
        <w:t>Securities Act</w:t>
      </w:r>
      <w:r>
        <w:rPr>
          <w:rFonts w:ascii="Times New Roman" w:hAnsi="Times New Roman"/>
          <w:sz w:val="20"/>
        </w:rPr>
        <w:t>”</w:t>
      </w:r>
      <w:r>
        <w:rPr>
          <w:rFonts w:ascii="Times New Roman;serif" w:hAnsi="Times New Roman;serif"/>
          <w:b w:val="false"/>
          <w:sz w:val="22"/>
        </w:rPr>
        <w:t>), (iii) the restrictions on transfer contained in the Indenture and the Private Placement Legend are not required in order to maintain compliance with the Securities Act and (iv) the beneficial interest in an Unrestricted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C-1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Global Note is being acquired in compliance with any applicable blue sky securities laws of any state of the United States.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c) [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d) [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2) EXCHANGE OF RESTRICTED DEFINITIVE NOTES OR BENEFICIAL INTERESTS IN RESTRICTED GLOBAL NOTES FOR RESTRICTED DEFINITIVE NOTES OR BENEFICIAL INTERESTS IN RESTRICTED GLOBAL NOTES</w:t>
      </w:r>
    </w:p>
    <w:p>
      <w:pPr>
        <w:pStyle w:val="TextBody"/>
        <w:bidi w:val="0"/>
        <w:spacing w:before="0" w:after="240"/>
        <w:jc w:val="left"/>
        <w:rPr>
          <w:rFonts w:ascii="Times New Roman" w:hAnsi="Times New Roman"/>
          <w:sz w:val="20"/>
        </w:rPr>
      </w:pPr>
      <w:r>
        <w:rPr>
          <w:rFonts w:ascii="Times New Roman;serif" w:hAnsi="Times New Roman;serif"/>
          <w:b w:val="false"/>
          <w:sz w:val="22"/>
        </w:rPr>
        <w:t>a) [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C-2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subject to the restrictions on transfer enumerated in the Private Placement Legend printed on the Restricted Definitive Note and in the Indenture and the Securities Act.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b) [ ] CHECK IF EXCHANGE IS FROM RESTRICTED DEFINITIVE NOTE TO BENEFICIAL INTEREST IN A RESTRICTED GLOBAL NOTE. In connection with the Exchange of the Owner’s Restricted Definitive Note for a beneficial interest in the [CHECK ONE] [ ] 144A Global Note [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before="0" w:after="240"/>
        <w:jc w:val="left"/>
        <w:rPr>
          <w:rFonts w:ascii="Times New Roman" w:hAnsi="Times New Roman"/>
          <w:sz w:val="20"/>
        </w:rPr>
      </w:pPr>
      <w:r>
        <w:rPr>
          <w:rFonts w:ascii="Times New Roman;serif" w:hAnsi="Times New Roman;serif"/>
          <w:b w:val="false"/>
          <w:sz w:val="22"/>
        </w:rPr>
        <w:t>This certificate and the statements contained herein are made for your benefit and the benefit of the Issuer.</w:t>
        <w:br/>
      </w:r>
      <w:r>
        <w:rPr>
          <w:rFonts w:ascii="Times New Roman" w:hAnsi="Times New Roman"/>
          <w:sz w:val="20"/>
        </w:rPr>
        <w:t> </w:t>
      </w:r>
    </w:p>
    <w:p>
      <w:pPr>
        <w:pStyle w:val="TextBody"/>
        <w:bidi w:val="0"/>
        <w:spacing w:before="240" w:after="360"/>
        <w:jc w:val="left"/>
        <w:rPr>
          <w:rFonts w:ascii="Times New Roman;serif" w:hAnsi="Times New Roman;serif"/>
          <w:b w:val="false"/>
          <w:sz w:val="22"/>
        </w:rPr>
      </w:pPr>
      <w:r>
        <w:rPr>
          <w:rFonts w:ascii="Times New Roman;serif" w:hAnsi="Times New Roman;serif"/>
          <w:b w:val="false"/>
          <w:sz w:val="22"/>
        </w:rPr>
        <w:t>[Insert Name of Transferor]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br/>
      </w:r>
      <w:r>
        <w:rPr>
          <w:rFonts w:ascii="Times New Roman;serif" w:hAnsi="Times New Roman;serif"/>
          <w:b w:val="false"/>
          <w:sz w:val="22"/>
        </w:rPr>
        <w:t xml:space="preserve">Name: </w:t>
        <w:br/>
        <w:t>Title:</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br/>
        <w:t>Dated: _______________________</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C-3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480"/>
        <w:jc w:val="right"/>
        <w:rPr>
          <w:rFonts w:ascii="Times New Roman;serif" w:hAnsi="Times New Roman;serif"/>
          <w:b w:val="false"/>
          <w:sz w:val="22"/>
        </w:rPr>
      </w:pPr>
      <w:r>
        <w:rPr>
          <w:rFonts w:ascii="Times New Roman;serif" w:hAnsi="Times New Roman;serif"/>
          <w:b w:val="false"/>
          <w:sz w:val="22"/>
        </w:rPr>
        <w:t>EXHIBIT D</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[FORM OF SUPPLEMENTAL INDENTURE</w:t>
        <w:br/>
        <w:t>TO BE DELIVERED BY SUBSEQUENT GUARANTORS]</w:t>
      </w:r>
    </w:p>
    <w:p>
      <w:pPr>
        <w:pStyle w:val="TextBody"/>
        <w:bidi w:val="0"/>
        <w:spacing w:before="0" w:after="240"/>
        <w:jc w:val="left"/>
        <w:rPr>
          <w:rFonts w:ascii="Times New Roman" w:hAnsi="Times New Roman"/>
          <w:sz w:val="20"/>
        </w:rPr>
      </w:pPr>
      <w:r>
        <w:rPr>
          <w:rFonts w:ascii="Times New Roman;serif" w:hAnsi="Times New Roman;serif"/>
          <w:b w:val="false"/>
          <w:sz w:val="22"/>
        </w:rPr>
        <w:t>[__________] Supplemental Indenture (this “</w:t>
      </w:r>
      <w:r>
        <w:rPr>
          <w:rFonts w:ascii="Times New Roman;serif" w:hAnsi="Times New Roman;serif"/>
          <w:b w:val="false"/>
          <w:sz w:val="22"/>
          <w:u w:val="single"/>
        </w:rPr>
        <w:t>Supplemental Indenture</w:t>
      </w:r>
      <w:r>
        <w:rPr>
          <w:rFonts w:ascii="Times New Roman" w:hAnsi="Times New Roman"/>
          <w:sz w:val="20"/>
        </w:rPr>
        <w:t>”</w:t>
      </w:r>
      <w:r>
        <w:rPr>
          <w:rFonts w:ascii="Times New Roman;serif" w:hAnsi="Times New Roman;serif"/>
          <w:b w:val="false"/>
          <w:sz w:val="22"/>
        </w:rPr>
        <w:t>), dated as of __________, [between][among] __________________ (the “</w:t>
      </w:r>
      <w:r>
        <w:rPr>
          <w:rFonts w:ascii="Times New Roman;serif" w:hAnsi="Times New Roman;serif"/>
          <w:b w:val="false"/>
          <w:sz w:val="22"/>
          <w:u w:val="single"/>
        </w:rPr>
        <w:t>Guaranteeing Subsidiary</w:t>
      </w:r>
      <w:r>
        <w:rPr>
          <w:rFonts w:ascii="Times New Roman" w:hAnsi="Times New Roman"/>
          <w:sz w:val="20"/>
        </w:rPr>
        <w:t>”</w:t>
      </w:r>
      <w:r>
        <w:rPr>
          <w:rFonts w:ascii="Times New Roman;serif" w:hAnsi="Times New Roman;serif"/>
          <w:b w:val="false"/>
          <w:sz w:val="22"/>
        </w:rPr>
        <w:t>), Connect Finco SARL (the “</w:t>
      </w:r>
      <w:r>
        <w:rPr>
          <w:rFonts w:ascii="Times New Roman;serif" w:hAnsi="Times New Roman;serif"/>
          <w:b w:val="false"/>
          <w:sz w:val="22"/>
          <w:u w:val="single"/>
        </w:rPr>
        <w:t>Luxembourg Issuer</w:t>
      </w:r>
      <w:r>
        <w:rPr>
          <w:rFonts w:ascii="Times New Roman" w:hAnsi="Times New Roman"/>
          <w:sz w:val="20"/>
        </w:rPr>
        <w:t>”</w:t>
      </w:r>
      <w:r>
        <w:rPr>
          <w:rFonts w:ascii="Times New Roman;serif" w:hAnsi="Times New Roman;serif"/>
          <w:b w:val="false"/>
          <w:sz w:val="22"/>
        </w:rPr>
        <w:t>) and Connect U.S. Finco LLC (the “</w:t>
      </w:r>
      <w:r>
        <w:rPr>
          <w:rFonts w:ascii="Times New Roman;serif" w:hAnsi="Times New Roman;serif"/>
          <w:b w:val="false"/>
          <w:sz w:val="22"/>
          <w:u w:val="single"/>
        </w:rPr>
        <w:t>U.S. Issuer,</w:t>
      </w:r>
      <w:r>
        <w:rPr>
          <w:rFonts w:ascii="Times New Roman" w:hAnsi="Times New Roman"/>
          <w:sz w:val="20"/>
        </w:rPr>
        <w:t xml:space="preserve">” </w:t>
      </w:r>
      <w:r>
        <w:rPr>
          <w:rFonts w:ascii="Times New Roman;serif" w:hAnsi="Times New Roman;serif"/>
          <w:b w:val="false"/>
          <w:sz w:val="22"/>
        </w:rPr>
        <w:t>together with the Luxembourg Issuer, the “</w:t>
      </w:r>
      <w:r>
        <w:rPr>
          <w:rFonts w:ascii="Times New Roman;serif" w:hAnsi="Times New Roman;serif"/>
          <w:b w:val="false"/>
          <w:sz w:val="22"/>
          <w:u w:val="single"/>
        </w:rPr>
        <w:t>Issuers</w:t>
      </w:r>
      <w:r>
        <w:rPr>
          <w:rFonts w:ascii="Times New Roman" w:hAnsi="Times New Roman"/>
          <w:sz w:val="20"/>
        </w:rPr>
        <w:t>”</w:t>
      </w:r>
      <w:r>
        <w:rPr>
          <w:rFonts w:ascii="Times New Roman;serif" w:hAnsi="Times New Roman;serif"/>
          <w:b w:val="false"/>
          <w:sz w:val="22"/>
        </w:rPr>
        <w:t>), and Wilmington Trust, National Association, as trustee (the “</w:t>
      </w:r>
      <w:r>
        <w:rPr>
          <w:rFonts w:ascii="Times New Roman;serif" w:hAnsi="Times New Roman;serif"/>
          <w:b w:val="false"/>
          <w:sz w:val="22"/>
          <w:u w:val="single"/>
        </w:rPr>
        <w:t>Trustee</w:t>
      </w:r>
      <w:r>
        <w:rPr>
          <w:rFonts w:ascii="Times New Roman" w:hAnsi="Times New Roman"/>
          <w:sz w:val="20"/>
        </w:rPr>
        <w:t>”</w:t>
      </w:r>
      <w:r>
        <w:rPr>
          <w:rFonts w:ascii="Times New Roman;serif" w:hAnsi="Times New Roman;serif"/>
          <w:b w:val="false"/>
          <w:sz w:val="22"/>
        </w:rPr>
        <w:t>) and as notes collateral agent (the “</w:t>
      </w:r>
      <w:r>
        <w:rPr>
          <w:rFonts w:ascii="Times New Roman;serif" w:hAnsi="Times New Roman;serif"/>
          <w:b w:val="false"/>
          <w:sz w:val="22"/>
          <w:u w:val="single"/>
        </w:rPr>
        <w:t>Notes Collateral Agent</w:t>
      </w:r>
      <w:r>
        <w:rPr>
          <w:rFonts w:ascii="Times New Roman" w:hAnsi="Times New Roman"/>
          <w:sz w:val="20"/>
        </w:rPr>
        <w:t>”</w:t>
      </w:r>
      <w:r>
        <w:rPr>
          <w:rFonts w:ascii="Times New Roman;serif" w:hAnsi="Times New Roman;serif"/>
          <w:b w:val="false"/>
          <w:sz w:val="22"/>
        </w:rPr>
        <w:t>).</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W I T N E S S E T H</w:t>
      </w:r>
    </w:p>
    <w:p>
      <w:pPr>
        <w:pStyle w:val="TextBody"/>
        <w:bidi w:val="0"/>
        <w:spacing w:before="0" w:after="240"/>
        <w:jc w:val="left"/>
        <w:rPr>
          <w:rFonts w:ascii="Times New Roman" w:hAnsi="Times New Roman"/>
          <w:sz w:val="20"/>
        </w:rPr>
      </w:pPr>
      <w:r>
        <w:rPr>
          <w:rFonts w:ascii="Times New Roman;serif" w:hAnsi="Times New Roman;serif"/>
          <w:b w:val="false"/>
          <w:sz w:val="22"/>
        </w:rPr>
        <w:t>WHEREAS, each of the Issuers and the Guarantors (as defined in the Indenture referred to below) has heretofore executed and delivered to the Trustee and the Notes Collateral Agent an indenture, dated as of October 7, 2019 (as further amended and supplemented, the “</w:t>
      </w:r>
      <w:r>
        <w:rPr>
          <w:rFonts w:ascii="Times New Roman;serif" w:hAnsi="Times New Roman;serif"/>
          <w:b w:val="false"/>
          <w:sz w:val="22"/>
          <w:u w:val="single"/>
        </w:rPr>
        <w:t>Indenture</w:t>
      </w:r>
      <w:r>
        <w:rPr>
          <w:rFonts w:ascii="Times New Roman" w:hAnsi="Times New Roman"/>
          <w:sz w:val="20"/>
        </w:rPr>
        <w:t>”</w:t>
      </w:r>
      <w:r>
        <w:rPr>
          <w:rFonts w:ascii="Times New Roman;serif" w:hAnsi="Times New Roman;serif"/>
          <w:b w:val="false"/>
          <w:sz w:val="22"/>
        </w:rPr>
        <w:t>), providing for the issuance of an unlimited aggregate principal amount of 6.750% Senior Secured Notes due 2026 (the “</w:t>
      </w:r>
      <w:r>
        <w:rPr>
          <w:rFonts w:ascii="Times New Roman;serif" w:hAnsi="Times New Roman;serif"/>
          <w:b w:val="false"/>
          <w:sz w:val="22"/>
          <w:u w:val="single"/>
        </w:rPr>
        <w:t>Notes</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 w:hAnsi="Times New Roman"/>
          <w:sz w:val="20"/>
        </w:rPr>
      </w:pPr>
      <w:r>
        <w:rPr>
          <w:rFonts w:ascii="Times New Roman;serif" w:hAnsi="Times New Roman;serif"/>
          <w:b w:val="false"/>
          <w:sz w:val="22"/>
        </w:rPr>
        <w:t>WHEREAS, the Indenture provides that under certain circumstances the Guaranteeing Subsidiary shall execute and deliver to the Trustee and the Notes Collateral Agent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serif" w:hAnsi="Times New Roman;serif"/>
          <w:b w:val="false"/>
          <w:sz w:val="22"/>
          <w:u w:val="single"/>
        </w:rPr>
        <w:t>Guarantee</w:t>
      </w:r>
      <w:r>
        <w:rPr>
          <w:rFonts w:ascii="Times New Roman" w:hAnsi="Times New Roman"/>
          <w:sz w:val="20"/>
        </w:rPr>
        <w:t>”</w:t>
      </w:r>
      <w:r>
        <w:rPr>
          <w:rFonts w:ascii="Times New Roman;serif" w:hAnsi="Times New Roman;serif"/>
          <w:b w:val="false"/>
          <w:sz w:val="22"/>
        </w:rPr>
        <w:t>);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WHEREAS, pursuant to Section 9.01 of the Indenture, the Guaranteeing Subsidiary, the Trustee and the Notes Collateral Agent are authorized to execute and deliver this Supplemental Indenture to amend or supplement the Indenture without the consent of Holders.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w:t>
      </w:r>
      <w:r>
        <w:rPr>
          <w:rFonts w:ascii="Times New Roman;serif" w:hAnsi="Times New Roman;serif"/>
          <w:b w:val="false"/>
          <w:sz w:val="22"/>
          <w:u w:val="single"/>
        </w:rPr>
        <w:t>Capitalized Terms</w:t>
      </w:r>
      <w:r>
        <w:rPr>
          <w:rFonts w:ascii="Times New Roman;serif" w:hAnsi="Times New Roman;serif"/>
          <w:b w:val="false"/>
          <w:sz w:val="22"/>
        </w:rPr>
        <w:t>. Capitalized terms used herein without definition shall have the meanings assigned to them in the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 </w:t>
      </w:r>
      <w:r>
        <w:rPr>
          <w:rFonts w:ascii="Times New Roman;serif" w:hAnsi="Times New Roman;serif"/>
          <w:b w:val="false"/>
          <w:sz w:val="22"/>
          <w:u w:val="single"/>
        </w:rPr>
        <w:t>Agreement to Guarantee</w:t>
      </w:r>
      <w:r>
        <w:rPr>
          <w:rFonts w:ascii="Times New Roman;serif" w:hAnsi="Times New Roman;serif"/>
          <w:b w:val="false"/>
          <w:sz w:val="22"/>
        </w:rPr>
        <w:t>. The Guaranteeing Subsidiary hereby agrees to be a Guarantor under the Indenture and to be bound by the terms of the Indenture applicable to a Guarantor, including Article 10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(3) </w:t>
      </w:r>
      <w:r>
        <w:rPr>
          <w:rFonts w:ascii="Times New Roman;serif" w:hAnsi="Times New Roman;serif"/>
          <w:b w:val="false"/>
          <w:sz w:val="22"/>
          <w:u w:val="single"/>
        </w:rPr>
        <w:t>Execution and Delivery</w:t>
      </w:r>
      <w:r>
        <w:rPr>
          <w:rFonts w:ascii="Times New Roman;serif" w:hAnsi="Times New Roman;serif"/>
          <w:b w:val="false"/>
          <w:sz w:val="22"/>
        </w:rPr>
        <w:t>. The Guaranteeing Subsidiary agrees that the Guarantee shall remain in full force and effect notwithstanding the absence of the endorsement of any notation of such Guarantee on the Notes.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(4) </w:t>
      </w:r>
      <w:r>
        <w:rPr>
          <w:rFonts w:ascii="Times New Roman;serif" w:hAnsi="Times New Roman;serif"/>
          <w:b w:val="false"/>
          <w:sz w:val="22"/>
          <w:u w:val="single"/>
        </w:rPr>
        <w:t>Governing Law</w:t>
      </w:r>
      <w:r>
        <w:rPr>
          <w:rFonts w:ascii="Times New Roman;serif" w:hAnsi="Times New Roman;serif"/>
          <w:b w:val="false"/>
          <w:sz w:val="22"/>
        </w:rPr>
        <w:t>. THIS SUPPLEMENTAL INDENTURE, AND ANY CLAIM, CONTROVERSY OR DISPUTE ARISING UNDER OR RELATED TO THIS SUPPLEMENTAL INDENTURE, WILL BE GOVERNED BY AND CONSTRUED IN ACCORDANCE WITH THE LAWS OF THE STATE OF NEW YORK.</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D-1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w:t>
      </w:r>
      <w:r>
        <w:rPr>
          <w:rFonts w:ascii="Times New Roman;serif" w:hAnsi="Times New Roman;serif"/>
          <w:b w:val="false"/>
          <w:sz w:val="22"/>
          <w:u w:val="single"/>
        </w:rPr>
        <w:t>Counterparts</w:t>
      </w:r>
      <w:r>
        <w:rPr>
          <w:rFonts w:ascii="Times New Roman;serif" w:hAnsi="Times New Roman;serif"/>
          <w:b w:val="false"/>
          <w:sz w:val="22"/>
        </w:rPr>
        <w:t>. The parties may sign any number of copies of this Supplemental Indenture. Each signed copy shall be an original, but all of them together represent one and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all purposes. Signatures of the parties hereto transmitted by facsimile, PDF or other electronic transmission shall be deemed to be their original signatures for all purposes.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(6) </w:t>
      </w:r>
      <w:r>
        <w:rPr>
          <w:rFonts w:ascii="Times New Roman;serif" w:hAnsi="Times New Roman;serif"/>
          <w:b w:val="false"/>
          <w:sz w:val="22"/>
          <w:u w:val="single"/>
        </w:rPr>
        <w:t>Effect of Headings</w:t>
      </w:r>
      <w:r>
        <w:rPr>
          <w:rFonts w:ascii="Times New Roman;serif" w:hAnsi="Times New Roman;serif"/>
          <w:b w:val="false"/>
          <w:sz w:val="22"/>
        </w:rPr>
        <w:t>. The Section headings herein are for convenience only and shall not affect the construction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(7) </w:t>
      </w:r>
      <w:r>
        <w:rPr>
          <w:rFonts w:ascii="Times New Roman;serif" w:hAnsi="Times New Roman;serif"/>
          <w:b w:val="false"/>
          <w:sz w:val="22"/>
          <w:u w:val="single"/>
        </w:rPr>
        <w:t>The Trustee and the Notes Collateral Agent</w:t>
      </w:r>
      <w:r>
        <w:rPr>
          <w:rFonts w:ascii="Times New Roman;serif" w:hAnsi="Times New Roman;serif"/>
          <w:b w:val="false"/>
          <w:sz w:val="22"/>
        </w:rPr>
        <w:t>. Neither the Trustee nor the Notes Collateral Agent shall be responsible in any manner whatsoever for or in respect of the validity or sufficiency of this Supplemental Indenture or for or in respect of the recitals contained herein, all of which recitals are made solely by the Guaranteeing Subsidiary.</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(8) </w:t>
      </w:r>
      <w:r>
        <w:rPr>
          <w:rFonts w:ascii="Times New Roman;serif" w:hAnsi="Times New Roman;serif"/>
          <w:b w:val="false"/>
          <w:sz w:val="22"/>
          <w:u w:val="single"/>
        </w:rPr>
        <w:t>Benefits Acknowledged</w:t>
      </w:r>
      <w:r>
        <w:rPr>
          <w:rFonts w:ascii="Times New Roman;serif" w:hAnsi="Times New Roman;serif"/>
          <w:b w:val="false"/>
          <w:sz w:val="22"/>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(9) </w:t>
      </w:r>
      <w:r>
        <w:rPr>
          <w:rFonts w:ascii="Times New Roman;serif" w:hAnsi="Times New Roman;serif"/>
          <w:b w:val="false"/>
          <w:sz w:val="22"/>
          <w:u w:val="single"/>
        </w:rPr>
        <w:t>Successors</w:t>
      </w:r>
      <w:r>
        <w:rPr>
          <w:rFonts w:ascii="Times New Roman;serif" w:hAnsi="Times New Roman;serif"/>
          <w:b w:val="false"/>
          <w:sz w:val="22"/>
        </w:rPr>
        <w:t>. All agreements of the Guaranteeing Subsidiary in this Supplemental Indenture shall bind its successors, except as otherwise provided in this Supplemental Indenture. All agreements of the Trustee and the Notes Collateral Agent in this Supplemental Indenture shall bind their respective successors.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(10) </w:t>
      </w:r>
      <w:r>
        <w:rPr>
          <w:rFonts w:ascii="Times New Roman;serif" w:hAnsi="Times New Roman;serif"/>
          <w:b w:val="false"/>
          <w:sz w:val="22"/>
          <w:u w:val="single"/>
        </w:rPr>
        <w:t>Ratification of Indenture; Supplemental Indentures Part of Indenture</w:t>
      </w:r>
      <w:r>
        <w:rPr>
          <w:rFonts w:ascii="Times New Roman;serif" w:hAnsi="Times New Roman;serif"/>
          <w:b w:val="false"/>
          <w:sz w:val="22"/>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shall be bound hereby.</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D-2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IN WITNESS WHEREOF, the parties hereto have caused this Supplemental Indenture to be duly executed, all as of the date first above written.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[GUARANTEEING SUBSIDIARY]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br/>
      </w:r>
      <w:r>
        <w:rPr>
          <w:rFonts w:ascii="Times New Roman;serif" w:hAnsi="Times New Roman;serif"/>
          <w:b w:val="false"/>
          <w:sz w:val="22"/>
        </w:rPr>
        <w:t xml:space="preserve">Name: </w:t>
        <w:b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caps/>
          <w:sz w:val="22"/>
        </w:rPr>
        <w:t>WILMINGTON TRUST, national Association</w:t>
      </w:r>
      <w:r>
        <w:rPr>
          <w:rFonts w:ascii="Times New Roman;serif" w:hAnsi="Times New Roman;serif"/>
          <w:b w:val="false"/>
          <w:sz w:val="22"/>
        </w:rPr>
        <w:t>, as Trustee and as Notes Collateral Agent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br/>
      </w:r>
      <w:r>
        <w:rPr>
          <w:rFonts w:ascii="Times New Roman;serif" w:hAnsi="Times New Roman;serif"/>
          <w:b w:val="false"/>
          <w:sz w:val="22"/>
        </w:rPr>
        <w:t xml:space="preserve">Name: </w:t>
        <w:b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D-3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right"/>
        <w:rPr>
          <w:rFonts w:ascii="Times New Roman;serif" w:hAnsi="Times New Roman;serif"/>
          <w:b w:val="false"/>
          <w:sz w:val="22"/>
        </w:rPr>
      </w:pPr>
      <w:r>
        <w:rPr>
          <w:rFonts w:ascii="Times New Roman;serif" w:hAnsi="Times New Roman;serif"/>
          <w:b w:val="false"/>
          <w:sz w:val="22"/>
        </w:rPr>
        <w:t>EXHIBIT E</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[FORM OF COMPLETION DATE SUPPLEMENTAL INDENTURE]</w:t>
      </w:r>
    </w:p>
    <w:p>
      <w:pPr>
        <w:pStyle w:val="TextBody"/>
        <w:bidi w:val="0"/>
        <w:spacing w:before="0" w:after="240"/>
        <w:jc w:val="left"/>
        <w:rPr>
          <w:rFonts w:ascii="Times New Roman" w:hAnsi="Times New Roman"/>
          <w:sz w:val="20"/>
        </w:rPr>
      </w:pPr>
      <w:r>
        <w:rPr>
          <w:rFonts w:ascii="Times New Roman;serif" w:hAnsi="Times New Roman;serif"/>
          <w:b w:val="false"/>
          <w:sz w:val="22"/>
        </w:rPr>
        <w:t>[First] Supplemental Indenture (this “</w:t>
      </w:r>
      <w:r>
        <w:rPr>
          <w:rFonts w:ascii="Times New Roman;serif" w:hAnsi="Times New Roman;serif"/>
          <w:b w:val="false"/>
          <w:sz w:val="22"/>
          <w:u w:val="single"/>
        </w:rPr>
        <w:t>Completion Date Supplemental Indenture</w:t>
      </w:r>
      <w:r>
        <w:rPr>
          <w:rFonts w:ascii="Times New Roman" w:hAnsi="Times New Roman"/>
          <w:sz w:val="20"/>
        </w:rPr>
        <w:t>”</w:t>
      </w:r>
      <w:r>
        <w:rPr>
          <w:rFonts w:ascii="Times New Roman;serif" w:hAnsi="Times New Roman;serif"/>
          <w:b w:val="false"/>
          <w:sz w:val="22"/>
        </w:rPr>
        <w:t>), dated as of ______________, among Connect Finco SARL (the “</w:t>
      </w:r>
      <w:r>
        <w:rPr>
          <w:rFonts w:ascii="Times New Roman;serif" w:hAnsi="Times New Roman;serif"/>
          <w:b w:val="false"/>
          <w:sz w:val="22"/>
          <w:u w:val="single"/>
        </w:rPr>
        <w:t>Luxembourg Issuer</w:t>
      </w:r>
      <w:r>
        <w:rPr>
          <w:rFonts w:ascii="Times New Roman" w:hAnsi="Times New Roman"/>
          <w:sz w:val="20"/>
        </w:rPr>
        <w:t>”</w:t>
      </w:r>
      <w:r>
        <w:rPr>
          <w:rFonts w:ascii="Times New Roman;serif" w:hAnsi="Times New Roman;serif"/>
          <w:b w:val="false"/>
          <w:sz w:val="22"/>
        </w:rPr>
        <w:t>) and Connect U.S. Finco LLC (the “</w:t>
      </w:r>
      <w:r>
        <w:rPr>
          <w:rFonts w:ascii="Times New Roman;serif" w:hAnsi="Times New Roman;serif"/>
          <w:b w:val="false"/>
          <w:sz w:val="22"/>
          <w:u w:val="single"/>
        </w:rPr>
        <w:t>U.S. Issuer,</w:t>
      </w:r>
      <w:r>
        <w:rPr>
          <w:rFonts w:ascii="Times New Roman" w:hAnsi="Times New Roman"/>
          <w:sz w:val="20"/>
        </w:rPr>
        <w:t xml:space="preserve">” </w:t>
      </w:r>
      <w:r>
        <w:rPr>
          <w:rFonts w:ascii="Times New Roman;serif" w:hAnsi="Times New Roman;serif"/>
          <w:b w:val="false"/>
          <w:sz w:val="22"/>
        </w:rPr>
        <w:t>together with the Luxembourg Issuer, the “</w:t>
      </w:r>
      <w:r>
        <w:rPr>
          <w:rFonts w:ascii="Times New Roman;serif" w:hAnsi="Times New Roman;serif"/>
          <w:b w:val="false"/>
          <w:sz w:val="22"/>
          <w:u w:val="single"/>
        </w:rPr>
        <w:t>Issuers</w:t>
      </w:r>
      <w:r>
        <w:rPr>
          <w:rFonts w:ascii="Times New Roman" w:hAnsi="Times New Roman"/>
          <w:sz w:val="20"/>
        </w:rPr>
        <w:t>”</w:t>
      </w:r>
      <w:r>
        <w:rPr>
          <w:rFonts w:ascii="Times New Roman;serif" w:hAnsi="Times New Roman;serif"/>
          <w:b w:val="false"/>
          <w:sz w:val="22"/>
        </w:rPr>
        <w:t>), the other parties that are signatories hereto as Guarantors (collectively, the “</w:t>
      </w:r>
      <w:r>
        <w:rPr>
          <w:rFonts w:ascii="Times New Roman;serif" w:hAnsi="Times New Roman;serif"/>
          <w:b w:val="false"/>
          <w:sz w:val="22"/>
          <w:u w:val="single"/>
        </w:rPr>
        <w:t>Completion Date Guarantors</w:t>
      </w:r>
      <w:r>
        <w:rPr>
          <w:rFonts w:ascii="Times New Roman" w:hAnsi="Times New Roman"/>
          <w:sz w:val="20"/>
        </w:rPr>
        <w:t>”</w:t>
      </w:r>
      <w:r>
        <w:rPr>
          <w:rFonts w:ascii="Times New Roman;serif" w:hAnsi="Times New Roman;serif"/>
          <w:b w:val="false"/>
          <w:sz w:val="22"/>
        </w:rPr>
        <w:t>) and Wilmington Trust, National Association, a national banking association, as trustee (the “</w:t>
      </w:r>
      <w:r>
        <w:rPr>
          <w:rFonts w:ascii="Times New Roman;serif" w:hAnsi="Times New Roman;serif"/>
          <w:b w:val="false"/>
          <w:sz w:val="22"/>
          <w:u w:val="single"/>
        </w:rPr>
        <w:t>Trustee</w:t>
      </w:r>
      <w:r>
        <w:rPr>
          <w:rFonts w:ascii="Times New Roman" w:hAnsi="Times New Roman"/>
          <w:sz w:val="20"/>
        </w:rPr>
        <w:t>”</w:t>
      </w:r>
      <w:r>
        <w:rPr>
          <w:rFonts w:ascii="Times New Roman;serif" w:hAnsi="Times New Roman;serif"/>
          <w:b w:val="false"/>
          <w:sz w:val="22"/>
        </w:rPr>
        <w:t>) and as notes collateral agent (the “</w:t>
      </w:r>
      <w:r>
        <w:rPr>
          <w:rFonts w:ascii="Times New Roman;serif" w:hAnsi="Times New Roman;serif"/>
          <w:b w:val="false"/>
          <w:sz w:val="22"/>
          <w:u w:val="single"/>
        </w:rPr>
        <w:t>Notes Collateral Agent</w:t>
      </w:r>
      <w:r>
        <w:rPr>
          <w:rFonts w:ascii="Times New Roman" w:hAnsi="Times New Roman"/>
          <w:sz w:val="20"/>
        </w:rPr>
        <w:t>”</w:t>
      </w:r>
      <w:r>
        <w:rPr>
          <w:rFonts w:ascii="Times New Roman;serif" w:hAnsi="Times New Roman;serif"/>
          <w:b w:val="false"/>
          <w:sz w:val="22"/>
        </w:rPr>
        <w:t>).</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W I T N E S S E T H</w:t>
      </w:r>
    </w:p>
    <w:p>
      <w:pPr>
        <w:pStyle w:val="TextBody"/>
        <w:bidi w:val="0"/>
        <w:spacing w:before="0" w:after="240"/>
        <w:jc w:val="left"/>
        <w:rPr>
          <w:rFonts w:ascii="Times New Roman" w:hAnsi="Times New Roman"/>
          <w:sz w:val="20"/>
        </w:rPr>
      </w:pPr>
      <w:r>
        <w:rPr>
          <w:rFonts w:ascii="Times New Roman;serif" w:hAnsi="Times New Roman;serif"/>
          <w:b w:val="false"/>
          <w:sz w:val="22"/>
        </w:rPr>
        <w:t>WHEREAS, each of the Issuers and the Guarantors (as defined in the Indenture referred to below) has heretofore executed and delivered to the Trustee and the Notes Collateral Agent an Indenture, dated as of October 7, 2019 (the “</w:t>
      </w:r>
      <w:r>
        <w:rPr>
          <w:rFonts w:ascii="Times New Roman;serif" w:hAnsi="Times New Roman;serif"/>
          <w:b w:val="false"/>
          <w:sz w:val="22"/>
          <w:u w:val="single"/>
        </w:rPr>
        <w:t>Initial Indenture</w:t>
      </w:r>
      <w:r>
        <w:rPr>
          <w:rFonts w:ascii="Times New Roman" w:hAnsi="Times New Roman"/>
          <w:sz w:val="20"/>
        </w:rPr>
        <w:t xml:space="preserve">” </w:t>
      </w:r>
      <w:r>
        <w:rPr>
          <w:rFonts w:ascii="Times New Roman;serif" w:hAnsi="Times New Roman;serif"/>
          <w:b w:val="false"/>
          <w:sz w:val="22"/>
        </w:rPr>
        <w:t>together with this Completion Date Supplemental Indenture, and as further amended and supplemented, the “</w:t>
      </w:r>
      <w:r>
        <w:rPr>
          <w:rFonts w:ascii="Times New Roman;serif" w:hAnsi="Times New Roman;serif"/>
          <w:b w:val="false"/>
          <w:sz w:val="22"/>
          <w:u w:val="single"/>
        </w:rPr>
        <w:t>Indenture</w:t>
      </w:r>
      <w:r>
        <w:rPr>
          <w:rFonts w:ascii="Times New Roman" w:hAnsi="Times New Roman"/>
          <w:sz w:val="20"/>
        </w:rPr>
        <w:t>”</w:t>
      </w:r>
      <w:r>
        <w:rPr>
          <w:rFonts w:ascii="Times New Roman;serif" w:hAnsi="Times New Roman;serif"/>
          <w:b w:val="false"/>
          <w:sz w:val="22"/>
        </w:rPr>
        <w:t>), providing for the issuance of an unlimited aggregate principal amount of 6.750% Senior Secured Notes due 2026 (the “</w:t>
      </w:r>
      <w:r>
        <w:rPr>
          <w:rFonts w:ascii="Times New Roman;serif" w:hAnsi="Times New Roman;serif"/>
          <w:b w:val="false"/>
          <w:sz w:val="22"/>
          <w:u w:val="single"/>
        </w:rPr>
        <w:t>Notes</w:t>
      </w:r>
      <w:r>
        <w:rPr>
          <w:rFonts w:ascii="Times New Roman" w:hAnsi="Times New Roman"/>
          <w:sz w:val="20"/>
        </w:rPr>
        <w:t>”</w:t>
      </w:r>
      <w:r>
        <w:rPr>
          <w:rFonts w:ascii="Times New Roman;serif" w:hAnsi="Times New Roman;serif"/>
          <w:b w:val="false"/>
          <w:sz w:val="22"/>
        </w:rPr>
        <w:t>);</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WHEREAS, the Initial Indenture permits the Transactions (including, without limitation, the Acquisition), provided that after the completion of the Acquisition, each of the Completion Date Guarantors shall expressly and unconditionally guarantee, on a joint and several basis, all of the Issuers’ Obligations under the Initial Indenture and the Notes; and</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WHEREAS, pursuant to Section 9.01 of the Initial Indenture, the Completion Date Guarantors, the Trustee and the Notes Collateral Agent are authorized to execute and deliver this Completion Date Supplemental Indenture to amend or supplement the Initial Indenture without the consent of any Holder of the Notes.</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NOW, THEREFORE, in consideration of the foregoing and for other good and valuable consideration, the receipt of which is hereby acknowledged, each of the Completion Date Guarantors, the Trustee and the Notes Collateral Agent mutually covenant and agree for the equal and ratable benefit of the Holders of the Notes as follows: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 </w:t>
      </w:r>
      <w:r>
        <w:rPr>
          <w:rFonts w:ascii="Times New Roman;serif" w:hAnsi="Times New Roman;serif"/>
          <w:b w:val="false"/>
          <w:sz w:val="22"/>
          <w:u w:val="single"/>
        </w:rPr>
        <w:t>Capitalized Terms</w:t>
      </w:r>
      <w:r>
        <w:rPr>
          <w:rFonts w:ascii="Times New Roman;serif" w:hAnsi="Times New Roman;serif"/>
          <w:b w:val="false"/>
          <w:sz w:val="22"/>
        </w:rPr>
        <w:t>. Capitalized terms used herein without definition shall have the meanings assigned to them in the Indenture.</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(2) </w:t>
      </w:r>
      <w:r>
        <w:rPr>
          <w:rFonts w:ascii="Times New Roman;serif" w:hAnsi="Times New Roman;serif"/>
          <w:b w:val="false"/>
          <w:sz w:val="22"/>
          <w:u w:val="single"/>
        </w:rPr>
        <w:t>Agreement to Guarantee</w:t>
      </w:r>
      <w:r>
        <w:rPr>
          <w:rFonts w:ascii="Times New Roman;serif" w:hAnsi="Times New Roman;serif"/>
          <w:b w:val="false"/>
          <w:sz w:val="22"/>
        </w:rPr>
        <w:t>. Each Completion Date Guarantor hereby agrees to be a Guarantor under the Initial Indenture and to be bound by the terms of the Initial Indenture applicable to a Guarantor, including Article 10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(3) </w:t>
      </w:r>
      <w:r>
        <w:rPr>
          <w:rFonts w:ascii="Times New Roman;serif" w:hAnsi="Times New Roman;serif"/>
          <w:b w:val="false"/>
          <w:sz w:val="22"/>
          <w:u w:val="single"/>
        </w:rPr>
        <w:t>Execution and Delivery</w:t>
      </w:r>
      <w:r>
        <w:rPr>
          <w:rFonts w:ascii="Times New Roman;serif" w:hAnsi="Times New Roman;serif"/>
          <w:b w:val="false"/>
          <w:sz w:val="22"/>
        </w:rPr>
        <w:t>. Each Completion Date Guarantor agrees that its Guarantee shall remain in full force and effect notwithstanding the absence of the endorsement of any notation of such Guarantee on the Notes.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(4) </w:t>
      </w:r>
      <w:r>
        <w:rPr>
          <w:rFonts w:ascii="Times New Roman;serif" w:hAnsi="Times New Roman;serif"/>
          <w:b w:val="false"/>
          <w:sz w:val="22"/>
          <w:u w:val="single"/>
        </w:rPr>
        <w:t>Governing Law</w:t>
      </w:r>
      <w:r>
        <w:rPr>
          <w:rFonts w:ascii="Times New Roman;serif" w:hAnsi="Times New Roman;serif"/>
          <w:b w:val="false"/>
          <w:sz w:val="22"/>
        </w:rPr>
        <w:t>. THIS COMPLETION DATE SUPPLEMENTAL INDENTURE, AND ANY CLAIM, CONTROVERSY OR DISPUTE ARISING UNDER OR RELATED TO THIS COMPLETION DATE SUPPLEMENTAL INDENTURE, WILL BE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F-1</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2"/>
        </w:rPr>
      </w:pPr>
      <w:r>
        <w:rPr>
          <w:rFonts w:ascii="Times New Roman;serif" w:hAnsi="Times New Roman;serif"/>
          <w:b w:val="false"/>
          <w:sz w:val="22"/>
        </w:rPr>
        <w:t>GOVERNED BY, AND CONSTRUED IN ACCORDANCE WITH, THE LAWS OF THE STATE OF NEW YORK.</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(5) </w:t>
      </w:r>
      <w:r>
        <w:rPr>
          <w:rFonts w:ascii="Times New Roman;serif" w:hAnsi="Times New Roman;serif"/>
          <w:b w:val="false"/>
          <w:sz w:val="22"/>
          <w:u w:val="single"/>
        </w:rPr>
        <w:t>Counterparts</w:t>
      </w:r>
      <w:r>
        <w:rPr>
          <w:rFonts w:ascii="Times New Roman;serif" w:hAnsi="Times New Roman;serif"/>
          <w:b w:val="false"/>
          <w:sz w:val="22"/>
        </w:rPr>
        <w:t>. The parties may sign any number of copies of this Completion Date Supplemental Indenture. Each signed copy shall be an original, but all of them together represent the same agreement. This Completion Date Supplemental Indenture may be executed in multiple counterparts which, when taken together, shall constitute one instrument. The exchange of copies of this Completion Date Supplemental Indenture and of signature pages by facsimile or PDF transmissions shall constitute effective execution and delivery of this Completion Date Supplemental Indenture as to the parties hereto and may be used in lieu of the original Completion Date Supplemental Indenture for all purposes. Signatures of the parties hereto transmitted by facsimile or PDF shall be deemed to be their original signatures for all purposes.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(6) </w:t>
      </w:r>
      <w:r>
        <w:rPr>
          <w:rFonts w:ascii="Times New Roman;serif" w:hAnsi="Times New Roman;serif"/>
          <w:b w:val="false"/>
          <w:sz w:val="22"/>
          <w:u w:val="single"/>
        </w:rPr>
        <w:t>Effect of Headings</w:t>
      </w:r>
      <w:r>
        <w:rPr>
          <w:rFonts w:ascii="Times New Roman;serif" w:hAnsi="Times New Roman;serif"/>
          <w:b w:val="false"/>
          <w:sz w:val="22"/>
        </w:rPr>
        <w:t>. The Section headings herein are for convenience only and shall not affect the construction hereof.</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(7) </w:t>
      </w:r>
      <w:r>
        <w:rPr>
          <w:rFonts w:ascii="Times New Roman;serif" w:hAnsi="Times New Roman;serif"/>
          <w:b w:val="false"/>
          <w:sz w:val="22"/>
          <w:u w:val="single"/>
        </w:rPr>
        <w:t>The Trustee and the Notes Collateral Agent</w:t>
      </w:r>
      <w:r>
        <w:rPr>
          <w:rFonts w:ascii="Times New Roman;serif" w:hAnsi="Times New Roman;serif"/>
          <w:b w:val="false"/>
          <w:sz w:val="22"/>
        </w:rPr>
        <w:t>. Neither the Trustee nor the Notes Collateral Agent shall be responsible in any manner whatsoever for or in respect of the validity or sufficiency of this Completion Date Supplemental Indenture or for or in respect of the recitals contained herein, all of which recitals are made solely by the Completion Date Guarantors.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(8) </w:t>
      </w:r>
      <w:r>
        <w:rPr>
          <w:rFonts w:ascii="Times New Roman;serif" w:hAnsi="Times New Roman;serif"/>
          <w:b w:val="false"/>
          <w:sz w:val="22"/>
          <w:u w:val="single"/>
        </w:rPr>
        <w:t>Benefits Acknowledged</w:t>
      </w:r>
      <w:r>
        <w:rPr>
          <w:rFonts w:ascii="Times New Roman;serif" w:hAnsi="Times New Roman;serif"/>
          <w:b w:val="false"/>
          <w:sz w:val="22"/>
        </w:rPr>
        <w:t>. The Completion Date Guarantors’ Guarantees are subject to the terms and conditions set forth in the Indenture. Each Completion Date Guarantor acknowledges that it will receive direct and indirect benefits from the financing arrangements contemplated by the Initial Indenture and this Completion Date Supplemental Indenture and that the guarantee and waivers made by it pursuant to its Guarantee are knowingly made in contemplation of such benefits.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(9) </w:t>
      </w:r>
      <w:r>
        <w:rPr>
          <w:rFonts w:ascii="Times New Roman;serif" w:hAnsi="Times New Roman;serif"/>
          <w:b w:val="false"/>
          <w:sz w:val="22"/>
          <w:u w:val="single"/>
        </w:rPr>
        <w:t>Successors</w:t>
      </w:r>
      <w:r>
        <w:rPr>
          <w:rFonts w:ascii="Times New Roman;serif" w:hAnsi="Times New Roman;serif"/>
          <w:b w:val="false"/>
          <w:sz w:val="22"/>
        </w:rPr>
        <w:t>. All agreements of the Completion Date Guarantors in this Completion Date Supplemental Indenture shall bind their respective successors, except as otherwise provided in this Completion Date Supplemental Indenture. All agreements of the Trustee and the Notes Collateral Agent in this Completion Date Supplemental Indenture shall bind their respective successors.</w:t>
      </w:r>
    </w:p>
    <w:p>
      <w:pPr>
        <w:pStyle w:val="TextBody"/>
        <w:bidi w:val="0"/>
        <w:spacing w:before="0" w:after="240"/>
        <w:jc w:val="left"/>
        <w:rPr>
          <w:rFonts w:ascii="Times New Roman" w:hAnsi="Times New Roman"/>
          <w:sz w:val="20"/>
        </w:rPr>
      </w:pPr>
      <w:r>
        <w:rPr>
          <w:rFonts w:ascii="Times New Roman;serif" w:hAnsi="Times New Roman;serif"/>
          <w:b w:val="false"/>
          <w:sz w:val="22"/>
        </w:rPr>
        <w:t xml:space="preserve">(10) </w:t>
      </w:r>
      <w:r>
        <w:rPr>
          <w:rFonts w:ascii="Times New Roman;serif" w:hAnsi="Times New Roman;serif"/>
          <w:b w:val="false"/>
          <w:sz w:val="22"/>
          <w:u w:val="single"/>
        </w:rPr>
        <w:t>Ratification of Indenture; Supplemental Indentures Part of Indenture</w:t>
      </w:r>
      <w:r>
        <w:rPr>
          <w:rFonts w:ascii="Times New Roman;serif" w:hAnsi="Times New Roman;serif"/>
          <w:b w:val="false"/>
          <w:sz w:val="22"/>
        </w:rPr>
        <w:t>. Except as expressly amended hereby, the Indenture is in all respects ratified and confirmed and all the terms, conditions and provisions thereof shall remain in full force and effect. This Completion Date Supplemental Indenture shall form a part of the Indenture for all purposes, and every Holder shall be bound hereby.</w:t>
      </w:r>
    </w:p>
    <w:p>
      <w:pPr>
        <w:pStyle w:val="TextBody"/>
        <w:bidi w:val="0"/>
        <w:spacing w:before="0" w:after="240"/>
        <w:jc w:val="center"/>
        <w:rPr>
          <w:rFonts w:ascii="Times New Roman;serif" w:hAnsi="Times New Roman;serif"/>
          <w:b w:val="false"/>
          <w:sz w:val="22"/>
        </w:rPr>
      </w:pPr>
      <w:r>
        <w:rPr>
          <w:rFonts w:ascii="Times New Roman;serif" w:hAnsi="Times New Roman;serif"/>
          <w:b w:val="false"/>
          <w:sz w:val="22"/>
        </w:rPr>
        <w:t>[Signature Page Follows]</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F-2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IN WITNESS WHEREOF, the parties hereto have caused this Completion Date Supplemental Indenture to be duly executed, all as of the date first above written.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[COMPLETION DATE GUARANTORS]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br/>
      </w:r>
      <w:r>
        <w:rPr>
          <w:rFonts w:ascii="Times New Roman;serif" w:hAnsi="Times New Roman;serif"/>
          <w:b w:val="false"/>
          <w:sz w:val="22"/>
        </w:rPr>
        <w:t xml:space="preserve">Name: </w:t>
        <w:b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caps/>
          <w:sz w:val="22"/>
        </w:rPr>
        <w:t>WILMINGTON TRUST, national Association</w:t>
      </w:r>
      <w:r>
        <w:rPr>
          <w:rFonts w:ascii="Times New Roman;serif" w:hAnsi="Times New Roman;serif"/>
          <w:b w:val="false"/>
          <w:sz w:val="22"/>
        </w:rPr>
        <w:t>, as Trustee and as Notes Collateral Agent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br/>
      </w:r>
      <w:r>
        <w:rPr>
          <w:rFonts w:ascii="Times New Roman;serif" w:hAnsi="Times New Roman;serif"/>
          <w:b w:val="false"/>
          <w:sz w:val="22"/>
        </w:rPr>
        <w:t xml:space="preserve">Name: </w:t>
        <w:br/>
        <w:t>Title: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2"/>
        </w:rPr>
      </w:pPr>
      <w:r>
        <w:rPr>
          <w:rFonts w:ascii="Times New Roman;serif" w:hAnsi="Times New Roman;serif"/>
          <w:b w:val="false"/>
          <w:sz w:val="22"/>
        </w:rPr>
        <w:t>F-3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|US-DOCS\143900591.2||</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60" w:name="vsat-ex10_4.htm"/>
      <w:bookmarkStart w:id="61" w:name="ksvsatex10_4"/>
      <w:bookmarkEnd w:id="60"/>
      <w:bookmarkEnd w:id="61"/>
      <w:r>
        <w:rPr>
          <w:rFonts w:ascii="Times New Roman;serif" w:hAnsi="Times New Roman;serif"/>
          <w:b/>
          <w:sz w:val="22"/>
        </w:rPr>
        <w:t>Exhibit 10.4</w:t>
      </w:r>
      <w:r>
        <w:br w:type="page"/>
      </w:r>
    </w:p>
    <w:p>
      <w:pPr>
        <w:pStyle w:val="TextBody"/>
        <w:bidi w:val="0"/>
        <w:spacing w:before="0" w:after="0"/>
        <w:jc w:val="right"/>
        <w:rPr/>
      </w:pPr>
      <w:r>
        <w:rPr/>
        <w:t> </w:t>
      </w:r>
    </w:p>
    <w:p>
      <w:pPr>
        <w:pStyle w:val="TextBody"/>
        <w:bidi w:val="0"/>
        <w:spacing w:before="0" w:after="0"/>
        <w:jc w:val="right"/>
        <w:rPr>
          <w:rFonts w:ascii="Times New Roman;serif" w:hAnsi="Times New Roman;serif"/>
          <w:b/>
          <w:sz w:val="22"/>
        </w:rPr>
      </w:pPr>
      <w:r>
        <w:rPr>
          <w:rFonts w:ascii="Times New Roman;serif" w:hAnsi="Times New Roman;serif"/>
          <w:b/>
          <w:sz w:val="22"/>
        </w:rPr>
        <w:t>EXECUTION VERSION</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val="false"/>
          <w:sz w:val="20"/>
        </w:rPr>
      </w:pPr>
      <w:bookmarkStart w:id="62" w:name="continuesearch"/>
      <w:bookmarkEnd w:id="62"/>
      <w:r>
        <w:rPr>
          <w:rFonts w:ascii="Times New Roman;serif" w:hAnsi="Times New Roman;serif"/>
          <w:b w:val="false"/>
          <w:sz w:val="20"/>
        </w:rPr>
        <w:t>CREDIT AGREEMENT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dated as of</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December 12, 2019</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among</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CONNECT MIDCO LIMITED,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Initial Holdings,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CONNECT BIDCO LIMITED,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Bidco,</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CONNECT FINCO SARL,</w:t>
        <w:br/>
        <w:t>as the Finco Borrower and the Borrower Representative,</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CONNECT U.S. FINCO LLC,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the U.S. Borrower,</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certain Restricted Subsidiaries of Bidco from time to time party hereto,</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as Additional Borrowers,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Lenders and Issuing Banks party hereto</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and</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BARCLAYS BANK PLC,</w:t>
        <w:br/>
        <w:t>as Administrative Agent and Collateral Agent</w:t>
        <w:br/>
        <w:t>___________________________</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BARCLAYS BANK PLC,</w:t>
        <w:br/>
        <w:t>BOFA SECURITIES,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and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UBS SECURITIES LLC,</w:t>
        <w:br/>
        <w:t>as Joint Global Coordinators and Joint Lead Arrangers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BARCLAYS BANK PLC,</w:t>
        <w:br/>
        <w:t>BOFA SECURITIES, INC.,</w:t>
        <w:br/>
        <w:t>UBS SECURITIES LLC,</w:t>
        <w:br/>
        <w:t>BNP PARIBAS FORTIS S.A./N.V.,</w:t>
        <w:br/>
        <w:t>HSBC BANK PLC,</w:t>
        <w:br/>
        <w:t>ING BANK N.V.,</w:t>
        <w:br/>
        <w:t>NATIXIS, NEW YORK BRANCH,</w:t>
        <w:br/>
        <w:t>NATWEST MARKETS PLC,</w:t>
        <w:br/>
        <w:t>SUMITOMO MITSUI BANKING CORPORATION,</w:t>
        <w:br/>
        <w:t>BANCA IMI S.P.A., LONDON BRANCH,</w:t>
        <w:br/>
        <w:t>MUFG BANK, LTD.,</w:t>
        <w:br/>
        <w:t>DNB (UK) LIMITED,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BANK OF NOVA SCOTIA, LONDON BRANCH</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and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MIZUHO BANK, LTD.,</w:t>
        <w:br/>
        <w:t>as Joint Bookrunners</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0"/>
        </w:rPr>
      </w:pPr>
      <w:r>
        <w:rPr>
          <w:rFonts w:ascii="Times New Roman;serif" w:hAnsi="Times New Roman;serif"/>
          <w:b w:val="false"/>
          <w:sz w:val="10"/>
        </w:rPr>
        <w:t>28804.00019</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serif" w:hAnsi="Times New Roman;serif"/>
          <w:b/>
          <w:caps/>
          <w:sz w:val="22"/>
        </w:rPr>
      </w:pPr>
      <w:r>
        <w:rPr>
          <w:rFonts w:ascii="Times New Roman;serif" w:hAnsi="Times New Roman;serif"/>
          <w:b/>
          <w:caps/>
          <w:sz w:val="22"/>
        </w:rPr>
        <w:t>Table of Contents</w:t>
      </w:r>
    </w:p>
    <w:p>
      <w:pPr>
        <w:pStyle w:val="TextBody"/>
        <w:bidi w:val="0"/>
        <w:spacing w:before="0" w:after="240"/>
        <w:jc w:val="right"/>
        <w:rPr>
          <w:rFonts w:ascii="Times New Roman;serif" w:hAnsi="Times New Roman;serif"/>
          <w:b/>
          <w:sz w:val="22"/>
        </w:rPr>
      </w:pPr>
      <w:r>
        <w:rPr>
          <w:rFonts w:ascii="Times New Roman;serif" w:hAnsi="Times New Roman;serif"/>
          <w:b/>
          <w:sz w:val="22"/>
        </w:rPr>
        <w:t>Page</w:t>
      </w:r>
    </w:p>
    <w:tbl>
      <w:tblPr>
        <w:tblW w:w="9753" w:type="dxa"/>
        <w:jc w:val="left"/>
        <w:tblInd w:w="0" w:type="dxa"/>
        <w:tblLayout w:type="fixed"/>
        <w:tblCellMar>
          <w:top w:w="28" w:type="dxa"/>
          <w:left w:w="28" w:type="dxa"/>
          <w:bottom w:w="28" w:type="dxa"/>
          <w:right w:w="28" w:type="dxa"/>
        </w:tblCellMar>
      </w:tblPr>
      <w:tblGrid>
        <w:gridCol w:w="1636"/>
        <w:gridCol w:w="5806"/>
        <w:gridCol w:w="2311"/>
      </w:tblGrid>
      <w:tr>
        <w:trPr/>
        <w:tc>
          <w:tcPr>
            <w:tcW w:w="1636" w:type="dxa"/>
            <w:tcBorders/>
            <w:vAlign w:val="center"/>
          </w:tcPr>
          <w:p>
            <w:pPr>
              <w:pStyle w:val="TableContents"/>
              <w:bidi w:val="0"/>
              <w:spacing w:before="0" w:after="283"/>
              <w:jc w:val="left"/>
              <w:rPr>
                <w:sz w:val="4"/>
                <w:szCs w:val="4"/>
              </w:rPr>
            </w:pPr>
            <w:r>
              <w:rPr>
                <w:sz w:val="4"/>
                <w:szCs w:val="4"/>
              </w:rPr>
            </w:r>
          </w:p>
        </w:tc>
        <w:tc>
          <w:tcPr>
            <w:tcW w:w="580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9753"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I</w:t>
              <w:br/>
              <w:br/>
              <w:t>Definitions</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1.01</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Defined Terms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1.02</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Classification of Loans and Borrowings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1.03</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Terms Generally</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1.04</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Accounting Terms; IFRS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1.05</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Effectuation of Transactions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1.06</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Limited Condition Transactions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1.07</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Certain Determinations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1.08</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Additional Alternative Currencies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1.09</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Currency Equivalents Generally</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1.10</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Divisions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1.11</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Agreed Security Principles; Guarantee Limitations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1.12</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Additional Borrowers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1.13</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Borrower Representative</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1.14</w:t>
            </w:r>
          </w:p>
        </w:tc>
        <w:tc>
          <w:tcPr>
            <w:tcW w:w="5806" w:type="dxa"/>
            <w:tcBorders/>
            <w:vAlign w:val="center"/>
          </w:tcPr>
          <w:p>
            <w:pPr>
              <w:pStyle w:val="TableContents"/>
              <w:bidi w:val="0"/>
              <w:spacing w:before="0" w:after="0"/>
              <w:ind w:left="0" w:right="0" w:hanging="0"/>
              <w:jc w:val="left"/>
              <w:rPr>
                <w:rFonts w:ascii="Times New Roman" w:hAnsi="Times New Roman"/>
                <w:sz w:val="24"/>
              </w:rPr>
            </w:pPr>
            <w:r>
              <w:rPr>
                <w:rFonts w:ascii="Times New Roman;serif" w:hAnsi="Times New Roman;serif"/>
                <w:b w:val="false"/>
                <w:sz w:val="24"/>
              </w:rPr>
              <w:t>Guernsey</w:t>
            </w:r>
            <w:r>
              <w:rPr>
                <w:rFonts w:ascii="Times New Roman" w:hAnsi="Times New Roman"/>
                <w:sz w:val="24"/>
              </w:rPr>
              <w:t xml:space="preserve"> </w:t>
            </w:r>
            <w:r>
              <w:rPr>
                <w:rFonts w:ascii="Times New Roman;serif" w:hAnsi="Times New Roman;serif"/>
                <w:b w:val="false"/>
                <w:sz w:val="24"/>
              </w:rPr>
              <w:t>Customary Law</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97</w:t>
            </w:r>
          </w:p>
        </w:tc>
      </w:tr>
      <w:tr>
        <w:trPr/>
        <w:tc>
          <w:tcPr>
            <w:tcW w:w="9753"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II</w:t>
              <w:br/>
              <w:br/>
              <w:t>The Credits</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2.01</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Commitments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2.02</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Loans and Borrowings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98</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2.03</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Requests for Borrowings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98</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2.04</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Letters of Credit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99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2.05</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Funding of Borrowings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106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2.06</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Interest Elections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106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2.07</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Termination and Reduction of Commitments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108</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2.08</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Repayment of Loans; Evidence of Debt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108</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2.09</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Amortization of Term Loans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109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2.10</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Prepayment of Loans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110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2.11</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Fees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2.12</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Interest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2.13</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Alternate Rate of Interest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2.14</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Increased Costs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2.15</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Break Funding Payments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2.16</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Taxes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2.17</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Payments Generally; Pro Rata Treatment; Sharing of Setoffs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129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2.18</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Mitigation Obligations; Replacement of Lenders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131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2.19</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Incremental Credit Extensions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131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2.20</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Refinancing Amendments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134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2.21</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Defaulting Lenders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135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2.22</w:t>
            </w:r>
          </w:p>
        </w:tc>
        <w:tc>
          <w:tcPr>
            <w:tcW w:w="580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Illegality</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136</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Table of Contents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(continued)</w:t>
      </w:r>
    </w:p>
    <w:p>
      <w:pPr>
        <w:pStyle w:val="TextBody"/>
        <w:bidi w:val="0"/>
        <w:spacing w:before="0" w:after="240"/>
        <w:jc w:val="right"/>
        <w:rPr>
          <w:rFonts w:ascii="Times New Roman;serif" w:hAnsi="Times New Roman;serif"/>
          <w:b/>
          <w:sz w:val="22"/>
        </w:rPr>
      </w:pPr>
      <w:r>
        <w:rPr>
          <w:rFonts w:ascii="Times New Roman;serif" w:hAnsi="Times New Roman;serif"/>
          <w:b/>
          <w:sz w:val="22"/>
        </w:rPr>
        <w:t>Page</w:t>
      </w:r>
    </w:p>
    <w:tbl>
      <w:tblPr>
        <w:tblW w:w="9318" w:type="dxa"/>
        <w:jc w:val="left"/>
        <w:tblInd w:w="0" w:type="dxa"/>
        <w:tblLayout w:type="fixed"/>
        <w:tblCellMar>
          <w:top w:w="28" w:type="dxa"/>
          <w:left w:w="28" w:type="dxa"/>
          <w:bottom w:w="28" w:type="dxa"/>
          <w:right w:w="28" w:type="dxa"/>
        </w:tblCellMar>
      </w:tblPr>
      <w:tblGrid>
        <w:gridCol w:w="1636"/>
        <w:gridCol w:w="5371"/>
        <w:gridCol w:w="2311"/>
      </w:tblGrid>
      <w:tr>
        <w:trPr/>
        <w:tc>
          <w:tcPr>
            <w:tcW w:w="163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2.23</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Loan Modification Offers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137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2.24</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Swingline Loans</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138</w:t>
            </w:r>
          </w:p>
        </w:tc>
      </w:tr>
      <w:tr>
        <w:trPr/>
        <w:tc>
          <w:tcPr>
            <w:tcW w:w="9318"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III</w:t>
              <w:br/>
              <w:br/>
              <w:t>Representations and Warranties</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3.01</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Organization; Powers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3.02</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Authorization; Enforceability</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3.03</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Governmental Approvals; No Conflicts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3.04</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 Material Adverse Effect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3.05</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Properties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3.06</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Litigation and Environmental Matters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3.07</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Compliance with Laws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3.08</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Investment Company Status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3.09</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Taxes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3.10</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ERISA</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3.11</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Disclosure</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3.12</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Subsidiaries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3.13</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Intellectual Property; Licenses, Etc.</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3.14</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Solvency</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3.15</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Senior Indebtedness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3.16</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Federal Reserve Regulations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3.17</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Use of Proceeds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3.18</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Anti-Corruption Laws; Sanctions; USA PATRIOT Act</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144</w:t>
            </w:r>
          </w:p>
        </w:tc>
      </w:tr>
      <w:tr>
        <w:trPr/>
        <w:tc>
          <w:tcPr>
            <w:tcW w:w="9318"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IV</w:t>
              <w:br/>
              <w:br/>
              <w:t>Conditions</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4.01</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Effective Date and Certain Funds Utilization</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4.02</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Each Credit Event</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147</w:t>
            </w:r>
          </w:p>
        </w:tc>
      </w:tr>
      <w:tr>
        <w:trPr/>
        <w:tc>
          <w:tcPr>
            <w:tcW w:w="9318"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V</w:t>
              <w:br/>
              <w:br/>
              <w:t>Affirmative Covenants</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5.01</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Financial Statements and Other Information</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148</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5.02</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Notices of Material Events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5.03</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Information Regarding Collateral</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5.04</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Existence; Conduct of Business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5.05</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Payment of Taxes, Etc.</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5.06</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Maintenance of Properties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5.07</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Insurance</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5.08</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Books and Records; Inspection and Audit Rights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5.09</w:t>
            </w:r>
          </w:p>
        </w:tc>
        <w:tc>
          <w:tcPr>
            <w:tcW w:w="5371"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Compliance with Laws</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153</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-ii-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Table of Contents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(continued)</w:t>
      </w:r>
    </w:p>
    <w:p>
      <w:pPr>
        <w:pStyle w:val="TextBody"/>
        <w:bidi w:val="0"/>
        <w:spacing w:before="0" w:after="240"/>
        <w:jc w:val="right"/>
        <w:rPr>
          <w:rFonts w:ascii="Times New Roman;serif" w:hAnsi="Times New Roman;serif"/>
          <w:b/>
          <w:sz w:val="22"/>
        </w:rPr>
      </w:pPr>
      <w:r>
        <w:rPr>
          <w:rFonts w:ascii="Times New Roman;serif" w:hAnsi="Times New Roman;serif"/>
          <w:b/>
          <w:sz w:val="22"/>
        </w:rPr>
        <w:t>Page</w:t>
      </w:r>
    </w:p>
    <w:tbl>
      <w:tblPr>
        <w:tblW w:w="9603" w:type="dxa"/>
        <w:jc w:val="left"/>
        <w:tblInd w:w="0" w:type="dxa"/>
        <w:tblLayout w:type="fixed"/>
        <w:tblCellMar>
          <w:top w:w="28" w:type="dxa"/>
          <w:left w:w="28" w:type="dxa"/>
          <w:bottom w:w="28" w:type="dxa"/>
          <w:right w:w="28" w:type="dxa"/>
        </w:tblCellMar>
      </w:tblPr>
      <w:tblGrid>
        <w:gridCol w:w="1636"/>
        <w:gridCol w:w="5656"/>
        <w:gridCol w:w="2311"/>
      </w:tblGrid>
      <w:tr>
        <w:trPr/>
        <w:tc>
          <w:tcPr>
            <w:tcW w:w="163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5.10</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Use of Proceeds and Letters of Credit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5.11</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Additional Subsidiaries; Guarantor Coverage Test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5.12</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Further Assurances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5.13</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Designation of Subsidiaries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155</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5.14</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Certain Post-Closing Obligations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5.15</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Maintenance of Rating of Bidco and the Facilities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5.16</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Lines of Business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5.17</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Transactions with Affiliates.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156</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5.18</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Refinancing</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5.19</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Acquisition Undertakings</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157</w:t>
            </w:r>
          </w:p>
        </w:tc>
      </w:tr>
      <w:tr>
        <w:trPr/>
        <w:tc>
          <w:tcPr>
            <w:tcW w:w="9603"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VI</w:t>
              <w:br/>
              <w:br/>
              <w:t>Negative Covenants.</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6.01</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Indebtedness; Certain Equity Securities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157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6.02</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Liens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167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6.03</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Fundamental Changes; Holdings Covenant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167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6.04</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Asset Sales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169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6.05</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Limitation on Restricted Payments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171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6.06</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Restrictive Agreements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180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6.07</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Financial Performance Covenant</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183</w:t>
            </w:r>
          </w:p>
        </w:tc>
      </w:tr>
      <w:tr>
        <w:trPr/>
        <w:tc>
          <w:tcPr>
            <w:tcW w:w="9603"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VII</w:t>
              <w:br/>
              <w:br/>
              <w:t>Events of Default</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7.01</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Events of Default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183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7.02</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Right to Cure</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187</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7.03</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Application of Proceeds</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188</w:t>
            </w:r>
          </w:p>
        </w:tc>
      </w:tr>
      <w:tr>
        <w:trPr/>
        <w:tc>
          <w:tcPr>
            <w:tcW w:w="9603"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VIII</w:t>
              <w:br/>
              <w:br/>
              <w:t>Administrative Agent</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8.01</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Appointment and Authority</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189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8.02</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Rights as a Lender</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189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8.03</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Exculpatory Provisions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189</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8.04</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Reliance by Administrative Agent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190</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8.05</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Delegation of Duties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8.06</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Resignation of Administrative Agent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191</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8.07</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Non-Reliance on Administrative Agent and Other Lenders</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192</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8.08</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 Other Duties, Etc.</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8.09</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Administrative Agent May File Proofs of Claim</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193</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8.10</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 Waiver; Cumulative Remedies; Enforcement</w:t>
            </w:r>
          </w:p>
        </w:tc>
        <w:tc>
          <w:tcPr>
            <w:tcW w:w="2311"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194</w:t>
            </w:r>
          </w:p>
        </w:tc>
      </w:tr>
      <w:tr>
        <w:trPr/>
        <w:tc>
          <w:tcPr>
            <w:tcW w:w="1636"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8.11</w:t>
            </w:r>
          </w:p>
        </w:tc>
        <w:tc>
          <w:tcPr>
            <w:tcW w:w="565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Withholding Taxes</w:t>
            </w:r>
          </w:p>
        </w:tc>
        <w:tc>
          <w:tcPr>
            <w:tcW w:w="23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194</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-iii-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Table of Contents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(continued)</w:t>
      </w:r>
    </w:p>
    <w:p>
      <w:pPr>
        <w:pStyle w:val="TextBody"/>
        <w:bidi w:val="0"/>
        <w:spacing w:before="0" w:after="240"/>
        <w:jc w:val="right"/>
        <w:rPr>
          <w:rFonts w:ascii="Times New Roman;serif" w:hAnsi="Times New Roman;serif"/>
          <w:b/>
          <w:sz w:val="22"/>
        </w:rPr>
      </w:pPr>
      <w:r>
        <w:rPr>
          <w:rFonts w:ascii="Times New Roman;serif" w:hAnsi="Times New Roman;serif"/>
          <w:b/>
          <w:sz w:val="22"/>
        </w:rPr>
        <w:t>Page</w:t>
      </w:r>
    </w:p>
    <w:tbl>
      <w:tblPr>
        <w:tblW w:w="10205" w:type="dxa"/>
        <w:jc w:val="left"/>
        <w:tblInd w:w="0" w:type="dxa"/>
        <w:tblLayout w:type="fixed"/>
        <w:tblCellMar>
          <w:top w:w="28" w:type="dxa"/>
          <w:left w:w="28" w:type="dxa"/>
          <w:bottom w:w="28" w:type="dxa"/>
          <w:right w:w="28" w:type="dxa"/>
        </w:tblCellMar>
      </w:tblPr>
      <w:tblGrid>
        <w:gridCol w:w="1480"/>
        <w:gridCol w:w="6413"/>
        <w:gridCol w:w="2312"/>
      </w:tblGrid>
      <w:tr>
        <w:trPr/>
        <w:tc>
          <w:tcPr>
            <w:tcW w:w="1480" w:type="dxa"/>
            <w:tcBorders/>
            <w:vAlign w:val="center"/>
          </w:tcPr>
          <w:p>
            <w:pPr>
              <w:pStyle w:val="TableContents"/>
              <w:bidi w:val="0"/>
              <w:spacing w:before="0" w:after="283"/>
              <w:jc w:val="left"/>
              <w:rPr>
                <w:sz w:val="4"/>
                <w:szCs w:val="4"/>
              </w:rPr>
            </w:pPr>
            <w:r>
              <w:rPr>
                <w:sz w:val="4"/>
                <w:szCs w:val="4"/>
              </w:rPr>
            </w:r>
          </w:p>
        </w:tc>
        <w:tc>
          <w:tcPr>
            <w:tcW w:w="6413"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8.12</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Certain ERISA Matters</w:t>
            </w:r>
          </w:p>
        </w:tc>
        <w:tc>
          <w:tcPr>
            <w:tcW w:w="2312"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195</w:t>
            </w:r>
          </w:p>
        </w:tc>
      </w:tr>
      <w:tr>
        <w:trPr/>
        <w:tc>
          <w:tcPr>
            <w:tcW w:w="10205" w:type="dxa"/>
            <w:gridSpan w:val="3"/>
            <w:tcBorders/>
            <w:vAlign w:val="center"/>
          </w:tcPr>
          <w:p>
            <w:pPr>
              <w:pStyle w:val="TableContents"/>
              <w:bidi w:val="0"/>
              <w:spacing w:before="240" w:after="240"/>
              <w:ind w:left="0" w:right="0" w:firstLine="1800"/>
              <w:jc w:val="center"/>
              <w:rPr>
                <w:rFonts w:ascii="Times New Roman;serif" w:hAnsi="Times New Roman;serif"/>
                <w:b w:val="false"/>
                <w:caps/>
                <w:sz w:val="24"/>
              </w:rPr>
            </w:pPr>
            <w:r>
              <w:rPr>
                <w:rFonts w:ascii="Times New Roman;serif" w:hAnsi="Times New Roman;serif"/>
                <w:b w:val="false"/>
                <w:caps/>
                <w:sz w:val="24"/>
              </w:rPr>
              <w:t>Article IX</w:t>
              <w:br/>
              <w:br/>
              <w:t>Miscellaneous</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9.01</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Notices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195</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9.02</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Waivers; Amendments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197</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9.03</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Expenses; Indemnity; Damage Waiver</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201</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9.04</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Successors and Assigns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204</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9.05</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Survival</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210</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9.06</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Counterparts; Integration; Effectiveness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211</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9.07</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Severability</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211</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9.08</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Right of Setoff</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211</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9.09</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Governing Law; Jurisdiction; Consent to Service of Process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212</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9.10</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WAIVER OF JURY TRIAL</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213</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9.11</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Headings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213</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9.12</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Confidentiality</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213</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9.13</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USA PATRIOT Act</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214</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9.14</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Release of Liens and Guarantees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215</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9.15</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No Advisory or Fiduciary Responsibility</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216</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9.16</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Interest Rate Limitation</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216</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9.17</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Intercreditor Agreements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216</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9.18</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Cashless Settlement</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217</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9.19</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Acknowledgement and Consent to Bail-In of EEA Financial Institutions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217</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9.20</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Acknowledgement Regarding Any Supported QFCs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218</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9.21</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Joint and Several Liability</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218</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9.22</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Judgment Currency</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219</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9.23</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Lender Affiliates and Facility Offices</w:t>
            </w:r>
          </w:p>
        </w:tc>
        <w:tc>
          <w:tcPr>
            <w:tcW w:w="2312" w:type="dxa"/>
            <w:tcBorders/>
            <w:vAlign w:val="center"/>
          </w:tcPr>
          <w:p>
            <w:pPr>
              <w:pStyle w:val="TableContents"/>
              <w:bidi w:val="0"/>
              <w:spacing w:before="0" w:after="0"/>
              <w:ind w:left="0" w:right="0" w:firstLine="1800"/>
              <w:jc w:val="right"/>
              <w:rPr>
                <w:rFonts w:ascii="Times New Roman;serif" w:hAnsi="Times New Roman;serif"/>
                <w:b w:val="false"/>
                <w:sz w:val="24"/>
              </w:rPr>
            </w:pPr>
            <w:r>
              <w:rPr>
                <w:rFonts w:ascii="Times New Roman;serif" w:hAnsi="Times New Roman;serif"/>
                <w:b w:val="false"/>
                <w:sz w:val="24"/>
              </w:rPr>
              <w:t>219</w:t>
            </w:r>
          </w:p>
        </w:tc>
      </w:tr>
      <w:tr>
        <w:trPr/>
        <w:tc>
          <w:tcPr>
            <w:tcW w:w="1480" w:type="dxa"/>
            <w:tcBorders/>
            <w:vAlign w:val="center"/>
          </w:tcPr>
          <w:p>
            <w:pPr>
              <w:pStyle w:val="TableContents"/>
              <w:pBdr/>
              <w:bidi w:val="0"/>
              <w:spacing w:before="0" w:after="0"/>
              <w:ind w:left="0" w:right="0" w:hanging="1800"/>
              <w:jc w:val="left"/>
              <w:rPr>
                <w:rFonts w:ascii="Times New Roman;serif" w:hAnsi="Times New Roman;serif"/>
                <w:b w:val="false"/>
                <w:caps/>
                <w:sz w:val="24"/>
              </w:rPr>
            </w:pPr>
            <w:r>
              <w:rPr>
                <w:rFonts w:ascii="Times New Roman;serif" w:hAnsi="Times New Roman;serif"/>
                <w:b w:val="false"/>
                <w:caps/>
                <w:sz w:val="24"/>
              </w:rPr>
              <w:t>Section 9.24</w:t>
            </w:r>
          </w:p>
        </w:tc>
        <w:tc>
          <w:tcPr>
            <w:tcW w:w="6413"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Interim Facilities Agreement</w:t>
            </w:r>
          </w:p>
        </w:tc>
        <w:tc>
          <w:tcPr>
            <w:tcW w:w="2312"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220</w:t>
            </w:r>
          </w:p>
        </w:tc>
      </w:tr>
    </w:tbl>
    <w:p>
      <w:pPr>
        <w:pStyle w:val="TextBody"/>
        <w:bidi w:val="0"/>
        <w:spacing w:before="0" w:after="16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 w:hAnsi="Times New Roman"/>
          <w:sz w:val="20"/>
        </w:rPr>
      </w:pPr>
      <w:r>
        <w:rPr>
          <w:rFonts w:ascii="Times New Roman;serif" w:hAnsi="Times New Roman;serif"/>
          <w:b w:val="false"/>
          <w:sz w:val="22"/>
          <w:u w:val="single"/>
        </w:rPr>
        <w:t>SCHEDULES</w:t>
      </w: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bookmarkStart w:id="63" w:name="cursorposition"/>
      <w:bookmarkStart w:id="64" w:name="mycrossref"/>
      <w:bookmarkEnd w:id="63"/>
      <w:bookmarkEnd w:id="64"/>
      <w:r>
        <w:rPr>
          <w:rFonts w:ascii="Times New Roman;serif" w:hAnsi="Times New Roman;serif"/>
          <w:b w:val="false"/>
          <w:sz w:val="22"/>
        </w:rPr>
        <w:t>Schedule 1.01(a) — Agreed Security Principles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1.01(b) — Excluded Subsidiaries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1.01(c) — Existing Letters of Credit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1.01(d) — Non-U.S. Security Agreements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2.01 — Commitments and Loans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3.03 — Government Approvals; No Conflicts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3.06 — Litigation and Environmental Matters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3.12 — Subsidiaries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5.14 — Certain Post-Closing Obligations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5.17 — Transactions with Affiliates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Schedule 9.01 — Notices</w:t>
      </w:r>
    </w:p>
    <w:p>
      <w:pPr>
        <w:pStyle w:val="TextBody"/>
        <w:bidi w:val="0"/>
        <w:spacing w:before="240" w:after="240"/>
        <w:jc w:val="left"/>
        <w:rPr>
          <w:rFonts w:ascii="Times New Roman" w:hAnsi="Times New Roman"/>
          <w:sz w:val="20"/>
        </w:rPr>
      </w:pPr>
      <w:r>
        <w:rPr>
          <w:rFonts w:ascii="Times New Roman;serif" w:hAnsi="Times New Roman;serif"/>
          <w:b w:val="false"/>
          <w:sz w:val="22"/>
          <w:u w:val="single"/>
        </w:rPr>
        <w:t>EXHIBITS</w:t>
      </w: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A — Form of Assignment and Assumption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B — Form of Guarantee Agreement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C — Form of Perfection Certificate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D — Form of Collateral Agreement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E — [Reserved]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F — Form of Pari Passu Intercreditor Agreement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G — Form of Second Lien Intercreditor Agreement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H — Form of Additional Borrower Agreement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I — Form of Intercompany Note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J — Form of Specified Discount Prepayment Notice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K — Form of Specified Discount Prepayment Response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L — Form of Discount Range Prepayment Notice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M — Form of Discount Range Prepayment Offer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N — Form of Solicited Discounted Prepayment Notice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O — Form of Solicited Discounted Prepayment Offer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P — Form of Acceptance and Prepayment Notice</w:t>
      </w:r>
    </w:p>
    <w:p>
      <w:pPr>
        <w:pStyle w:val="TextBody"/>
        <w:bidi w:val="0"/>
        <w:spacing w:before="0" w:after="0"/>
        <w:jc w:val="left"/>
        <w:rPr>
          <w:rFonts w:ascii="Times New Roman" w:hAnsi="Times New Roman"/>
          <w:sz w:val="20"/>
        </w:rPr>
      </w:pPr>
      <w:bookmarkStart w:id="65" w:name="docxtextref1"/>
      <w:bookmarkEnd w:id="65"/>
      <w:r>
        <w:rPr>
          <w:rFonts w:ascii="Times New Roman;serif" w:hAnsi="Times New Roman;serif"/>
          <w:b w:val="false"/>
          <w:sz w:val="22"/>
        </w:rPr>
        <w:t>Exhibit Q-1 — Form of United States Tax Compliance Certificate 1</w:t>
      </w:r>
      <w:r>
        <w:rPr>
          <w:rFonts w:ascii="Times New Roman" w:hAnsi="Times New Roman"/>
          <w:sz w:val="20"/>
        </w:rPr>
        <w:t xml:space="preserve"> </w:t>
      </w:r>
      <w:r>
        <w:rPr>
          <w:rFonts w:ascii="Times New Roman;serif" w:hAnsi="Times New Roman;serif"/>
          <w:b w:val="false"/>
          <w:sz w:val="22"/>
        </w:rPr>
        <w:t>(For Foreign Lenders That Are Not Partnerships for U.S. Federal Income Tax Purposes)</w:t>
      </w:r>
    </w:p>
    <w:p>
      <w:pPr>
        <w:pStyle w:val="TextBody"/>
        <w:bidi w:val="0"/>
        <w:spacing w:before="0" w:after="0"/>
        <w:jc w:val="left"/>
        <w:rPr>
          <w:rFonts w:ascii="Times New Roman" w:hAnsi="Times New Roman"/>
          <w:sz w:val="20"/>
        </w:rPr>
      </w:pPr>
      <w:bookmarkStart w:id="66" w:name="docxtextref2"/>
      <w:bookmarkEnd w:id="66"/>
      <w:r>
        <w:rPr>
          <w:rFonts w:ascii="Times New Roman;serif" w:hAnsi="Times New Roman;serif"/>
          <w:b w:val="false"/>
          <w:sz w:val="22"/>
        </w:rPr>
        <w:t>Exhibit Q-2 — Form of United States Tax Compliance Certificate 2</w:t>
      </w:r>
      <w:r>
        <w:rPr>
          <w:rFonts w:ascii="Times New Roman" w:hAnsi="Times New Roman"/>
          <w:sz w:val="20"/>
        </w:rPr>
        <w:t xml:space="preserve"> </w:t>
      </w:r>
      <w:r>
        <w:rPr>
          <w:rFonts w:ascii="Times New Roman;serif" w:hAnsi="Times New Roman;serif"/>
          <w:b w:val="false"/>
          <w:sz w:val="22"/>
        </w:rPr>
        <w:t>(For Non-U.S. Lenders That Are Partnerships for U.S. Federal Income Tax Purposes)</w:t>
      </w:r>
    </w:p>
    <w:p>
      <w:pPr>
        <w:pStyle w:val="TextBody"/>
        <w:bidi w:val="0"/>
        <w:spacing w:before="0" w:after="0"/>
        <w:jc w:val="left"/>
        <w:rPr>
          <w:rFonts w:ascii="Times New Roman" w:hAnsi="Times New Roman"/>
          <w:sz w:val="20"/>
        </w:rPr>
      </w:pPr>
      <w:bookmarkStart w:id="67" w:name="docxtextref3"/>
      <w:bookmarkEnd w:id="67"/>
      <w:r>
        <w:rPr>
          <w:rFonts w:ascii="Times New Roman;serif" w:hAnsi="Times New Roman;serif"/>
          <w:b w:val="false"/>
          <w:sz w:val="22"/>
        </w:rPr>
        <w:t>Exhibit Q-3 — Form of United States Tax Compliance Certificate 3</w:t>
      </w:r>
      <w:r>
        <w:rPr>
          <w:rFonts w:ascii="Times New Roman" w:hAnsi="Times New Roman"/>
          <w:sz w:val="20"/>
        </w:rPr>
        <w:t xml:space="preserve"> </w:t>
      </w:r>
      <w:r>
        <w:rPr>
          <w:rFonts w:ascii="Times New Roman;serif" w:hAnsi="Times New Roman;serif"/>
          <w:b w:val="false"/>
          <w:sz w:val="22"/>
        </w:rPr>
        <w:t>(For Non-U.S. Participants That Are Not Partnerships for U.S. Federal Income Tax Purposes)</w:t>
      </w:r>
    </w:p>
    <w:p>
      <w:pPr>
        <w:pStyle w:val="TextBody"/>
        <w:bidi w:val="0"/>
        <w:spacing w:before="0" w:after="0"/>
        <w:jc w:val="left"/>
        <w:rPr>
          <w:rFonts w:ascii="Times New Roman" w:hAnsi="Times New Roman"/>
          <w:sz w:val="20"/>
        </w:rPr>
      </w:pPr>
      <w:bookmarkStart w:id="68" w:name="docxtextref4"/>
      <w:bookmarkEnd w:id="68"/>
      <w:r>
        <w:rPr>
          <w:rFonts w:ascii="Times New Roman;serif" w:hAnsi="Times New Roman;serif"/>
          <w:b w:val="false"/>
          <w:sz w:val="22"/>
        </w:rPr>
        <w:t>Exhibit Q-4 — Form of United States Tax Compliance Certificate 4</w:t>
      </w:r>
      <w:r>
        <w:rPr>
          <w:rFonts w:ascii="Times New Roman" w:hAnsi="Times New Roman"/>
          <w:sz w:val="20"/>
        </w:rPr>
        <w:t xml:space="preserve"> </w:t>
      </w:r>
      <w:r>
        <w:rPr>
          <w:rFonts w:ascii="Times New Roman;serif" w:hAnsi="Times New Roman;serif"/>
          <w:b w:val="false"/>
          <w:sz w:val="22"/>
        </w:rPr>
        <w:t>(For Non-U.S. Participants That Are Partnerships for U.S. Federal Income Tax Purposes)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R — Form of Note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S — [Reserved]</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T — Form of Notice of Borrowing</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U — Form of Letter of Credit Request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V — Form of Cash Management Bank Designation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W — Form of Hedge Bank Designation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Exhibit X — Form of Prepayment Notice</w:t>
      </w:r>
    </w:p>
    <w:p>
      <w:pPr>
        <w:pStyle w:val="TextBody"/>
        <w:bidi w:val="0"/>
        <w:spacing w:before="0" w:after="480"/>
        <w:jc w:val="left"/>
        <w:rPr>
          <w:rFonts w:ascii="Times New Roman;serif" w:hAnsi="Times New Roman;serif"/>
          <w:b w:val="false"/>
          <w:sz w:val="22"/>
        </w:rPr>
      </w:pPr>
      <w:r>
        <w:rPr>
          <w:rFonts w:ascii="Times New Roman;serif" w:hAnsi="Times New Roman;serif"/>
          <w:b w:val="false"/>
          <w:sz w:val="22"/>
        </w:rPr>
        <w:t>Exhibit Y — Form of Substitute Affiliate Lender Designation Notice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-vi-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2"/>
          <w:u w:val="single"/>
        </w:rPr>
      </w:pPr>
      <w:r>
        <w:rPr>
          <w:rFonts w:ascii="Times New Roman;serif" w:hAnsi="Times New Roman;serif"/>
          <w:b/>
          <w:sz w:val="22"/>
          <w:u w:val="single"/>
        </w:rPr>
        <w:t>CREDIT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CREDIT AGREEMENT dated as of December 12, 2019 (this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among CONNECT MIDCO LIMITED (f/k/a Triton Midco (Guernsey) Limited), a non-cellular company limited by shares incorporated under the laws of Guernsey with company number 66186 (“</w:t>
      </w:r>
      <w:r>
        <w:rPr>
          <w:rFonts w:ascii="Times New Roman;serif" w:hAnsi="Times New Roman;serif"/>
          <w:b w:val="false"/>
          <w:sz w:val="22"/>
          <w:u w:val="single"/>
        </w:rPr>
        <w:t>Initial Holdings</w:t>
      </w:r>
      <w:r>
        <w:rPr>
          <w:rFonts w:ascii="Times New Roman" w:hAnsi="Times New Roman"/>
          <w:sz w:val="20"/>
        </w:rPr>
        <w:t>”</w:t>
      </w:r>
      <w:r>
        <w:rPr>
          <w:rFonts w:ascii="Times New Roman;serif" w:hAnsi="Times New Roman;serif"/>
          <w:b w:val="false"/>
          <w:sz w:val="22"/>
        </w:rPr>
        <w:t>), CONNECT BIDCO LIMITED (f/k/a Triton Bidco (Guernsey) Limited), a non-cellular company limited by shares incorporated under the laws of Guernsey with company number 66187 (“</w:t>
      </w:r>
      <w:r>
        <w:rPr>
          <w:rFonts w:ascii="Times New Roman;serif" w:hAnsi="Times New Roman;serif"/>
          <w:b w:val="false"/>
          <w:sz w:val="22"/>
          <w:u w:val="single"/>
        </w:rPr>
        <w:t>Bidco</w:t>
      </w:r>
      <w:r>
        <w:rPr>
          <w:rFonts w:ascii="Times New Roman" w:hAnsi="Times New Roman"/>
          <w:sz w:val="20"/>
        </w:rPr>
        <w:t>”</w:t>
      </w:r>
      <w:r>
        <w:rPr>
          <w:rFonts w:ascii="Times New Roman;serif" w:hAnsi="Times New Roman;serif"/>
          <w:b w:val="false"/>
          <w:sz w:val="22"/>
        </w:rPr>
        <w:t>), CONNECT FINCO SARL (f/k/a Triton Finco SARL), a private limited liability company (</w:t>
      </w:r>
      <w:r>
        <w:rPr>
          <w:rFonts w:ascii="Times New Roman;serif" w:hAnsi="Times New Roman;serif"/>
          <w:b w:val="false"/>
          <w:i/>
          <w:sz w:val="22"/>
        </w:rPr>
        <w:t>société à responsabilité limitée</w:t>
      </w:r>
      <w:r>
        <w:rPr>
          <w:rFonts w:ascii="Times New Roman;serif" w:hAnsi="Times New Roman;serif"/>
          <w:b w:val="false"/>
          <w:sz w:val="22"/>
        </w:rPr>
        <w:t>) incorporated in Luxembourg, having its registered office at 1-3, Boulevard de la Foire, L-1528 Luxembourg, registered with the Luxembourg Companies Register under number B233109 (the “</w:t>
      </w:r>
      <w:r>
        <w:rPr>
          <w:rFonts w:ascii="Times New Roman;serif" w:hAnsi="Times New Roman;serif"/>
          <w:b w:val="false"/>
          <w:sz w:val="22"/>
          <w:u w:val="single"/>
        </w:rPr>
        <w:t>Finco Borrower</w:t>
      </w:r>
      <w:r>
        <w:rPr>
          <w:rFonts w:ascii="Times New Roman" w:hAnsi="Times New Roman"/>
          <w:sz w:val="20"/>
        </w:rPr>
        <w:t>”</w:t>
      </w:r>
      <w:r>
        <w:rPr>
          <w:rFonts w:ascii="Times New Roman;serif" w:hAnsi="Times New Roman;serif"/>
          <w:b w:val="false"/>
          <w:sz w:val="22"/>
        </w:rPr>
        <w:t>), as a Revolving Borrower and a Term Borrower, CONNECT U.S. FINCO LLC, a Delaware limited liability company (the “</w:t>
      </w:r>
      <w:r>
        <w:rPr>
          <w:rFonts w:ascii="Times New Roman;serif" w:hAnsi="Times New Roman;serif"/>
          <w:b w:val="false"/>
          <w:sz w:val="22"/>
          <w:u w:val="single"/>
        </w:rPr>
        <w:t>U.S. Borrower</w:t>
      </w:r>
      <w:r>
        <w:rPr>
          <w:rFonts w:ascii="Times New Roman" w:hAnsi="Times New Roman"/>
          <w:sz w:val="20"/>
        </w:rPr>
        <w:t>”</w:t>
      </w:r>
      <w:r>
        <w:rPr>
          <w:rFonts w:ascii="Times New Roman;serif" w:hAnsi="Times New Roman;serif"/>
          <w:b w:val="false"/>
          <w:sz w:val="22"/>
        </w:rPr>
        <w:t>), as a Revolving Borrower and a Term Borrower (the U.S. Borrower, in its capacity as a term borrower, together with the Finco Borrower, the “</w:t>
      </w:r>
      <w:r>
        <w:rPr>
          <w:rFonts w:ascii="Times New Roman;serif" w:hAnsi="Times New Roman;serif"/>
          <w:b w:val="false"/>
          <w:sz w:val="22"/>
          <w:u w:val="single"/>
        </w:rPr>
        <w:t>Term Borrowers</w:t>
      </w:r>
      <w:r>
        <w:rPr>
          <w:rFonts w:ascii="Times New Roman" w:hAnsi="Times New Roman"/>
          <w:sz w:val="20"/>
        </w:rPr>
        <w:t xml:space="preserve">” </w:t>
      </w:r>
      <w:r>
        <w:rPr>
          <w:rFonts w:ascii="Times New Roman;serif" w:hAnsi="Times New Roman;serif"/>
          <w:b w:val="false"/>
          <w:sz w:val="22"/>
        </w:rPr>
        <w:t>and, the U.S. Borrower in its capacity as a revolving borrower, together with the Finco Borrower in its capacity as a revolving borrower and any Additional Borrowers from time to time party hereto, the “</w:t>
      </w:r>
      <w:r>
        <w:rPr>
          <w:rFonts w:ascii="Times New Roman;serif" w:hAnsi="Times New Roman;serif"/>
          <w:b w:val="false"/>
          <w:sz w:val="22"/>
          <w:u w:val="single"/>
        </w:rPr>
        <w:t>Revolving Borrowers</w:t>
      </w:r>
      <w:r>
        <w:rPr>
          <w:rFonts w:ascii="Times New Roman" w:hAnsi="Times New Roman"/>
          <w:sz w:val="20"/>
        </w:rPr>
        <w:t xml:space="preserve">” </w:t>
      </w:r>
      <w:r>
        <w:rPr>
          <w:rFonts w:ascii="Times New Roman;serif" w:hAnsi="Times New Roman;serif"/>
          <w:b w:val="false"/>
          <w:sz w:val="22"/>
        </w:rPr>
        <w:t>and, collectively with the Term Borrowers, the “</w:t>
      </w:r>
      <w:r>
        <w:rPr>
          <w:rFonts w:ascii="Times New Roman;serif" w:hAnsi="Times New Roman;serif"/>
          <w:b w:val="false"/>
          <w:sz w:val="22"/>
          <w:u w:val="single"/>
        </w:rPr>
        <w:t>Borrowers</w:t>
      </w:r>
      <w:r>
        <w:rPr>
          <w:rFonts w:ascii="Times New Roman" w:hAnsi="Times New Roman"/>
          <w:sz w:val="20"/>
        </w:rPr>
        <w:t>”</w:t>
      </w:r>
      <w:r>
        <w:rPr>
          <w:rFonts w:ascii="Times New Roman;serif" w:hAnsi="Times New Roman;serif"/>
          <w:b w:val="false"/>
          <w:sz w:val="22"/>
        </w:rPr>
        <w:t>), the LENDERS and ISSUING BANKS party hereto and Barclays Bank PLC (“</w:t>
      </w:r>
      <w:r>
        <w:rPr>
          <w:rFonts w:ascii="Times New Roman;serif" w:hAnsi="Times New Roman;serif"/>
          <w:b w:val="false"/>
          <w:sz w:val="22"/>
          <w:u w:val="single"/>
        </w:rPr>
        <w:t>Barclays</w:t>
      </w:r>
      <w:r>
        <w:rPr>
          <w:rFonts w:ascii="Times New Roman" w:hAnsi="Times New Roman"/>
          <w:sz w:val="20"/>
        </w:rPr>
        <w:t>”</w:t>
      </w:r>
      <w:r>
        <w:rPr>
          <w:rFonts w:ascii="Times New Roman;serif" w:hAnsi="Times New Roman;serif"/>
          <w:b w:val="false"/>
          <w:sz w:val="22"/>
        </w:rPr>
        <w:t>), as Administrative Agent and Collateral Agent.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parties hereto agree as follows:</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I</w:t>
      </w:r>
      <w:r>
        <w:rPr>
          <w:rFonts w:ascii="Times New Roman;serif" w:hAnsi="Times New Roman;serif"/>
          <w:b w:val="false"/>
          <w:caps/>
          <w:sz w:val="22"/>
          <w:u w:val="single"/>
        </w:rPr>
        <w:br/>
        <w:br/>
        <w:t>Definitions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1.01 </w:t>
      </w:r>
      <w:r>
        <w:rPr>
          <w:rFonts w:ascii="Times New Roman;serif" w:hAnsi="Times New Roman;serif"/>
          <w:b w:val="false"/>
          <w:sz w:val="22"/>
          <w:u w:val="single"/>
        </w:rPr>
        <w:t>Defined Terms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As used in this Agreement, the following terms have the meanings specified below:</w:t>
      </w:r>
    </w:p>
    <w:p>
      <w:pPr>
        <w:pStyle w:val="TextBody"/>
        <w:bidi w:val="0"/>
        <w:spacing w:before="0" w:after="240"/>
        <w:jc w:val="both"/>
        <w:rPr/>
      </w:pPr>
      <w:r>
        <w:rPr/>
        <w:t>“</w:t>
      </w:r>
      <w:r>
        <w:rPr>
          <w:rFonts w:ascii="Times New Roman;serif" w:hAnsi="Times New Roman;serif"/>
          <w:b w:val="false"/>
          <w:sz w:val="22"/>
          <w:u w:val="single"/>
        </w:rPr>
        <w:t>2011 Ex-Im Credit Agreement</w:t>
      </w:r>
      <w:r>
        <w:rPr>
          <w:rFonts w:ascii="Times New Roman" w:hAnsi="Times New Roman"/>
          <w:sz w:val="20"/>
        </w:rPr>
        <w:t xml:space="preserve">” </w:t>
      </w:r>
      <w:r>
        <w:rPr>
          <w:rFonts w:ascii="Times New Roman;serif" w:hAnsi="Times New Roman;serif"/>
          <w:b w:val="false"/>
          <w:sz w:val="22"/>
        </w:rPr>
        <w:t>means the credit agreement dated May 11, 2011 (as amended, restated, amended and restated, supplemented or otherwise modified from time to time) between, among others, Inmarsat Investments Limited as borrower and ING Capital LLC as Ex-Im facility agent.</w:t>
      </w:r>
    </w:p>
    <w:p>
      <w:pPr>
        <w:pStyle w:val="TextBody"/>
        <w:bidi w:val="0"/>
        <w:spacing w:before="0" w:after="240"/>
        <w:jc w:val="both"/>
        <w:rPr/>
      </w:pPr>
      <w:r>
        <w:rPr/>
        <w:t>“</w:t>
      </w:r>
      <w:r>
        <w:rPr>
          <w:rFonts w:ascii="Times New Roman;serif" w:hAnsi="Times New Roman;serif"/>
          <w:b w:val="false"/>
          <w:sz w:val="22"/>
          <w:u w:val="single"/>
        </w:rPr>
        <w:t>2014 Ex-Im Credit Agreement</w:t>
      </w:r>
      <w:r>
        <w:rPr>
          <w:rFonts w:ascii="Times New Roman" w:hAnsi="Times New Roman"/>
          <w:sz w:val="20"/>
        </w:rPr>
        <w:t xml:space="preserve">” </w:t>
      </w:r>
      <w:r>
        <w:rPr>
          <w:rFonts w:ascii="Times New Roman;serif" w:hAnsi="Times New Roman;serif"/>
          <w:b w:val="false"/>
          <w:sz w:val="22"/>
        </w:rPr>
        <w:t>means the credit agreement dated November 10, 2014 (as amended, restated, amended and restated, supplemented or otherwise modified from time to time) between, among others, Inmarsat Investments Limited as borrower and ING Capital LLC as Ex-Im facility agent.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2022 Notes</w:t>
      </w:r>
      <w:r>
        <w:rPr>
          <w:rFonts w:ascii="Times New Roman" w:hAnsi="Times New Roman"/>
          <w:sz w:val="20"/>
        </w:rPr>
        <w:t xml:space="preserve">” </w:t>
      </w:r>
      <w:r>
        <w:rPr>
          <w:rFonts w:ascii="Times New Roman;serif" w:hAnsi="Times New Roman;serif"/>
          <w:b w:val="false"/>
          <w:sz w:val="22"/>
        </w:rPr>
        <w:t>means the $1,000,000,000 4.875% senior notes due 2022 issued by Inmarsat Finance plc.</w:t>
      </w:r>
    </w:p>
    <w:p>
      <w:pPr>
        <w:pStyle w:val="TextBody"/>
        <w:bidi w:val="0"/>
        <w:spacing w:before="0" w:after="240"/>
        <w:jc w:val="both"/>
        <w:rPr/>
      </w:pPr>
      <w:r>
        <w:rPr/>
        <w:t>“</w:t>
      </w:r>
      <w:r>
        <w:rPr>
          <w:rFonts w:ascii="Times New Roman;serif" w:hAnsi="Times New Roman;serif"/>
          <w:b w:val="false"/>
          <w:sz w:val="22"/>
          <w:u w:val="single"/>
        </w:rPr>
        <w:t>2024 Notes</w:t>
      </w:r>
      <w:r>
        <w:rPr>
          <w:rFonts w:ascii="Times New Roman" w:hAnsi="Times New Roman"/>
          <w:sz w:val="20"/>
        </w:rPr>
        <w:t xml:space="preserve">” </w:t>
      </w:r>
      <w:r>
        <w:rPr>
          <w:rFonts w:ascii="Times New Roman;serif" w:hAnsi="Times New Roman;serif"/>
          <w:b w:val="false"/>
          <w:sz w:val="22"/>
        </w:rPr>
        <w:t>means the $400,000,000 6.500% senior notes due 2024 issued by Inmarsat Finance plc.</w:t>
      </w:r>
    </w:p>
    <w:p>
      <w:pPr>
        <w:pStyle w:val="TextBody"/>
        <w:bidi w:val="0"/>
        <w:spacing w:before="0" w:after="240"/>
        <w:jc w:val="both"/>
        <w:rPr/>
      </w:pPr>
      <w:r>
        <w:rPr/>
        <w:t>“</w:t>
      </w:r>
      <w:r>
        <w:rPr>
          <w:rFonts w:ascii="Times New Roman;serif" w:hAnsi="Times New Roman;serif"/>
          <w:b w:val="false"/>
          <w:sz w:val="22"/>
          <w:u w:val="single"/>
        </w:rPr>
        <w:t>ABR</w:t>
      </w:r>
      <w:r>
        <w:rPr>
          <w:rFonts w:ascii="Times New Roman" w:hAnsi="Times New Roman"/>
          <w:sz w:val="20"/>
        </w:rPr>
        <w:t xml:space="preserve">” </w:t>
      </w:r>
      <w:r>
        <w:rPr>
          <w:rFonts w:ascii="Times New Roman;serif" w:hAnsi="Times New Roman;serif"/>
          <w:b w:val="false"/>
          <w:sz w:val="22"/>
        </w:rPr>
        <w:t>when used in reference to any Loan or Borrowing, refers to whether such Loan, or the Loans comprising such Borrowing, are bearing interest at a rate determined by reference to the Alternate Base Rate.</w:t>
      </w:r>
    </w:p>
    <w:p>
      <w:pPr>
        <w:pStyle w:val="TextBody"/>
        <w:bidi w:val="0"/>
        <w:spacing w:before="0" w:after="240"/>
        <w:jc w:val="both"/>
        <w:rPr/>
      </w:pPr>
      <w:r>
        <w:rPr/>
        <w:t>“</w:t>
      </w:r>
      <w:r>
        <w:rPr>
          <w:rFonts w:ascii="Times New Roman;serif" w:hAnsi="Times New Roman;serif"/>
          <w:b w:val="false"/>
          <w:sz w:val="22"/>
          <w:u w:val="single"/>
        </w:rPr>
        <w:t>Acceptable Commitment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6.04(b)(ii)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Acceptable Discount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2.10(a)(ii)(D)(2)</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Acceptable Prepayment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Acceptance and Prepayment Notice</w:t>
      </w:r>
      <w:r>
        <w:rPr>
          <w:rFonts w:ascii="Times New Roman" w:hAnsi="Times New Roman"/>
          <w:sz w:val="20"/>
        </w:rPr>
        <w:t xml:space="preserve">” </w:t>
      </w:r>
      <w:r>
        <w:rPr>
          <w:rFonts w:ascii="Times New Roman;serif" w:hAnsi="Times New Roman;serif"/>
          <w:b w:val="false"/>
          <w:sz w:val="22"/>
        </w:rPr>
        <w:t xml:space="preserve">means an irrevocable written notice from a Term Lender accepting a Solicited Discounted Prepayment Offer to make a Discounted Term Loan Prepayment at the Acceptable Discount specified therein pursuant to </w:t>
      </w:r>
      <w:r>
        <w:rPr>
          <w:rFonts w:ascii="Times New Roman;serif" w:hAnsi="Times New Roman;serif"/>
          <w:b w:val="false"/>
          <w:sz w:val="22"/>
          <w:u w:val="single"/>
        </w:rPr>
        <w:t>Section 2.10(a)(ii)(D)</w:t>
      </w:r>
      <w:r>
        <w:rPr>
          <w:rFonts w:ascii="Times New Roman" w:hAnsi="Times New Roman"/>
          <w:sz w:val="20"/>
        </w:rPr>
        <w:t xml:space="preserve"> </w:t>
      </w:r>
      <w:r>
        <w:rPr>
          <w:rFonts w:ascii="Times New Roman;serif" w:hAnsi="Times New Roman;serif"/>
          <w:b w:val="false"/>
          <w:sz w:val="22"/>
        </w:rPr>
        <w:t xml:space="preserve">substantially in the form of </w:t>
      </w:r>
      <w:r>
        <w:rPr>
          <w:rFonts w:ascii="Times New Roman;serif" w:hAnsi="Times New Roman;serif"/>
          <w:b w:val="false"/>
          <w:sz w:val="22"/>
          <w:u w:val="single"/>
        </w:rPr>
        <w:t>Exhibit P</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Acceptance Date</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2.10(a)(ii)(D)(2)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Accepting Lenders</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2.23(a)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Acquired EBITDA</w:t>
      </w:r>
      <w:r>
        <w:rPr>
          <w:rFonts w:ascii="Times New Roman" w:hAnsi="Times New Roman"/>
          <w:sz w:val="20"/>
        </w:rPr>
        <w:t xml:space="preserve">” </w:t>
      </w:r>
      <w:r>
        <w:rPr>
          <w:rFonts w:ascii="Times New Roman;serif" w:hAnsi="Times New Roman;serif"/>
          <w:b w:val="false"/>
          <w:sz w:val="22"/>
        </w:rPr>
        <w:t>means, with respect to any Acquired Entity or Business or any Converted Restricted Subsidiary (any of the foregoing, a “</w:t>
      </w:r>
      <w:r>
        <w:rPr>
          <w:rFonts w:ascii="Times New Roman;serif" w:hAnsi="Times New Roman;serif"/>
          <w:b w:val="false"/>
          <w:sz w:val="22"/>
          <w:u w:val="single"/>
        </w:rPr>
        <w:t>Pro Forma Entity</w:t>
      </w:r>
      <w:r>
        <w:rPr>
          <w:rFonts w:ascii="Times New Roman" w:hAnsi="Times New Roman"/>
          <w:sz w:val="20"/>
        </w:rPr>
        <w:t>”</w:t>
      </w:r>
      <w:r>
        <w:rPr>
          <w:rFonts w:ascii="Times New Roman;serif" w:hAnsi="Times New Roman;serif"/>
          <w:b w:val="false"/>
          <w:sz w:val="22"/>
        </w:rPr>
        <w:t>) for any period, the amount for such period of Consolidated EBITDA of such Pro Forma Entity (determined as if references to Bidco and the Restricted Subsidiaries in the definition of “Consolidated EBITDA” were references to such Pro Forma Entity and its subsidiaries that will become Restricted Subsidiaries), all as determined on a consolidated basis for such Pro Forma Entity.</w:t>
      </w:r>
    </w:p>
    <w:p>
      <w:pPr>
        <w:pStyle w:val="TextBody"/>
        <w:bidi w:val="0"/>
        <w:spacing w:before="0" w:after="240"/>
        <w:jc w:val="both"/>
        <w:rPr/>
      </w:pPr>
      <w:r>
        <w:rPr/>
        <w:t>“</w:t>
      </w:r>
      <w:r>
        <w:rPr>
          <w:rFonts w:ascii="Times New Roman;serif" w:hAnsi="Times New Roman;serif"/>
          <w:b w:val="false"/>
          <w:sz w:val="22"/>
          <w:u w:val="single"/>
        </w:rPr>
        <w:t>Acquired Entity or Business</w:t>
      </w:r>
      <w:r>
        <w:rPr>
          <w:rFonts w:ascii="Times New Roman" w:hAnsi="Times New Roman"/>
          <w:sz w:val="20"/>
        </w:rPr>
        <w:t xml:space="preserve">” </w:t>
      </w:r>
      <w:r>
        <w:rPr>
          <w:rFonts w:ascii="Times New Roman;serif" w:hAnsi="Times New Roman;serif"/>
          <w:b w:val="false"/>
          <w:sz w:val="22"/>
        </w:rPr>
        <w:t>has the meaning given such term in the definition of “Consolidated EBITDA.”</w:t>
      </w:r>
    </w:p>
    <w:p>
      <w:pPr>
        <w:pStyle w:val="TextBody"/>
        <w:bidi w:val="0"/>
        <w:spacing w:before="0" w:after="240"/>
        <w:jc w:val="both"/>
        <w:rPr/>
      </w:pPr>
      <w:r>
        <w:rPr/>
        <w:t>“</w:t>
      </w:r>
      <w:r>
        <w:rPr>
          <w:rFonts w:ascii="Times New Roman;serif" w:hAnsi="Times New Roman;serif"/>
          <w:b w:val="false"/>
          <w:sz w:val="22"/>
          <w:u w:val="single"/>
        </w:rPr>
        <w:t>Acquired Indebtedness</w:t>
      </w:r>
      <w:r>
        <w:rPr>
          <w:rFonts w:ascii="Times New Roman" w:hAnsi="Times New Roman"/>
          <w:sz w:val="20"/>
        </w:rPr>
        <w:t xml:space="preserve">” </w:t>
      </w:r>
      <w:r>
        <w:rPr>
          <w:rFonts w:ascii="Times New Roman;serif" w:hAnsi="Times New Roman;serif"/>
          <w:b w:val="false"/>
          <w:sz w:val="22"/>
        </w:rPr>
        <w:t>means, with respect to any specified Person,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Indebtedness secured by a Lien encumbering any asset acquired by such specified Person.</w:t>
      </w:r>
    </w:p>
    <w:p>
      <w:pPr>
        <w:pStyle w:val="TextBody"/>
        <w:bidi w:val="0"/>
        <w:spacing w:before="0" w:after="240"/>
        <w:jc w:val="both"/>
        <w:rPr/>
      </w:pPr>
      <w:r>
        <w:rPr/>
        <w:t>“</w:t>
      </w:r>
      <w:r>
        <w:rPr>
          <w:rFonts w:ascii="Times New Roman;serif" w:hAnsi="Times New Roman;serif"/>
          <w:b w:val="false"/>
          <w:sz w:val="22"/>
          <w:u w:val="single"/>
        </w:rPr>
        <w:t>Acquisition</w:t>
      </w:r>
      <w:r>
        <w:rPr>
          <w:rFonts w:ascii="Times New Roman" w:hAnsi="Times New Roman"/>
          <w:sz w:val="20"/>
        </w:rPr>
        <w:t xml:space="preserve">” </w:t>
      </w:r>
      <w:r>
        <w:rPr>
          <w:rFonts w:ascii="Times New Roman;serif" w:hAnsi="Times New Roman;serif"/>
          <w:b w:val="false"/>
          <w:sz w:val="22"/>
        </w:rPr>
        <w:t>means the acquisition of the Company by Bidco pursuant to the terms of the Acquisition Documents.</w:t>
      </w:r>
    </w:p>
    <w:p>
      <w:pPr>
        <w:pStyle w:val="TextBody"/>
        <w:bidi w:val="0"/>
        <w:spacing w:before="0" w:after="240"/>
        <w:jc w:val="both"/>
        <w:rPr/>
      </w:pPr>
      <w:r>
        <w:rPr/>
        <w:t>“</w:t>
      </w:r>
      <w:r>
        <w:rPr>
          <w:rFonts w:ascii="Times New Roman;serif" w:hAnsi="Times New Roman;serif"/>
          <w:b w:val="false"/>
          <w:sz w:val="22"/>
          <w:u w:val="single"/>
        </w:rPr>
        <w:t>Acquisition Documents</w:t>
      </w:r>
      <w:r>
        <w:rPr>
          <w:rFonts w:ascii="Times New Roman" w:hAnsi="Times New Roman"/>
          <w:sz w:val="20"/>
        </w:rPr>
        <w:t xml:space="preserve">” </w:t>
      </w:r>
      <w:r>
        <w:rPr>
          <w:rFonts w:ascii="Times New Roman;serif" w:hAnsi="Times New Roman;serif"/>
          <w:b w:val="false"/>
          <w:sz w:val="22"/>
        </w:rPr>
        <w:t>means the Scheme Documents and any other document designated as an Acquisition Document by Bidco and the Administrative Agent and all schedules, exhibits and annexes to each of the foregoing and all side letters, instruments and agreements affecting the terms of the foregoing or entered into in connection therewith.</w:t>
      </w:r>
    </w:p>
    <w:p>
      <w:pPr>
        <w:pStyle w:val="TextBody"/>
        <w:bidi w:val="0"/>
        <w:spacing w:before="0" w:after="240"/>
        <w:jc w:val="both"/>
        <w:rPr/>
      </w:pPr>
      <w:r>
        <w:rPr/>
        <w:t>“</w:t>
      </w:r>
      <w:r>
        <w:rPr>
          <w:rFonts w:ascii="Times New Roman;serif" w:hAnsi="Times New Roman;serif"/>
          <w:b w:val="false"/>
          <w:sz w:val="22"/>
          <w:u w:val="single"/>
        </w:rPr>
        <w:t>Additional Borrower</w:t>
      </w:r>
      <w:r>
        <w:rPr>
          <w:rFonts w:ascii="Times New Roman" w:hAnsi="Times New Roman"/>
          <w:sz w:val="20"/>
        </w:rPr>
        <w:t xml:space="preserve">” </w:t>
      </w:r>
      <w:r>
        <w:rPr>
          <w:rFonts w:ascii="Times New Roman;serif" w:hAnsi="Times New Roman;serif"/>
          <w:b w:val="false"/>
          <w:sz w:val="22"/>
        </w:rPr>
        <w:t>means any Person who shall from time to time become a party to this Agreement as a “Revolving Borrower” hereunder upon the execution and delivery of an Additional Borrower Agreement.</w:t>
      </w:r>
    </w:p>
    <w:p>
      <w:pPr>
        <w:pStyle w:val="TextBody"/>
        <w:bidi w:val="0"/>
        <w:spacing w:before="0" w:after="240"/>
        <w:jc w:val="both"/>
        <w:rPr/>
      </w:pPr>
      <w:r>
        <w:rPr/>
        <w:t>“</w:t>
      </w:r>
      <w:r>
        <w:rPr>
          <w:rFonts w:ascii="Times New Roman;serif" w:hAnsi="Times New Roman;serif"/>
          <w:b w:val="false"/>
          <w:sz w:val="22"/>
          <w:u w:val="single"/>
        </w:rPr>
        <w:t>Additional Borrower Agreement</w:t>
      </w:r>
      <w:r>
        <w:rPr>
          <w:rFonts w:ascii="Times New Roman" w:hAnsi="Times New Roman"/>
          <w:sz w:val="20"/>
        </w:rPr>
        <w:t xml:space="preserve">” </w:t>
      </w:r>
      <w:r>
        <w:rPr>
          <w:rFonts w:ascii="Times New Roman;serif" w:hAnsi="Times New Roman;serif"/>
          <w:b w:val="false"/>
          <w:sz w:val="22"/>
        </w:rPr>
        <w:t xml:space="preserve">means the Additional Borrower Agreement substantially in the form of </w:t>
      </w:r>
      <w:r>
        <w:rPr>
          <w:rFonts w:ascii="Times New Roman;serif" w:hAnsi="Times New Roman;serif"/>
          <w:b w:val="false"/>
          <w:sz w:val="22"/>
          <w:u w:val="single"/>
        </w:rPr>
        <w:t>Exhibit H</w:t>
      </w:r>
      <w:r>
        <w:rPr>
          <w:rFonts w:ascii="Times New Roman" w:hAnsi="Times New Roman"/>
          <w:sz w:val="20"/>
        </w:rPr>
        <w:t xml:space="preserve"> </w:t>
      </w:r>
      <w:r>
        <w:rPr>
          <w:rFonts w:ascii="Times New Roman;serif" w:hAnsi="Times New Roman;serif"/>
          <w:b w:val="false"/>
          <w:sz w:val="22"/>
        </w:rPr>
        <w:t>hereto.</w:t>
      </w:r>
    </w:p>
    <w:p>
      <w:pPr>
        <w:pStyle w:val="TextBody"/>
        <w:bidi w:val="0"/>
        <w:spacing w:before="0" w:after="240"/>
        <w:jc w:val="both"/>
        <w:rPr/>
      </w:pPr>
      <w:r>
        <w:rPr/>
        <w:t>“</w:t>
      </w:r>
      <w:r>
        <w:rPr>
          <w:rFonts w:ascii="Times New Roman;serif" w:hAnsi="Times New Roman;serif"/>
          <w:b w:val="false"/>
          <w:sz w:val="22"/>
          <w:u w:val="single"/>
        </w:rPr>
        <w:t>Additional Lender</w:t>
      </w:r>
      <w:r>
        <w:rPr>
          <w:rFonts w:ascii="Times New Roman" w:hAnsi="Times New Roman"/>
          <w:sz w:val="20"/>
        </w:rPr>
        <w:t xml:space="preserve">” </w:t>
      </w:r>
      <w:r>
        <w:rPr>
          <w:rFonts w:ascii="Times New Roman;serif" w:hAnsi="Times New Roman;serif"/>
          <w:b w:val="false"/>
          <w:sz w:val="22"/>
        </w:rPr>
        <w:t>means any Additional Revolving Lender or any Additional Term Lender, as applicable.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Additional/Replacement Revolving Commitments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2.19(a)</w:t>
      </w:r>
      <w:r>
        <w:rPr>
          <w:rFonts w:ascii="Times New Roman;serif" w:hAnsi="Times New Roman;serif"/>
          <w:b w:val="false"/>
          <w:sz w:val="22"/>
        </w:rPr>
        <w:t>.</w:t>
      </w:r>
    </w:p>
    <w:p>
      <w:pPr>
        <w:pStyle w:val="TextBody"/>
        <w:bidi w:val="0"/>
        <w:spacing w:before="0" w:after="240"/>
        <w:jc w:val="both"/>
        <w:rPr/>
      </w:pPr>
      <w:bookmarkStart w:id="69" w:name="docxtextref17"/>
      <w:bookmarkEnd w:id="69"/>
      <w:r>
        <w:rPr/>
        <w:t>“</w:t>
      </w:r>
      <w:r>
        <w:rPr>
          <w:rFonts w:ascii="Times New Roman;serif" w:hAnsi="Times New Roman;serif"/>
          <w:b w:val="false"/>
          <w:sz w:val="22"/>
          <w:u w:val="single"/>
        </w:rPr>
        <w:t>Additional Revolving Lender</w:t>
      </w:r>
      <w:r>
        <w:rPr>
          <w:rFonts w:ascii="Times New Roman" w:hAnsi="Times New Roman"/>
          <w:sz w:val="20"/>
        </w:rPr>
        <w:t xml:space="preserve">” </w:t>
      </w:r>
      <w:r>
        <w:rPr>
          <w:rFonts w:ascii="Times New Roman;serif" w:hAnsi="Times New Roman;serif"/>
          <w:b w:val="false"/>
          <w:sz w:val="22"/>
        </w:rPr>
        <w:t>means, at any time, any bank, financial institution or other institutional lender or investor (other than any natural person) or any Person that would be an Affiliated Lender that agrees to provide any portion of any (a)</w:t>
      </w:r>
      <w:r>
        <w:rPr>
          <w:rFonts w:ascii="Times New Roman" w:hAnsi="Times New Roman"/>
          <w:sz w:val="20"/>
        </w:rPr>
        <w:t xml:space="preserve"> </w:t>
      </w:r>
      <w:r>
        <w:rPr>
          <w:rFonts w:ascii="Times New Roman;serif" w:hAnsi="Times New Roman;serif"/>
          <w:b w:val="false"/>
          <w:sz w:val="22"/>
        </w:rPr>
        <w:t xml:space="preserve">Incremental Revolving Commitment Increase or Additional/Replacement Revolving Commitments pursuant to an Incremental Facility Amendment in accordance with </w:t>
      </w:r>
      <w:r>
        <w:rPr>
          <w:rFonts w:ascii="Times New Roman;serif" w:hAnsi="Times New Roman;serif"/>
          <w:b w:val="false"/>
          <w:sz w:val="22"/>
          <w:u w:val="single"/>
        </w:rPr>
        <w:t>Section 2.19</w:t>
      </w:r>
      <w:r>
        <w:rPr>
          <w:rFonts w:ascii="Times New Roman" w:hAnsi="Times New Roman"/>
          <w:sz w:val="20"/>
        </w:rPr>
        <w:t xml:space="preserve"> </w:t>
      </w:r>
      <w:r>
        <w:rPr>
          <w:rFonts w:ascii="Times New Roman;serif" w:hAnsi="Times New Roman;serif"/>
          <w:b w:val="false"/>
          <w:sz w:val="22"/>
        </w:rPr>
        <w:t xml:space="preserve">or </w:t>
      </w:r>
      <w:bookmarkStart w:id="70" w:name="docxtextref18"/>
      <w:bookmarkEnd w:id="7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Credit Agreement Refinancing Indebtedness in the form of Other Revolving Commitments pursuant to a Refinancing Amendment in accordance with </w:t>
      </w:r>
      <w:r>
        <w:rPr>
          <w:rFonts w:ascii="Times New Roman;serif" w:hAnsi="Times New Roman;serif"/>
          <w:b w:val="false"/>
          <w:sz w:val="22"/>
          <w:u w:val="single"/>
        </w:rPr>
        <w:t>Section 2.20</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each Additional Revolving Lender shall be subject to the approval of the Administrative Agent, each Issuing Bank and the Swingline Lender, in each case only if such consent would be required under </w:t>
      </w:r>
      <w:r>
        <w:rPr>
          <w:rFonts w:ascii="Times New Roman;serif" w:hAnsi="Times New Roman;serif"/>
          <w:b w:val="false"/>
          <w:sz w:val="22"/>
          <w:u w:val="single"/>
        </w:rPr>
        <w:t>Section 9.04(b)</w:t>
      </w:r>
      <w:r>
        <w:rPr>
          <w:rFonts w:ascii="Times New Roman" w:hAnsi="Times New Roman"/>
          <w:sz w:val="20"/>
        </w:rPr>
        <w:t xml:space="preserve"> </w:t>
      </w:r>
      <w:r>
        <w:rPr>
          <w:rFonts w:ascii="Times New Roman;serif" w:hAnsi="Times New Roman;serif"/>
          <w:b w:val="false"/>
          <w:sz w:val="22"/>
        </w:rPr>
        <w:t>for an assignment of Revolving Loans or Revolving Commitments, as applicable, to such bank, financial institution or other institutional lender or investor (such approval in each case not to be unreasonably withheld, conditioned or delayed) and Bidco.</w:t>
      </w:r>
    </w:p>
    <w:p>
      <w:pPr>
        <w:pStyle w:val="TextBody"/>
        <w:bidi w:val="0"/>
        <w:spacing w:before="0" w:after="240"/>
        <w:jc w:val="both"/>
        <w:rPr/>
      </w:pPr>
      <w:bookmarkStart w:id="71" w:name="docxtextref22"/>
      <w:bookmarkEnd w:id="71"/>
      <w:r>
        <w:rPr/>
        <w:t>“</w:t>
      </w:r>
      <w:r>
        <w:rPr>
          <w:rFonts w:ascii="Times New Roman;serif" w:hAnsi="Times New Roman;serif"/>
          <w:b w:val="false"/>
          <w:sz w:val="22"/>
          <w:u w:val="single"/>
        </w:rPr>
        <w:t>Additional Term Lender</w:t>
      </w:r>
      <w:r>
        <w:rPr>
          <w:rFonts w:ascii="Times New Roman" w:hAnsi="Times New Roman"/>
          <w:sz w:val="20"/>
        </w:rPr>
        <w:t xml:space="preserve">” </w:t>
      </w:r>
      <w:r>
        <w:rPr>
          <w:rFonts w:ascii="Times New Roman;serif" w:hAnsi="Times New Roman;serif"/>
          <w:b w:val="false"/>
          <w:sz w:val="22"/>
        </w:rPr>
        <w:t>means, at any time, any bank, financial institution or other institutional lender or investor (other than any natural person) or any Person that would be an Affiliated Lender that agrees to provide any portion of any (a)</w:t>
      </w:r>
      <w:r>
        <w:rPr>
          <w:rFonts w:ascii="Times New Roman" w:hAnsi="Times New Roman"/>
          <w:sz w:val="20"/>
        </w:rPr>
        <w:t xml:space="preserve"> </w:t>
      </w:r>
      <w:r>
        <w:rPr>
          <w:rFonts w:ascii="Times New Roman;serif" w:hAnsi="Times New Roman;serif"/>
          <w:b w:val="false"/>
          <w:sz w:val="22"/>
        </w:rPr>
        <w:t xml:space="preserve">Incremental Term Loans pursuant to an Incremental Facility Amendment in accordance with </w:t>
      </w:r>
      <w:r>
        <w:rPr>
          <w:rFonts w:ascii="Times New Roman;serif" w:hAnsi="Times New Roman;serif"/>
          <w:b w:val="false"/>
          <w:sz w:val="22"/>
          <w:u w:val="single"/>
        </w:rPr>
        <w:t>Section 2.19</w:t>
      </w:r>
      <w:r>
        <w:rPr>
          <w:rFonts w:ascii="Times New Roman" w:hAnsi="Times New Roman"/>
          <w:sz w:val="20"/>
        </w:rPr>
        <w:t xml:space="preserve"> </w:t>
      </w:r>
      <w:r>
        <w:rPr>
          <w:rFonts w:ascii="Times New Roman;serif" w:hAnsi="Times New Roman;serif"/>
          <w:b w:val="false"/>
          <w:sz w:val="22"/>
        </w:rPr>
        <w:t xml:space="preserve">or </w:t>
      </w:r>
      <w:bookmarkStart w:id="72" w:name="docxtextref23"/>
      <w:bookmarkEnd w:id="7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Credit Agreement Refinancing Indebtedness in the form of Other Term Loans or Other Term Commitments pursuant to a Refinancing Amendment in accordance with </w:t>
      </w:r>
      <w:r>
        <w:rPr>
          <w:rFonts w:ascii="Times New Roman;serif" w:hAnsi="Times New Roman;serif"/>
          <w:b w:val="false"/>
          <w:sz w:val="22"/>
          <w:u w:val="single"/>
        </w:rPr>
        <w:t>Section 2.20</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each Additional Term Lender shall be subject to the approval of the Administrative Agent if such consent would be required under </w:t>
      </w:r>
      <w:r>
        <w:rPr>
          <w:rFonts w:ascii="Times New Roman;serif" w:hAnsi="Times New Roman;serif"/>
          <w:b w:val="false"/>
          <w:sz w:val="22"/>
          <w:u w:val="single"/>
        </w:rPr>
        <w:t>Section 9.04(b)</w:t>
      </w:r>
      <w:r>
        <w:rPr>
          <w:rFonts w:ascii="Times New Roman" w:hAnsi="Times New Roman"/>
          <w:sz w:val="20"/>
        </w:rPr>
        <w:t xml:space="preserve"> </w:t>
      </w:r>
      <w:r>
        <w:rPr>
          <w:rFonts w:ascii="Times New Roman;serif" w:hAnsi="Times New Roman;serif"/>
          <w:b w:val="false"/>
          <w:sz w:val="22"/>
        </w:rPr>
        <w:t>for an assignment of Term Loans or Term Commitments, as applicable, to such bank, financial institution or other institutional lender or investor (such approval in each case not to be unreasonably withheld, conditioned or delayed) and Bidco.</w:t>
      </w:r>
    </w:p>
    <w:p>
      <w:pPr>
        <w:pStyle w:val="TextBody"/>
        <w:bidi w:val="0"/>
        <w:spacing w:before="0" w:after="240"/>
        <w:jc w:val="both"/>
        <w:rPr/>
      </w:pPr>
      <w:bookmarkStart w:id="73" w:name="docxtextref25"/>
      <w:bookmarkEnd w:id="73"/>
      <w:r>
        <w:rPr/>
        <w:t>“</w:t>
      </w:r>
      <w:r>
        <w:rPr>
          <w:rFonts w:ascii="Times New Roman;serif" w:hAnsi="Times New Roman;serif"/>
          <w:b w:val="false"/>
          <w:sz w:val="22"/>
          <w:u w:val="single"/>
        </w:rPr>
        <w:t>Adjusted LIBO Rate</w:t>
      </w:r>
      <w:r>
        <w:rPr>
          <w:rFonts w:ascii="Times New Roman" w:hAnsi="Times New Roman"/>
          <w:sz w:val="20"/>
        </w:rPr>
        <w:t xml:space="preserve">” </w:t>
      </w:r>
      <w:r>
        <w:rPr>
          <w:rFonts w:ascii="Times New Roman;serif" w:hAnsi="Times New Roman;serif"/>
          <w:b w:val="false"/>
          <w:sz w:val="22"/>
        </w:rPr>
        <w:t>means, with respect to any Eurodollar Borrowing for any Interest Period, a rate per annum (rounded upwards, if necessary, to the next 1/100th of 1%) equal to the product of (i)</w:t>
      </w:r>
      <w:r>
        <w:rPr>
          <w:rFonts w:ascii="Times New Roman" w:hAnsi="Times New Roman"/>
          <w:sz w:val="20"/>
        </w:rPr>
        <w:t xml:space="preserve"> </w:t>
      </w:r>
      <w:r>
        <w:rPr>
          <w:rFonts w:ascii="Times New Roman;serif" w:hAnsi="Times New Roman;serif"/>
          <w:b w:val="false"/>
          <w:sz w:val="22"/>
        </w:rPr>
        <w:t xml:space="preserve">the LIBO Rate as in effect at such time for such Interest Period and (ii) the Statutory Reserve Rate;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Adjusted LIBO Rate for any Interest Period shall not be less than </w:t>
      </w:r>
      <w:bookmarkStart w:id="74" w:name="docxtextref24"/>
      <w:bookmarkEnd w:id="74"/>
      <w:r>
        <w:rPr>
          <w:rFonts w:ascii="Times New Roman;serif" w:hAnsi="Times New Roman;serif"/>
          <w:b w:val="false"/>
          <w:sz w:val="22"/>
        </w:rPr>
        <w:t>1.00% per annum.</w:t>
      </w:r>
    </w:p>
    <w:p>
      <w:pPr>
        <w:pStyle w:val="TextBody"/>
        <w:bidi w:val="0"/>
        <w:spacing w:before="0" w:after="240"/>
        <w:jc w:val="both"/>
        <w:rPr/>
      </w:pPr>
      <w:r>
        <w:rPr/>
        <w:t>“</w:t>
      </w:r>
      <w:r>
        <w:rPr>
          <w:rFonts w:ascii="Times New Roman;serif" w:hAnsi="Times New Roman;serif"/>
          <w:b w:val="false"/>
          <w:sz w:val="22"/>
          <w:u w:val="single"/>
        </w:rPr>
        <w:t>Administrative Agent</w:t>
      </w:r>
      <w:r>
        <w:rPr>
          <w:rFonts w:ascii="Times New Roman" w:hAnsi="Times New Roman"/>
          <w:sz w:val="20"/>
        </w:rPr>
        <w:t xml:space="preserve">” </w:t>
      </w:r>
      <w:r>
        <w:rPr>
          <w:rFonts w:ascii="Times New Roman;serif" w:hAnsi="Times New Roman;serif"/>
          <w:b w:val="false"/>
          <w:sz w:val="22"/>
        </w:rPr>
        <w:t xml:space="preserve">means Barclays, in its capacity as administrative agent hereunder and under the other Loan Documents, and its successors in such capacity as provided in </w:t>
      </w:r>
      <w:r>
        <w:rPr>
          <w:rFonts w:ascii="Times New Roman;serif" w:hAnsi="Times New Roman;serif"/>
          <w:b w:val="false"/>
          <w:sz w:val="22"/>
          <w:u w:val="single"/>
        </w:rPr>
        <w:t>Article VIII</w:t>
      </w:r>
      <w:r>
        <w:rPr>
          <w:rFonts w:ascii="Times New Roman;serif" w:hAnsi="Times New Roman;serif"/>
          <w:b w:val="false"/>
          <w:sz w:val="22"/>
        </w:rPr>
        <w:t>.</w:t>
      </w:r>
    </w:p>
    <w:p>
      <w:pPr>
        <w:pStyle w:val="TextBody"/>
        <w:bidi w:val="0"/>
        <w:spacing w:before="0" w:after="240"/>
        <w:jc w:val="both"/>
        <w:rPr/>
      </w:pPr>
      <w:bookmarkStart w:id="75" w:name="docxtextref26"/>
      <w:bookmarkEnd w:id="75"/>
      <w:r>
        <w:rPr/>
        <w:t>“</w:t>
      </w:r>
      <w:r>
        <w:rPr>
          <w:rFonts w:ascii="Times New Roman;serif" w:hAnsi="Times New Roman;serif"/>
          <w:b w:val="false"/>
          <w:sz w:val="22"/>
          <w:u w:val="single"/>
        </w:rPr>
        <w:t>Administrative Agent’s Office</w:t>
      </w:r>
      <w:r>
        <w:rPr>
          <w:rFonts w:ascii="Times New Roman" w:hAnsi="Times New Roman"/>
          <w:sz w:val="20"/>
        </w:rPr>
        <w:t xml:space="preserve">” </w:t>
      </w:r>
      <w:r>
        <w:rPr>
          <w:rFonts w:ascii="Times New Roman;serif" w:hAnsi="Times New Roman;serif"/>
          <w:b w:val="false"/>
          <w:sz w:val="22"/>
        </w:rPr>
        <w:t xml:space="preserve">means the Administrative Agent’s address and, as appropriate, account as set forth on </w:t>
      </w:r>
      <w:r>
        <w:rPr>
          <w:rFonts w:ascii="Times New Roman;serif" w:hAnsi="Times New Roman;serif"/>
          <w:b w:val="false"/>
          <w:sz w:val="22"/>
          <w:u w:val="single"/>
        </w:rPr>
        <w:t>Schedule 9.01</w:t>
      </w:r>
      <w:r>
        <w:rPr>
          <w:rFonts w:ascii="Times New Roman;serif" w:hAnsi="Times New Roman;serif"/>
          <w:b w:val="false"/>
          <w:sz w:val="22"/>
        </w:rPr>
        <w:t>, or such other address or account as the Administrative Agent may from time to time notify Bidco and the Borrowers and the Lenders.</w:t>
      </w:r>
    </w:p>
    <w:p>
      <w:pPr>
        <w:pStyle w:val="TextBody"/>
        <w:bidi w:val="0"/>
        <w:spacing w:before="0" w:after="240"/>
        <w:jc w:val="both"/>
        <w:rPr/>
      </w:pPr>
      <w:r>
        <w:rPr/>
        <w:t>“</w:t>
      </w:r>
      <w:r>
        <w:rPr>
          <w:rFonts w:ascii="Times New Roman;serif" w:hAnsi="Times New Roman;serif"/>
          <w:b w:val="false"/>
          <w:sz w:val="22"/>
          <w:u w:val="single"/>
        </w:rPr>
        <w:t>Administrative Questionnaire</w:t>
      </w:r>
      <w:r>
        <w:rPr>
          <w:rFonts w:ascii="Times New Roman" w:hAnsi="Times New Roman"/>
          <w:sz w:val="20"/>
        </w:rPr>
        <w:t xml:space="preserve">” </w:t>
      </w:r>
      <w:r>
        <w:rPr>
          <w:rFonts w:ascii="Times New Roman;serif" w:hAnsi="Times New Roman;serif"/>
          <w:b w:val="false"/>
          <w:sz w:val="22"/>
        </w:rPr>
        <w:t>means an administrative questionnaire in a form supplied by the Administrative Agent.</w:t>
      </w:r>
    </w:p>
    <w:p>
      <w:pPr>
        <w:pStyle w:val="TextBody"/>
        <w:bidi w:val="0"/>
        <w:spacing w:before="0" w:after="240"/>
        <w:jc w:val="both"/>
        <w:rPr/>
      </w:pPr>
      <w:r>
        <w:rPr/>
        <w:t>“</w:t>
      </w:r>
      <w:r>
        <w:rPr>
          <w:rFonts w:ascii="Times New Roman;serif" w:hAnsi="Times New Roman;serif"/>
          <w:b w:val="false"/>
          <w:sz w:val="22"/>
          <w:u w:val="single"/>
        </w:rPr>
        <w:t>Affected Class</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2.23(a)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Affiliate</w:t>
      </w:r>
      <w:r>
        <w:rPr>
          <w:rFonts w:ascii="Times New Roman" w:hAnsi="Times New Roman"/>
          <w:sz w:val="20"/>
        </w:rPr>
        <w:t xml:space="preserve">” </w:t>
      </w:r>
      <w:r>
        <w:rPr>
          <w:rFonts w:ascii="Times New Roman;serif" w:hAnsi="Times New Roman;serif"/>
          <w:b w:val="false"/>
          <w:sz w:val="22"/>
        </w:rPr>
        <w:t>means, with respect to a specified Person, another Person that directly or indirectly Controls or is Controlled by or is under common Control with the Person specified.</w:t>
      </w:r>
    </w:p>
    <w:p>
      <w:pPr>
        <w:pStyle w:val="TextBody"/>
        <w:bidi w:val="0"/>
        <w:spacing w:before="0" w:after="240"/>
        <w:jc w:val="both"/>
        <w:rPr/>
      </w:pPr>
      <w:r>
        <w:rPr/>
        <w:t>“</w:t>
      </w:r>
      <w:r>
        <w:rPr>
          <w:rFonts w:ascii="Times New Roman;serif" w:hAnsi="Times New Roman;serif"/>
          <w:b w:val="false"/>
          <w:sz w:val="22"/>
          <w:u w:val="single"/>
        </w:rPr>
        <w:t>Affiliated Debt Fund</w:t>
      </w:r>
      <w:r>
        <w:rPr>
          <w:rFonts w:ascii="Times New Roman" w:hAnsi="Times New Roman"/>
          <w:sz w:val="20"/>
        </w:rPr>
        <w:t xml:space="preserve">” </w:t>
      </w:r>
      <w:r>
        <w:rPr>
          <w:rFonts w:ascii="Times New Roman;serif" w:hAnsi="Times New Roman;serif"/>
          <w:b w:val="false"/>
          <w:sz w:val="22"/>
        </w:rPr>
        <w:t>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Affiliated Lender</w:t>
      </w:r>
      <w:r>
        <w:rPr>
          <w:rFonts w:ascii="Times New Roman" w:hAnsi="Times New Roman"/>
          <w:sz w:val="20"/>
        </w:rPr>
        <w:t xml:space="preserve">” </w:t>
      </w:r>
      <w:r>
        <w:rPr>
          <w:rFonts w:ascii="Times New Roman;serif" w:hAnsi="Times New Roman;serif"/>
          <w:b w:val="false"/>
          <w:sz w:val="22"/>
        </w:rPr>
        <w:t>means, at any time, any Lender that is an Investor or an Affiliate of an Investor (other than Holdings, Bidco or any of their respective Subsidiaries) at such time, to the extent that such Investor or its Affiliates constitute an Affiliate of Holdings, Bidco or its Subsidiaries.</w:t>
      </w:r>
    </w:p>
    <w:p>
      <w:pPr>
        <w:pStyle w:val="TextBody"/>
        <w:bidi w:val="0"/>
        <w:spacing w:before="0" w:after="240"/>
        <w:jc w:val="both"/>
        <w:rPr/>
      </w:pPr>
      <w:r>
        <w:rPr/>
        <w:t>“</w:t>
      </w:r>
      <w:r>
        <w:rPr>
          <w:rFonts w:ascii="Times New Roman;serif" w:hAnsi="Times New Roman;serif"/>
          <w:b w:val="false"/>
          <w:sz w:val="22"/>
          <w:u w:val="single"/>
        </w:rPr>
        <w:t>Agent</w:t>
      </w:r>
      <w:r>
        <w:rPr>
          <w:rFonts w:ascii="Times New Roman" w:hAnsi="Times New Roman"/>
          <w:sz w:val="20"/>
        </w:rPr>
        <w:t xml:space="preserve">” </w:t>
      </w:r>
      <w:r>
        <w:rPr>
          <w:rFonts w:ascii="Times New Roman;serif" w:hAnsi="Times New Roman;serif"/>
          <w:b w:val="false"/>
          <w:sz w:val="22"/>
        </w:rPr>
        <w:t>means the Administrative Agent, the Collateral Agent, each Joint Lead Arranger, and any successors and assigns of the foregoing in such capacity, and “</w:t>
      </w:r>
      <w:r>
        <w:rPr>
          <w:rFonts w:ascii="Times New Roman;serif" w:hAnsi="Times New Roman;serif"/>
          <w:b w:val="false"/>
          <w:sz w:val="22"/>
          <w:u w:val="single"/>
        </w:rPr>
        <w:t>Agents</w:t>
      </w:r>
      <w:r>
        <w:rPr>
          <w:rFonts w:ascii="Times New Roman" w:hAnsi="Times New Roman"/>
          <w:sz w:val="20"/>
        </w:rPr>
        <w:t xml:space="preserve">” </w:t>
      </w:r>
      <w:r>
        <w:rPr>
          <w:rFonts w:ascii="Times New Roman;serif" w:hAnsi="Times New Roman;serif"/>
          <w:b w:val="false"/>
          <w:sz w:val="22"/>
        </w:rPr>
        <w:t>means two or more of them.</w:t>
      </w:r>
    </w:p>
    <w:p>
      <w:pPr>
        <w:pStyle w:val="TextBody"/>
        <w:bidi w:val="0"/>
        <w:spacing w:before="0" w:after="240"/>
        <w:jc w:val="both"/>
        <w:rPr/>
      </w:pPr>
      <w:r>
        <w:rPr/>
        <w:t>“</w:t>
      </w:r>
      <w:r>
        <w:rPr>
          <w:rFonts w:ascii="Times New Roman;serif" w:hAnsi="Times New Roman;serif"/>
          <w:b w:val="false"/>
          <w:sz w:val="22"/>
          <w:u w:val="single"/>
        </w:rPr>
        <w:t>Agent Parties</w:t>
      </w:r>
      <w:r>
        <w:rPr>
          <w:rFonts w:ascii="Times New Roman" w:hAnsi="Times New Roman"/>
          <w:sz w:val="20"/>
        </w:rPr>
        <w:t xml:space="preserve">” </w:t>
      </w:r>
      <w:r>
        <w:rPr>
          <w:rFonts w:ascii="Times New Roman;serif" w:hAnsi="Times New Roman;serif"/>
          <w:b w:val="false"/>
          <w:sz w:val="22"/>
        </w:rPr>
        <w:t xml:space="preserve">has the meaning given to such term in </w:t>
      </w:r>
      <w:r>
        <w:rPr>
          <w:rFonts w:ascii="Times New Roman;serif" w:hAnsi="Times New Roman;serif"/>
          <w:b w:val="false"/>
          <w:sz w:val="22"/>
          <w:u w:val="single"/>
        </w:rPr>
        <w:t>Section 9.01(c)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Agreed Security Principles</w:t>
      </w:r>
      <w:r>
        <w:rPr>
          <w:rFonts w:ascii="Times New Roman" w:hAnsi="Times New Roman"/>
          <w:sz w:val="20"/>
        </w:rPr>
        <w:t xml:space="preserve">” </w:t>
      </w:r>
      <w:r>
        <w:rPr>
          <w:rFonts w:ascii="Times New Roman;serif" w:hAnsi="Times New Roman;serif"/>
          <w:b w:val="false"/>
          <w:sz w:val="22"/>
        </w:rPr>
        <w:t xml:space="preserve">means those principles set forth on </w:t>
      </w:r>
      <w:r>
        <w:rPr>
          <w:rFonts w:ascii="Times New Roman;serif" w:hAnsi="Times New Roman;serif"/>
          <w:b w:val="false"/>
          <w:sz w:val="22"/>
          <w:u w:val="single"/>
        </w:rPr>
        <w:t>Schedule 1.01(a)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Agreement</w:t>
      </w:r>
      <w:r>
        <w:rPr>
          <w:rFonts w:ascii="Times New Roman" w:hAnsi="Times New Roman"/>
          <w:sz w:val="20"/>
        </w:rPr>
        <w:t xml:space="preserve">” </w:t>
      </w:r>
      <w:r>
        <w:rPr>
          <w:rFonts w:ascii="Times New Roman;serif" w:hAnsi="Times New Roman;serif"/>
          <w:b w:val="false"/>
          <w:sz w:val="22"/>
        </w:rPr>
        <w:t>has the meaning given to such term in the preliminary statements hereto.</w:t>
      </w:r>
    </w:p>
    <w:p>
      <w:pPr>
        <w:pStyle w:val="TextBody"/>
        <w:bidi w:val="0"/>
        <w:spacing w:before="0" w:after="240"/>
        <w:jc w:val="both"/>
        <w:rPr/>
      </w:pPr>
      <w:r>
        <w:rPr/>
        <w:t>“</w:t>
      </w:r>
      <w:r>
        <w:rPr>
          <w:rFonts w:ascii="Times New Roman;serif" w:hAnsi="Times New Roman;serif"/>
          <w:b w:val="false"/>
          <w:sz w:val="22"/>
          <w:u w:val="single"/>
        </w:rPr>
        <w:t>Agreement Currency</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9.22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Allocation Date</w:t>
      </w:r>
      <w:r>
        <w:rPr>
          <w:rFonts w:ascii="Times New Roman" w:hAnsi="Times New Roman"/>
          <w:sz w:val="20"/>
        </w:rPr>
        <w:t xml:space="preserve">” </w:t>
      </w:r>
      <w:r>
        <w:rPr>
          <w:rFonts w:ascii="Times New Roman;serif" w:hAnsi="Times New Roman;serif"/>
          <w:b w:val="false"/>
          <w:sz w:val="22"/>
        </w:rPr>
        <w:t>means the date of the initial allocation of the Initial Term Loans, which date was September 23, 2019.</w:t>
      </w:r>
    </w:p>
    <w:p>
      <w:pPr>
        <w:pStyle w:val="TextBody"/>
        <w:bidi w:val="0"/>
        <w:spacing w:before="0" w:after="240"/>
        <w:jc w:val="both"/>
        <w:rPr/>
      </w:pPr>
      <w:bookmarkStart w:id="76" w:name="docxtextref31"/>
      <w:bookmarkEnd w:id="76"/>
      <w:r>
        <w:rPr/>
        <w:t>“</w:t>
      </w:r>
      <w:r>
        <w:rPr>
          <w:rFonts w:ascii="Times New Roman;serif" w:hAnsi="Times New Roman;serif"/>
          <w:b w:val="false"/>
          <w:sz w:val="22"/>
          <w:u w:val="single"/>
        </w:rPr>
        <w:t>Alternate Base Rate</w:t>
      </w:r>
      <w:r>
        <w:rPr>
          <w:rFonts w:ascii="Times New Roman" w:hAnsi="Times New Roman"/>
          <w:sz w:val="20"/>
        </w:rPr>
        <w:t xml:space="preserve">” </w:t>
      </w:r>
      <w:r>
        <w:rPr>
          <w:rFonts w:ascii="Times New Roman;serif" w:hAnsi="Times New Roman;serif"/>
          <w:b w:val="false"/>
          <w:sz w:val="22"/>
        </w:rPr>
        <w:t>means, for any day, a rate per annum equal to the greatest of (a)</w:t>
      </w:r>
      <w:r>
        <w:rPr>
          <w:rFonts w:ascii="Times New Roman" w:hAnsi="Times New Roman"/>
          <w:sz w:val="20"/>
        </w:rPr>
        <w:t xml:space="preserve"> </w:t>
      </w:r>
      <w:r>
        <w:rPr>
          <w:rFonts w:ascii="Times New Roman;serif" w:hAnsi="Times New Roman;serif"/>
          <w:b w:val="false"/>
          <w:sz w:val="22"/>
        </w:rPr>
        <w:t xml:space="preserve">the Prime Rate in effect on such day, </w:t>
      </w:r>
      <w:bookmarkStart w:id="77" w:name="docxtextref32"/>
      <w:bookmarkEnd w:id="7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Federal Funds Effective Rate in effect on such day plus ½ of </w:t>
      </w:r>
      <w:bookmarkStart w:id="78" w:name="docxtextref29"/>
      <w:bookmarkEnd w:id="78"/>
      <w:r>
        <w:rPr>
          <w:rFonts w:ascii="Times New Roman;serif" w:hAnsi="Times New Roman;serif"/>
          <w:b w:val="false"/>
          <w:sz w:val="22"/>
        </w:rPr>
        <w:t xml:space="preserve">1.00% and </w:t>
      </w:r>
      <w:bookmarkStart w:id="79" w:name="docxtextref33"/>
      <w:bookmarkEnd w:id="7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Adjusted LIBO Rate for the applicable Loan on such day (or if such day is not a Business Day, the immediately preceding Business Day) for a deposit in dollars with a maturity of one month plus </w:t>
      </w:r>
      <w:bookmarkStart w:id="80" w:name="docxtextref30"/>
      <w:bookmarkEnd w:id="80"/>
      <w:r>
        <w:rPr>
          <w:rFonts w:ascii="Times New Roman;serif" w:hAnsi="Times New Roman;serif"/>
          <w:b w:val="false"/>
          <w:sz w:val="22"/>
        </w:rPr>
        <w:t xml:space="preserve">1.00%;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solely for purposes of the foregoing, the Adjusted LIBO Rate for any day shall be calculated using the LIBO Rate based on the rate per annum determined by the Administrative Agent by reference to the ICE Benchmark Administration Interest Settlement Rates (as set forth by any service selected by the Administrative Agent that has been nominated by the ICE Benchmark Administration Limited (or any Person which takes over the administration of that rate) as an authorized information vendor for the purpose of displaying such rates) (the “</w:t>
      </w:r>
      <w:r>
        <w:rPr>
          <w:rFonts w:ascii="Times New Roman;serif" w:hAnsi="Times New Roman;serif"/>
          <w:b w:val="false"/>
          <w:sz w:val="22"/>
          <w:u w:val="single"/>
        </w:rPr>
        <w:t>ICE LIBOR</w:t>
      </w:r>
      <w:r>
        <w:rPr>
          <w:rFonts w:ascii="Times New Roman" w:hAnsi="Times New Roman"/>
          <w:sz w:val="20"/>
        </w:rPr>
        <w:t>”</w:t>
      </w:r>
      <w:r>
        <w:rPr>
          <w:rFonts w:ascii="Times New Roman;serif" w:hAnsi="Times New Roman;serif"/>
          <w:b w:val="false"/>
          <w:sz w:val="22"/>
        </w:rPr>
        <w:t xml:space="preserve">) as published by Reuters (or such other commercially available source providing quotations of ICE LIBOR as may be designated by the Administrative Agent from time to time) on such day at approximately 11:00 a.m. (London time) for deposits in dollars for a period equal to one month. If the Administrative Agent shall have determined (which determination shall be conclusive absent manifest error) that it is unable to ascertain the Federal Funds Effective Rate or the Adjusted LIBO Rate for any reason, including the inability or failure of the Administrative Agent to obtain sufficient quotations in accordance with the terms of the definition of “Federal Funds Effective Rate”, the Alternate Base Rate shall be determined without regard to clause (b) or </w:t>
      </w:r>
      <w:bookmarkStart w:id="81" w:name="docxtextref34"/>
      <w:bookmarkEnd w:id="8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above, as applicable, of the preceding sentence until the circumstances giving rise to such inability no longer exist.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pStyle w:val="TextBody"/>
        <w:bidi w:val="0"/>
        <w:spacing w:before="0" w:after="240"/>
        <w:jc w:val="both"/>
        <w:rPr/>
      </w:pPr>
      <w:r>
        <w:rPr/>
        <w:t>“</w:t>
      </w:r>
      <w:r>
        <w:rPr>
          <w:rFonts w:ascii="Times New Roman;serif" w:hAnsi="Times New Roman;serif"/>
          <w:b w:val="false"/>
          <w:sz w:val="22"/>
          <w:u w:val="single"/>
        </w:rPr>
        <w:t>Alternative Currency</w:t>
      </w:r>
      <w:r>
        <w:rPr>
          <w:rFonts w:ascii="Times New Roman" w:hAnsi="Times New Roman"/>
          <w:sz w:val="20"/>
        </w:rPr>
        <w:t xml:space="preserve">” </w:t>
      </w:r>
      <w:r>
        <w:rPr>
          <w:rFonts w:ascii="Times New Roman;serif" w:hAnsi="Times New Roman;serif"/>
          <w:b w:val="false"/>
          <w:sz w:val="22"/>
        </w:rPr>
        <w:t xml:space="preserve">means Euros, Sterling, Swiss Francs, Yen, Canadian Dollars and each other currency (other than dollars) that is requested by Bidco or the Borrowers and approved in accordance with </w:t>
      </w:r>
      <w:r>
        <w:rPr>
          <w:rFonts w:ascii="Times New Roman;serif" w:hAnsi="Times New Roman;serif"/>
          <w:b w:val="false"/>
          <w:sz w:val="22"/>
          <w:u w:val="single"/>
        </w:rPr>
        <w:t>Section 1.08</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Alternative Currency Equivalent</w:t>
      </w:r>
      <w:r>
        <w:rPr>
          <w:rFonts w:ascii="Times New Roman" w:hAnsi="Times New Roman"/>
          <w:sz w:val="20"/>
        </w:rPr>
        <w:t xml:space="preserve">” </w:t>
      </w:r>
      <w:r>
        <w:rPr>
          <w:rFonts w:ascii="Times New Roman;serif" w:hAnsi="Times New Roman;serif"/>
          <w:b w:val="false"/>
          <w:sz w:val="22"/>
        </w:rPr>
        <w:t>means,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or other applicable date of determination) for the purchase of such Alternative Currency with dollars.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Announcement</w:t>
      </w:r>
      <w:r>
        <w:rPr>
          <w:rFonts w:ascii="Times New Roman" w:hAnsi="Times New Roman"/>
          <w:sz w:val="20"/>
        </w:rPr>
        <w:t xml:space="preserve">” </w:t>
      </w:r>
      <w:r>
        <w:rPr>
          <w:rFonts w:ascii="Times New Roman;serif" w:hAnsi="Times New Roman;serif"/>
          <w:b w:val="false"/>
          <w:sz w:val="22"/>
        </w:rPr>
        <w:t>means the press release made by Bidco, dated as of March 25, 2019, announcing a firm intention to implement the Scheme in accordance with Rule 2.7 of the City Code.</w:t>
      </w:r>
    </w:p>
    <w:p>
      <w:pPr>
        <w:pStyle w:val="TextBody"/>
        <w:bidi w:val="0"/>
        <w:spacing w:before="0" w:after="240"/>
        <w:jc w:val="both"/>
        <w:rPr/>
      </w:pPr>
      <w:r>
        <w:rPr/>
        <w:t>“</w:t>
      </w:r>
      <w:r>
        <w:rPr>
          <w:rFonts w:ascii="Times New Roman;serif" w:hAnsi="Times New Roman;serif"/>
          <w:b w:val="false"/>
          <w:sz w:val="22"/>
          <w:u w:val="single"/>
        </w:rPr>
        <w:t>Anti-Corruption Laws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3.18(a)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Applicable Account</w:t>
      </w:r>
      <w:r>
        <w:rPr>
          <w:rFonts w:ascii="Times New Roman" w:hAnsi="Times New Roman"/>
          <w:sz w:val="20"/>
        </w:rPr>
        <w:t xml:space="preserve">” </w:t>
      </w:r>
      <w:r>
        <w:rPr>
          <w:rFonts w:ascii="Times New Roman;serif" w:hAnsi="Times New Roman;serif"/>
          <w:b w:val="false"/>
          <w:sz w:val="22"/>
        </w:rPr>
        <w:t>means, with respect to any payment to be made to the Administrative Agent hereunder, the account specified by the Administrative Agent from time to time for the purpose of receiving payments of such type.</w:t>
      </w:r>
    </w:p>
    <w:p>
      <w:pPr>
        <w:pStyle w:val="TextBody"/>
        <w:bidi w:val="0"/>
        <w:spacing w:before="0" w:after="240"/>
        <w:jc w:val="both"/>
        <w:rPr/>
      </w:pPr>
      <w:r>
        <w:rPr/>
        <w:t>“</w:t>
      </w:r>
      <w:r>
        <w:rPr>
          <w:rFonts w:ascii="Times New Roman;serif" w:hAnsi="Times New Roman;serif"/>
          <w:b w:val="false"/>
          <w:sz w:val="22"/>
          <w:u w:val="single"/>
        </w:rPr>
        <w:t>Applicable Discount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2.10(a)(ii)(C)(2)</w:t>
      </w:r>
      <w:r>
        <w:rPr>
          <w:rFonts w:ascii="Times New Roman;serif" w:hAnsi="Times New Roman;serif"/>
          <w:b w:val="false"/>
          <w:sz w:val="22"/>
        </w:rPr>
        <w:t>.</w:t>
      </w:r>
    </w:p>
    <w:p>
      <w:pPr>
        <w:pStyle w:val="TextBody"/>
        <w:bidi w:val="0"/>
        <w:spacing w:before="0" w:after="240"/>
        <w:jc w:val="both"/>
        <w:rPr/>
      </w:pPr>
      <w:bookmarkStart w:id="82" w:name="docxtextref38"/>
      <w:bookmarkEnd w:id="82"/>
      <w:r>
        <w:rPr/>
        <w:t>“</w:t>
      </w:r>
      <w:r>
        <w:rPr>
          <w:rFonts w:ascii="Times New Roman;serif" w:hAnsi="Times New Roman;serif"/>
          <w:b w:val="false"/>
          <w:sz w:val="22"/>
          <w:u w:val="single"/>
        </w:rPr>
        <w:t>Applicable Fronting Exposure</w:t>
      </w:r>
      <w:r>
        <w:rPr>
          <w:rFonts w:ascii="Times New Roman" w:hAnsi="Times New Roman"/>
          <w:sz w:val="20"/>
        </w:rPr>
        <w:t xml:space="preserve">” </w:t>
      </w:r>
      <w:r>
        <w:rPr>
          <w:rFonts w:ascii="Times New Roman;serif" w:hAnsi="Times New Roman;serif"/>
          <w:b w:val="false"/>
          <w:sz w:val="22"/>
        </w:rPr>
        <w:t>means, with respect to any Person that is an Issuing Bank or the Swingline Lender at any time the sum of (a)</w:t>
      </w:r>
      <w:r>
        <w:rPr>
          <w:rFonts w:ascii="Times New Roman" w:hAnsi="Times New Roman"/>
          <w:sz w:val="20"/>
        </w:rPr>
        <w:t xml:space="preserve"> </w:t>
      </w:r>
      <w:r>
        <w:rPr>
          <w:rFonts w:ascii="Times New Roman;serif" w:hAnsi="Times New Roman;serif"/>
          <w:b w:val="false"/>
          <w:sz w:val="22"/>
        </w:rPr>
        <w:t xml:space="preserve">the aggregate amount of all Letters of Credit issued by such Person in its capacity as an Issuing Bank (if applicable) that remains available for drawing at such time, </w:t>
      </w:r>
      <w:bookmarkStart w:id="83" w:name="docxtextref39"/>
      <w:bookmarkEnd w:id="8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aggregate amount of all LC Disbursements made by such Person in its capacity as an Issuing Bank (if applicable) that have not yet been reimbursed by or on behalf of the Revolving Borrowers at such time and (c) the aggregate principal amount of all Swingline Loans made by such Person in its capacity as a Swingline Lender (if applicable) outstanding at such time.</w:t>
      </w:r>
    </w:p>
    <w:p>
      <w:pPr>
        <w:pStyle w:val="TextBody"/>
        <w:bidi w:val="0"/>
        <w:spacing w:before="0" w:after="240"/>
        <w:jc w:val="both"/>
        <w:rPr/>
      </w:pPr>
      <w:r>
        <w:rPr/>
        <w:t>“</w:t>
      </w:r>
      <w:r>
        <w:rPr>
          <w:rFonts w:ascii="Times New Roman;serif" w:hAnsi="Times New Roman;serif"/>
          <w:b w:val="false"/>
          <w:sz w:val="22"/>
          <w:u w:val="single"/>
        </w:rPr>
        <w:t>Applicable Percentage</w:t>
      </w:r>
      <w:r>
        <w:rPr>
          <w:rFonts w:ascii="Times New Roman" w:hAnsi="Times New Roman"/>
          <w:sz w:val="20"/>
        </w:rPr>
        <w:t xml:space="preserve">” </w:t>
      </w:r>
      <w:r>
        <w:rPr>
          <w:rFonts w:ascii="Times New Roman;serif" w:hAnsi="Times New Roman;serif"/>
          <w:b w:val="false"/>
          <w:sz w:val="22"/>
        </w:rPr>
        <w:t xml:space="preserve">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pStyle w:val="TextBody"/>
        <w:bidi w:val="0"/>
        <w:spacing w:before="0" w:after="240"/>
        <w:jc w:val="both"/>
        <w:rPr/>
      </w:pPr>
      <w:r>
        <w:rPr/>
        <w:t>“</w:t>
      </w:r>
      <w:r>
        <w:rPr>
          <w:rFonts w:ascii="Times New Roman;serif" w:hAnsi="Times New Roman;serif"/>
          <w:b w:val="false"/>
          <w:sz w:val="22"/>
          <w:u w:val="single"/>
        </w:rPr>
        <w:t>Applicable Rate</w:t>
      </w:r>
      <w:r>
        <w:rPr>
          <w:rFonts w:ascii="Times New Roman" w:hAnsi="Times New Roman"/>
          <w:sz w:val="20"/>
        </w:rPr>
        <w:t xml:space="preserve">” </w:t>
      </w:r>
      <w:r>
        <w:rPr>
          <w:rFonts w:ascii="Times New Roman;serif" w:hAnsi="Times New Roman;serif"/>
          <w:b w:val="false"/>
          <w:sz w:val="22"/>
        </w:rPr>
        <w:t>means, for any day,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with respect to any Initial Term Loan, 3.50% per annum in the case of any ABR Loan or 4.50% per annum in the case of a Eurodollar Loan;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with respect to any Revolving Loan, the applicable rate per annum set forth below under the caption “ABR Spread” or “Adjusted LIBO Rate Spread” as the case may be, based upon the Senior Secured First Lien Net Leverage Ratio as of the end of the fiscal quarter of Bidco for which consolidated financial statements have theretofore been most recently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5.01(b)</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until the date of the delivery of the consolidated financial statements pursuant to </w:t>
      </w:r>
      <w:r>
        <w:rPr>
          <w:rFonts w:ascii="Times New Roman;serif" w:hAnsi="Times New Roman;serif"/>
          <w:b w:val="false"/>
          <w:sz w:val="22"/>
          <w:u w:val="single"/>
        </w:rPr>
        <w:t>Section 5.01</w:t>
      </w:r>
      <w:r>
        <w:rPr>
          <w:rFonts w:ascii="Times New Roman" w:hAnsi="Times New Roman"/>
          <w:sz w:val="20"/>
        </w:rPr>
        <w:t xml:space="preserve"> </w:t>
      </w:r>
      <w:r>
        <w:rPr>
          <w:rFonts w:ascii="Times New Roman;serif" w:hAnsi="Times New Roman;serif"/>
          <w:b w:val="false"/>
          <w:sz w:val="22"/>
        </w:rPr>
        <w:t>as of and for the fiscal year ended December 31, 2019, the Applicable Rate shall be based on the rates per annum set forth in Category 1:</w:t>
      </w:r>
    </w:p>
    <w:tbl>
      <w:tblPr>
        <w:tblW w:w="10068" w:type="dxa"/>
        <w:jc w:val="left"/>
        <w:tblInd w:w="0" w:type="dxa"/>
        <w:tblLayout w:type="fixed"/>
        <w:tblCellMar>
          <w:top w:w="28" w:type="dxa"/>
          <w:left w:w="28" w:type="dxa"/>
          <w:bottom w:w="28" w:type="dxa"/>
          <w:right w:w="28" w:type="dxa"/>
        </w:tblCellMar>
      </w:tblPr>
      <w:tblGrid>
        <w:gridCol w:w="6031"/>
        <w:gridCol w:w="1276"/>
        <w:gridCol w:w="2761"/>
      </w:tblGrid>
      <w:tr>
        <w:trPr/>
        <w:tc>
          <w:tcPr>
            <w:tcW w:w="6031"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r>
      <w:tr>
        <w:trPr/>
        <w:tc>
          <w:tcPr>
            <w:tcW w:w="603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60"/>
              <w:ind w:left="0" w:right="0" w:hanging="0"/>
              <w:jc w:val="left"/>
              <w:rPr>
                <w:rFonts w:ascii="Times New Roman;serif" w:hAnsi="Times New Roman;serif"/>
                <w:b w:val="false"/>
                <w:sz w:val="22"/>
                <w:u w:val="single"/>
              </w:rPr>
            </w:pPr>
            <w:r>
              <w:rPr>
                <w:rFonts w:ascii="Times New Roman;serif" w:hAnsi="Times New Roman;serif"/>
                <w:b w:val="false"/>
                <w:sz w:val="22"/>
                <w:u w:val="single"/>
              </w:rPr>
              <w:t>Senior Secured First Lien Net Leverage Ratio:</w:t>
            </w:r>
          </w:p>
        </w:tc>
        <w:tc>
          <w:tcPr>
            <w:tcW w:w="12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60"/>
              <w:ind w:left="0" w:right="0" w:hanging="0"/>
              <w:jc w:val="left"/>
              <w:rPr>
                <w:rFonts w:ascii="Times New Roman;serif" w:hAnsi="Times New Roman;serif"/>
                <w:b w:val="false"/>
                <w:sz w:val="22"/>
                <w:u w:val="single"/>
              </w:rPr>
            </w:pPr>
            <w:r>
              <w:rPr>
                <w:rFonts w:ascii="Times New Roman;serif" w:hAnsi="Times New Roman;serif"/>
                <w:b w:val="false"/>
                <w:sz w:val="22"/>
                <w:u w:val="single"/>
              </w:rPr>
              <w:t>ABR Spread</w:t>
            </w:r>
          </w:p>
        </w:tc>
        <w:tc>
          <w:tcPr>
            <w:tcW w:w="27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60"/>
              <w:ind w:left="0" w:right="0" w:hanging="0"/>
              <w:jc w:val="left"/>
              <w:rPr>
                <w:rFonts w:ascii="Times New Roman;serif" w:hAnsi="Times New Roman;serif"/>
                <w:b w:val="false"/>
                <w:sz w:val="22"/>
                <w:u w:val="single"/>
              </w:rPr>
            </w:pPr>
            <w:r>
              <w:rPr>
                <w:rFonts w:ascii="Times New Roman;serif" w:hAnsi="Times New Roman;serif"/>
                <w:b w:val="false"/>
                <w:sz w:val="22"/>
                <w:u w:val="single"/>
              </w:rPr>
              <w:t>Adjusted LIBO Rate Spread</w:t>
            </w:r>
          </w:p>
        </w:tc>
      </w:tr>
      <w:tr>
        <w:trPr/>
        <w:tc>
          <w:tcPr>
            <w:tcW w:w="603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ind w:left="0" w:right="0" w:hanging="0"/>
              <w:jc w:val="left"/>
              <w:rPr>
                <w:rFonts w:ascii="Times New Roman" w:hAnsi="Times New Roman"/>
                <w:sz w:val="22"/>
              </w:rPr>
            </w:pPr>
            <w:bookmarkStart w:id="84" w:name="docxtextref59"/>
            <w:bookmarkEnd w:id="84"/>
            <w:r>
              <w:rPr>
                <w:rFonts w:ascii="Times New Roman;serif" w:hAnsi="Times New Roman;serif"/>
                <w:b w:val="false"/>
                <w:sz w:val="22"/>
                <w:u w:val="single"/>
              </w:rPr>
              <w:t>Category 1</w:t>
            </w:r>
            <w:r>
              <w:rPr>
                <w:rFonts w:ascii="Times New Roman;serif" w:hAnsi="Times New Roman;serif"/>
                <w:b w:val="false"/>
                <w:sz w:val="22"/>
              </w:rPr>
              <w:br/>
              <w:t xml:space="preserve">Greater than 4.85 to </w:t>
            </w:r>
            <w:bookmarkStart w:id="85" w:name="docxtextref60"/>
            <w:bookmarkEnd w:id="85"/>
            <w:r>
              <w:rPr>
                <w:rFonts w:ascii="Times New Roman;serif" w:hAnsi="Times New Roman;serif"/>
                <w:b w:val="false"/>
                <w:sz w:val="22"/>
              </w:rPr>
              <w:t>1.00</w:t>
            </w:r>
          </w:p>
        </w:tc>
        <w:tc>
          <w:tcPr>
            <w:tcW w:w="1276"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hanging="0"/>
              <w:jc w:val="both"/>
              <w:rPr>
                <w:rFonts w:ascii="Times New Roman;serif" w:hAnsi="Times New Roman;serif"/>
                <w:b w:val="false"/>
                <w:sz w:val="22"/>
              </w:rPr>
            </w:pPr>
            <w:r>
              <w:rPr>
                <w:rFonts w:ascii="Times New Roman;serif" w:hAnsi="Times New Roman;serif"/>
                <w:b w:val="false"/>
                <w:sz w:val="22"/>
              </w:rPr>
              <w:t>2.50%</w:t>
            </w:r>
          </w:p>
        </w:tc>
        <w:tc>
          <w:tcPr>
            <w:tcW w:w="2761"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hanging="0"/>
              <w:jc w:val="both"/>
              <w:rPr>
                <w:rFonts w:ascii="Times New Roman;serif" w:hAnsi="Times New Roman;serif"/>
                <w:b w:val="false"/>
                <w:sz w:val="22"/>
              </w:rPr>
            </w:pPr>
            <w:r>
              <w:rPr>
                <w:rFonts w:ascii="Times New Roman;serif" w:hAnsi="Times New Roman;serif"/>
                <w:b w:val="false"/>
                <w:sz w:val="22"/>
              </w:rPr>
              <w:t>3.50%</w:t>
            </w:r>
          </w:p>
        </w:tc>
      </w:tr>
      <w:tr>
        <w:trPr/>
        <w:tc>
          <w:tcPr>
            <w:tcW w:w="603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ind w:left="0" w:right="0" w:hanging="0"/>
              <w:jc w:val="left"/>
              <w:rPr>
                <w:rFonts w:ascii="Times New Roman" w:hAnsi="Times New Roman"/>
                <w:sz w:val="22"/>
              </w:rPr>
            </w:pPr>
            <w:bookmarkStart w:id="86" w:name="docxtextref61"/>
            <w:bookmarkEnd w:id="86"/>
            <w:r>
              <w:rPr>
                <w:rFonts w:ascii="Times New Roman;serif" w:hAnsi="Times New Roman;serif"/>
                <w:b w:val="false"/>
                <w:sz w:val="22"/>
                <w:u w:val="single"/>
              </w:rPr>
              <w:t>Category 2</w:t>
            </w:r>
            <w:r>
              <w:rPr>
                <w:rFonts w:ascii="Times New Roman;serif" w:hAnsi="Times New Roman;serif"/>
                <w:b w:val="false"/>
                <w:sz w:val="22"/>
              </w:rPr>
              <w:br/>
              <w:t xml:space="preserve">Greater than 4.35 to </w:t>
            </w:r>
            <w:bookmarkStart w:id="87" w:name="docxtextref62"/>
            <w:bookmarkEnd w:id="87"/>
            <w:r>
              <w:rPr>
                <w:rFonts w:ascii="Times New Roman;serif" w:hAnsi="Times New Roman;serif"/>
                <w:b w:val="false"/>
                <w:sz w:val="22"/>
              </w:rPr>
              <w:t xml:space="preserve">1.00, but less than or equal to 4.85 to </w:t>
            </w:r>
            <w:bookmarkStart w:id="88" w:name="docxtextref63"/>
            <w:bookmarkEnd w:id="88"/>
            <w:r>
              <w:rPr>
                <w:rFonts w:ascii="Times New Roman;serif" w:hAnsi="Times New Roman;serif"/>
                <w:b w:val="false"/>
                <w:sz w:val="22"/>
              </w:rPr>
              <w:t>1.00</w:t>
            </w:r>
          </w:p>
        </w:tc>
        <w:tc>
          <w:tcPr>
            <w:tcW w:w="1276"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hanging="0"/>
              <w:jc w:val="both"/>
              <w:rPr>
                <w:rFonts w:ascii="Times New Roman;serif" w:hAnsi="Times New Roman;serif"/>
                <w:b w:val="false"/>
                <w:sz w:val="22"/>
              </w:rPr>
            </w:pPr>
            <w:r>
              <w:rPr>
                <w:rFonts w:ascii="Times New Roman;serif" w:hAnsi="Times New Roman;serif"/>
                <w:b w:val="false"/>
                <w:sz w:val="22"/>
              </w:rPr>
              <w:t>2.25%</w:t>
            </w:r>
          </w:p>
        </w:tc>
        <w:tc>
          <w:tcPr>
            <w:tcW w:w="2761"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hanging="0"/>
              <w:jc w:val="both"/>
              <w:rPr>
                <w:rFonts w:ascii="Times New Roman;serif" w:hAnsi="Times New Roman;serif"/>
                <w:b w:val="false"/>
                <w:sz w:val="22"/>
              </w:rPr>
            </w:pPr>
            <w:r>
              <w:rPr>
                <w:rFonts w:ascii="Times New Roman;serif" w:hAnsi="Times New Roman;serif"/>
                <w:b w:val="false"/>
                <w:sz w:val="22"/>
              </w:rPr>
              <w:t>3.25%</w:t>
            </w:r>
          </w:p>
        </w:tc>
      </w:tr>
    </w:tbl>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8448" w:type="dxa"/>
        <w:jc w:val="left"/>
        <w:tblInd w:w="0" w:type="dxa"/>
        <w:tblLayout w:type="fixed"/>
        <w:tblCellMar>
          <w:top w:w="28" w:type="dxa"/>
          <w:left w:w="28" w:type="dxa"/>
          <w:bottom w:w="28" w:type="dxa"/>
          <w:right w:w="28" w:type="dxa"/>
        </w:tblCellMar>
      </w:tblPr>
      <w:tblGrid>
        <w:gridCol w:w="4411"/>
        <w:gridCol w:w="1276"/>
        <w:gridCol w:w="2761"/>
      </w:tblGrid>
      <w:tr>
        <w:trPr/>
        <w:tc>
          <w:tcPr>
            <w:tcW w:w="4411"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r>
      <w:tr>
        <w:trPr/>
        <w:tc>
          <w:tcPr>
            <w:tcW w:w="44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60"/>
              <w:ind w:left="0" w:right="0" w:hanging="0"/>
              <w:jc w:val="left"/>
              <w:rPr>
                <w:rFonts w:ascii="Times New Roman;serif" w:hAnsi="Times New Roman;serif"/>
                <w:b w:val="false"/>
                <w:sz w:val="22"/>
                <w:u w:val="single"/>
              </w:rPr>
            </w:pPr>
            <w:r>
              <w:rPr>
                <w:rFonts w:ascii="Times New Roman;serif" w:hAnsi="Times New Roman;serif"/>
                <w:b w:val="false"/>
                <w:sz w:val="22"/>
                <w:u w:val="single"/>
              </w:rPr>
              <w:t>Senior Secured First Lien Net Leverage Ratio:</w:t>
            </w:r>
          </w:p>
        </w:tc>
        <w:tc>
          <w:tcPr>
            <w:tcW w:w="12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60"/>
              <w:ind w:left="0" w:right="0" w:hanging="0"/>
              <w:jc w:val="left"/>
              <w:rPr>
                <w:rFonts w:ascii="Times New Roman;serif" w:hAnsi="Times New Roman;serif"/>
                <w:b w:val="false"/>
                <w:sz w:val="22"/>
                <w:u w:val="single"/>
              </w:rPr>
            </w:pPr>
            <w:r>
              <w:rPr>
                <w:rFonts w:ascii="Times New Roman;serif" w:hAnsi="Times New Roman;serif"/>
                <w:b w:val="false"/>
                <w:sz w:val="22"/>
                <w:u w:val="single"/>
              </w:rPr>
              <w:t>ABR Spread</w:t>
            </w:r>
          </w:p>
        </w:tc>
        <w:tc>
          <w:tcPr>
            <w:tcW w:w="27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60"/>
              <w:ind w:left="0" w:right="0" w:hanging="0"/>
              <w:jc w:val="left"/>
              <w:rPr>
                <w:rFonts w:ascii="Times New Roman;serif" w:hAnsi="Times New Roman;serif"/>
                <w:b w:val="false"/>
                <w:sz w:val="22"/>
                <w:u w:val="single"/>
              </w:rPr>
            </w:pPr>
            <w:r>
              <w:rPr>
                <w:rFonts w:ascii="Times New Roman;serif" w:hAnsi="Times New Roman;serif"/>
                <w:b w:val="false"/>
                <w:sz w:val="22"/>
                <w:u w:val="single"/>
              </w:rPr>
              <w:t>Adjusted LIBO Rate Spread</w:t>
            </w:r>
          </w:p>
        </w:tc>
      </w:tr>
      <w:tr>
        <w:trPr/>
        <w:tc>
          <w:tcPr>
            <w:tcW w:w="44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ind w:left="0" w:right="0" w:hanging="0"/>
              <w:jc w:val="left"/>
              <w:rPr>
                <w:rFonts w:ascii="Times New Roman" w:hAnsi="Times New Roman"/>
                <w:sz w:val="22"/>
              </w:rPr>
            </w:pPr>
            <w:bookmarkStart w:id="89" w:name="docxtextref64"/>
            <w:bookmarkEnd w:id="89"/>
            <w:r>
              <w:rPr>
                <w:rFonts w:ascii="Times New Roman;serif" w:hAnsi="Times New Roman;serif"/>
                <w:b w:val="false"/>
                <w:sz w:val="22"/>
                <w:u w:val="single"/>
              </w:rPr>
              <w:t>Category 3</w:t>
            </w:r>
            <w:r>
              <w:rPr>
                <w:rFonts w:ascii="Times New Roman;serif" w:hAnsi="Times New Roman;serif"/>
                <w:b w:val="false"/>
                <w:sz w:val="22"/>
              </w:rPr>
              <w:br/>
              <w:t xml:space="preserve">Less than or equal to 4.35 to </w:t>
            </w:r>
            <w:bookmarkStart w:id="90" w:name="docxtextref65"/>
            <w:bookmarkEnd w:id="90"/>
            <w:r>
              <w:rPr>
                <w:rFonts w:ascii="Times New Roman;serif" w:hAnsi="Times New Roman;serif"/>
                <w:b w:val="false"/>
                <w:sz w:val="22"/>
              </w:rPr>
              <w:t>1.00</w:t>
            </w:r>
          </w:p>
        </w:tc>
        <w:tc>
          <w:tcPr>
            <w:tcW w:w="1276"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hanging="0"/>
              <w:jc w:val="both"/>
              <w:rPr>
                <w:rFonts w:ascii="Times New Roman;serif" w:hAnsi="Times New Roman;serif"/>
                <w:b w:val="false"/>
                <w:sz w:val="22"/>
              </w:rPr>
            </w:pPr>
            <w:r>
              <w:rPr>
                <w:rFonts w:ascii="Times New Roman;serif" w:hAnsi="Times New Roman;serif"/>
                <w:b w:val="false"/>
                <w:sz w:val="22"/>
              </w:rPr>
              <w:t>2.00%</w:t>
            </w:r>
          </w:p>
        </w:tc>
        <w:tc>
          <w:tcPr>
            <w:tcW w:w="2761"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hanging="0"/>
              <w:jc w:val="both"/>
              <w:rPr>
                <w:rFonts w:ascii="Times New Roman;serif" w:hAnsi="Times New Roman;serif"/>
                <w:b w:val="false"/>
                <w:sz w:val="22"/>
              </w:rPr>
            </w:pPr>
            <w:r>
              <w:rPr>
                <w:rFonts w:ascii="Times New Roman;serif" w:hAnsi="Times New Roman;serif"/>
                <w:b w:val="false"/>
                <w:sz w:val="22"/>
              </w:rPr>
              <w:t>3.00%</w:t>
            </w:r>
          </w:p>
        </w:tc>
      </w:tr>
    </w:tbl>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1" w:name="docxtextref70"/>
      <w:bookmarkEnd w:id="91"/>
      <w:r>
        <w:rPr>
          <w:rFonts w:ascii="Times New Roman;serif" w:hAnsi="Times New Roman;serif"/>
          <w:b w:val="false"/>
          <w:sz w:val="22"/>
        </w:rPr>
        <w:t xml:space="preserve">For purposes of the foregoing, each change in the Applicable Rate resulting from a change in the Senior Secured First Lien Net Leverage Ratio shall be effective during the period commencing on and including the Business Day following the date of delivery to the Administrative Agent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5.01(b)</w:t>
      </w:r>
      <w:r>
        <w:rPr>
          <w:rFonts w:ascii="Times New Roman" w:hAnsi="Times New Roman"/>
          <w:sz w:val="20"/>
        </w:rPr>
        <w:t xml:space="preserve"> </w:t>
      </w:r>
      <w:r>
        <w:rPr>
          <w:rFonts w:ascii="Times New Roman;serif" w:hAnsi="Times New Roman;serif"/>
          <w:b w:val="false"/>
          <w:sz w:val="22"/>
        </w:rPr>
        <w:t>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Revolving Lenders, commencing upon written notice to Bidco, shall be based on the rates per annum set forth in Category 1 (i)</w:t>
      </w:r>
      <w:r>
        <w:rPr>
          <w:rFonts w:ascii="Times New Roman" w:hAnsi="Times New Roman"/>
          <w:sz w:val="20"/>
        </w:rPr>
        <w:t xml:space="preserve"> </w:t>
      </w:r>
      <w:r>
        <w:rPr>
          <w:rFonts w:ascii="Times New Roman;serif" w:hAnsi="Times New Roman;serif"/>
          <w:b w:val="false"/>
          <w:sz w:val="22"/>
        </w:rPr>
        <w:t xml:space="preserve">at any time that an Event of Default under </w:t>
      </w:r>
      <w:r>
        <w:rPr>
          <w:rFonts w:ascii="Times New Roman;serif" w:hAnsi="Times New Roman;serif"/>
          <w:b w:val="false"/>
          <w:sz w:val="22"/>
          <w:u w:val="single"/>
        </w:rPr>
        <w:t>Section 7.01(a)</w:t>
      </w:r>
      <w:r>
        <w:rPr>
          <w:rFonts w:ascii="Times New Roman" w:hAnsi="Times New Roman"/>
          <w:sz w:val="20"/>
        </w:rPr>
        <w:t xml:space="preserve"> </w:t>
      </w:r>
      <w:r>
        <w:rPr>
          <w:rFonts w:ascii="Times New Roman;serif" w:hAnsi="Times New Roman;serif"/>
          <w:b w:val="false"/>
          <w:sz w:val="22"/>
        </w:rPr>
        <w:t xml:space="preserve">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5.01(b)</w:t>
      </w:r>
      <w:r>
        <w:rPr>
          <w:rFonts w:ascii="Times New Roman" w:hAnsi="Times New Roman"/>
          <w:sz w:val="20"/>
        </w:rPr>
        <w:t xml:space="preserve"> </w:t>
      </w:r>
      <w:r>
        <w:rPr>
          <w:rFonts w:ascii="Times New Roman;serif" w:hAnsi="Times New Roman;serif"/>
          <w:b w:val="false"/>
          <w:sz w:val="22"/>
        </w:rPr>
        <w:t>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pStyle w:val="TextBody"/>
        <w:bidi w:val="0"/>
        <w:spacing w:before="0" w:after="240"/>
        <w:jc w:val="both"/>
        <w:rPr/>
      </w:pPr>
      <w:bookmarkStart w:id="92" w:name="docxtextref72"/>
      <w:bookmarkEnd w:id="92"/>
      <w:r>
        <w:rPr/>
        <w:t>“</w:t>
      </w:r>
      <w:r>
        <w:rPr>
          <w:rFonts w:ascii="Times New Roman;serif" w:hAnsi="Times New Roman;serif"/>
          <w:b w:val="false"/>
          <w:sz w:val="22"/>
          <w:u w:val="single"/>
        </w:rPr>
        <w:t>Approved Bank</w:t>
      </w:r>
      <w:r>
        <w:rPr>
          <w:rFonts w:ascii="Times New Roman" w:hAnsi="Times New Roman"/>
          <w:sz w:val="20"/>
        </w:rPr>
        <w:t xml:space="preserve">” </w:t>
      </w:r>
      <w:r>
        <w:rPr>
          <w:rFonts w:ascii="Times New Roman;serif" w:hAnsi="Times New Roman;serif"/>
          <w:b w:val="false"/>
          <w:sz w:val="22"/>
        </w:rPr>
        <w:t>has the meaning assigned to such term in clause (4)</w:t>
      </w:r>
      <w:r>
        <w:rPr>
          <w:rFonts w:ascii="Times New Roman" w:hAnsi="Times New Roman"/>
          <w:sz w:val="20"/>
        </w:rPr>
        <w:t xml:space="preserve"> </w:t>
      </w:r>
      <w:r>
        <w:rPr>
          <w:rFonts w:ascii="Times New Roman;serif" w:hAnsi="Times New Roman;serif"/>
          <w:b w:val="false"/>
          <w:sz w:val="22"/>
        </w:rPr>
        <w:t>of the definition of the term “Cash Equivalents.”</w:t>
      </w:r>
    </w:p>
    <w:p>
      <w:pPr>
        <w:pStyle w:val="TextBody"/>
        <w:bidi w:val="0"/>
        <w:spacing w:before="0" w:after="240"/>
        <w:jc w:val="both"/>
        <w:rPr/>
      </w:pPr>
      <w:bookmarkStart w:id="93" w:name="docxtextref73"/>
      <w:bookmarkEnd w:id="93"/>
      <w:r>
        <w:rPr/>
        <w:t>“</w:t>
      </w:r>
      <w:r>
        <w:rPr>
          <w:rFonts w:ascii="Times New Roman;serif" w:hAnsi="Times New Roman;serif"/>
          <w:b w:val="false"/>
          <w:sz w:val="22"/>
          <w:u w:val="single"/>
        </w:rPr>
        <w:t>Approved Foreign Bank</w:t>
      </w:r>
      <w:r>
        <w:rPr>
          <w:rFonts w:ascii="Times New Roman" w:hAnsi="Times New Roman"/>
          <w:sz w:val="20"/>
        </w:rPr>
        <w:t xml:space="preserve">” </w:t>
      </w:r>
      <w:r>
        <w:rPr>
          <w:rFonts w:ascii="Times New Roman;serif" w:hAnsi="Times New Roman;serif"/>
          <w:b w:val="false"/>
          <w:sz w:val="22"/>
        </w:rPr>
        <w:t>has the meaning assigned to such term in clause (15)</w:t>
      </w:r>
      <w:r>
        <w:rPr>
          <w:rFonts w:ascii="Times New Roman" w:hAnsi="Times New Roman"/>
          <w:sz w:val="20"/>
        </w:rPr>
        <w:t xml:space="preserve"> </w:t>
      </w:r>
      <w:r>
        <w:rPr>
          <w:rFonts w:ascii="Times New Roman;serif" w:hAnsi="Times New Roman;serif"/>
          <w:b w:val="false"/>
          <w:sz w:val="22"/>
        </w:rPr>
        <w:t>of the definition of “Cash Equivalents.”</w:t>
      </w:r>
    </w:p>
    <w:p>
      <w:pPr>
        <w:pStyle w:val="TextBody"/>
        <w:bidi w:val="0"/>
        <w:spacing w:before="0" w:after="240"/>
        <w:jc w:val="both"/>
        <w:rPr/>
      </w:pPr>
      <w:bookmarkStart w:id="94" w:name="docxtextref74"/>
      <w:bookmarkEnd w:id="94"/>
      <w:r>
        <w:rPr/>
        <w:t>“</w:t>
      </w:r>
      <w:r>
        <w:rPr>
          <w:rFonts w:ascii="Times New Roman;serif" w:hAnsi="Times New Roman;serif"/>
          <w:b w:val="false"/>
          <w:sz w:val="22"/>
          <w:u w:val="single"/>
        </w:rPr>
        <w:t>Approved Fund</w:t>
      </w:r>
      <w:r>
        <w:rPr>
          <w:rFonts w:ascii="Times New Roman" w:hAnsi="Times New Roman"/>
          <w:sz w:val="20"/>
        </w:rPr>
        <w:t xml:space="preserve">” </w:t>
      </w:r>
      <w:r>
        <w:rPr>
          <w:rFonts w:ascii="Times New Roman;serif" w:hAnsi="Times New Roman;serif"/>
          <w:b w:val="false"/>
          <w:sz w:val="22"/>
        </w:rPr>
        <w:t>means any Person (other than a natural person) that is (or will be) engaged in making, purchasing, holding or investing in commercial loans and similar extensions of credit in the ordinary course of its activities and that is administered, advised or managed by (a)</w:t>
      </w:r>
      <w:r>
        <w:rPr>
          <w:rFonts w:ascii="Times New Roman" w:hAnsi="Times New Roman"/>
          <w:sz w:val="20"/>
        </w:rPr>
        <w:t xml:space="preserve"> </w:t>
      </w:r>
      <w:r>
        <w:rPr>
          <w:rFonts w:ascii="Times New Roman;serif" w:hAnsi="Times New Roman;serif"/>
          <w:b w:val="false"/>
          <w:sz w:val="22"/>
        </w:rPr>
        <w:t xml:space="preserve">a Lender, </w:t>
      </w:r>
      <w:bookmarkStart w:id="95" w:name="docxtextref75"/>
      <w:bookmarkEnd w:id="9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Affiliate of a Lender or </w:t>
      </w:r>
      <w:bookmarkStart w:id="96" w:name="docxtextref76"/>
      <w:bookmarkEnd w:id="9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 entity or an Affiliate of an entity that administers, advises or manages a Lender.</w:t>
      </w:r>
    </w:p>
    <w:p>
      <w:pPr>
        <w:pStyle w:val="TextBody"/>
        <w:bidi w:val="0"/>
        <w:spacing w:before="0" w:after="240"/>
        <w:jc w:val="both"/>
        <w:rPr/>
      </w:pPr>
      <w:r>
        <w:rPr/>
        <w:t>“</w:t>
      </w:r>
      <w:r>
        <w:rPr>
          <w:rFonts w:ascii="Times New Roman;serif" w:hAnsi="Times New Roman;serif"/>
          <w:b w:val="false"/>
          <w:sz w:val="22"/>
          <w:u w:val="single"/>
        </w:rPr>
        <w:t>Asset Sale</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 w:hAnsi="Times New Roman"/>
          <w:sz w:val="20"/>
        </w:rPr>
      </w:pPr>
      <w:r>
        <w:rPr>
          <w:rFonts w:ascii="Times New Roman;serif" w:hAnsi="Times New Roman;serif"/>
          <w:b w:val="false"/>
          <w:sz w:val="22"/>
        </w:rPr>
        <w:t>(1) the sale, conveyance, transfer or other disposition, whether in a single transaction or a series of related transactions, of property or assets (including by way of a Sale and Lease-Back Transaction) of Bidco or any of its Restricted Subsidiaries (each referred to in this definition as a “</w:t>
      </w:r>
      <w:r>
        <w:rPr>
          <w:rFonts w:ascii="Times New Roman;serif" w:hAnsi="Times New Roman;serif"/>
          <w:b w:val="false"/>
          <w:sz w:val="22"/>
          <w:u w:val="single"/>
        </w:rPr>
        <w:t>disposition</w:t>
      </w:r>
      <w:r>
        <w:rPr>
          <w:rFonts w:ascii="Times New Roman" w:hAnsi="Times New Roman"/>
          <w:sz w:val="20"/>
        </w:rPr>
        <w:t>”</w:t>
      </w:r>
      <w:r>
        <w:rPr>
          <w:rFonts w:ascii="Times New Roman;serif" w:hAnsi="Times New Roman;serif"/>
          <w:b w:val="false"/>
          <w:sz w:val="22"/>
        </w:rPr>
        <w:t>);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(2) the issuance or sale of Equity Interests of any Restricted Subsidiary (other than Preferred Stock of Restricted Subsidiaries issued in compliance with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hereof or the issuance of directors’ qualifying shares and shares issued to foreign nationals as required by applicable law), whether in a single transaction or a series of related transactions;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each case, other than:</w:t>
      </w:r>
    </w:p>
    <w:p>
      <w:pPr>
        <w:pStyle w:val="TextBody"/>
        <w:bidi w:val="0"/>
        <w:spacing w:before="0" w:after="240"/>
        <w:jc w:val="both"/>
        <w:rPr>
          <w:rFonts w:ascii="Times New Roman" w:hAnsi="Times New Roman"/>
          <w:sz w:val="20"/>
        </w:rPr>
      </w:pPr>
      <w:bookmarkStart w:id="97" w:name="docxtextref78"/>
      <w:bookmarkEnd w:id="97"/>
      <w:r>
        <w:rPr>
          <w:rFonts w:ascii="Times New Roman;serif" w:hAnsi="Times New Roman;serif"/>
          <w:b w:val="false"/>
          <w:sz w:val="22"/>
        </w:rPr>
        <w:t>(a) any disposition of (i)</w:t>
      </w:r>
      <w:r>
        <w:rPr>
          <w:rFonts w:ascii="Times New Roman" w:hAnsi="Times New Roman"/>
          <w:sz w:val="20"/>
        </w:rPr>
        <w:t xml:space="preserve"> </w:t>
      </w:r>
      <w:r>
        <w:rPr>
          <w:rFonts w:ascii="Times New Roman;serif" w:hAnsi="Times New Roman;serif"/>
          <w:b w:val="false"/>
          <w:sz w:val="22"/>
        </w:rPr>
        <w:t>Cash Equivalents or Investment Grade Securities, (ii) obsolete, damaged, used, surplus or worn out property or equipment, whether now owned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or hereafter acquired, in the ordinary course of business and dispositions of property no longer used or useful, or economically practicable to maintain, in the conduct of the business of Bidco and any Restricted Subsidiary (including by ceasing to enforce, allowing the lapse, abandonment or invalidation of or discontinuing the use or maintenance of or putting into the public domain any intellectual property that is, in the reasonable judgment of Bidco or the Restricted Subsidiaries, no longer used or useful, or economically practicable to maintain, or in respect of which Bidco or any Restricted Subsidiary determines in its reasonable business judgment that such action or inaction is desirable) or (iii) any disposition of inventory, goods and other assets (including Settlement Assets) in the ordinary course of business or no longer used in the ordinary course of business and immaterial assets (considered in the aggregate and as reasonably determined by Bidco in good faith);</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disposition of all or substantially all of the assets of Bidco and its Restricted Subsidiaries in a manner permitted pursuant to the provisions of </w:t>
      </w:r>
      <w:r>
        <w:rPr>
          <w:rFonts w:ascii="Times New Roman;serif" w:hAnsi="Times New Roman;serif"/>
          <w:b w:val="false"/>
          <w:sz w:val="22"/>
          <w:u w:val="single"/>
        </w:rPr>
        <w:t>Section 6.03</w:t>
      </w:r>
      <w:r>
        <w:rPr>
          <w:rFonts w:ascii="Times New Roman" w:hAnsi="Times New Roman"/>
          <w:sz w:val="20"/>
        </w:rPr>
        <w:t xml:space="preserve"> </w:t>
      </w:r>
      <w:r>
        <w:rPr>
          <w:rFonts w:ascii="Times New Roman;serif" w:hAnsi="Times New Roman;serif"/>
          <w:b w:val="false"/>
          <w:sz w:val="22"/>
        </w:rPr>
        <w:t>hereof or any disposition that constitutes a Change of Control pursuant to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the making of any Restricted Payment or Permitted Investment that is permitted to be made, and is made, under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hereof, or solely for the purposes of Section 6.04(b)(ii), asset sales, the proceeds of which are used to make such Restricted Payments or Permitted Investments;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any disposition of assets or issuance or sale of Equity Interests of any Restricted Subsidiary in any transaction or series of related transactions with an aggregate fair market value of less than the greater of $75,000,000 and 10% of Consolidated EBITDA for the most recently ended Test Period as of such date, calculated on a Pro Forma Basis;</w:t>
      </w:r>
    </w:p>
    <w:p>
      <w:pPr>
        <w:pStyle w:val="TextBody"/>
        <w:bidi w:val="0"/>
        <w:spacing w:before="0" w:after="240"/>
        <w:jc w:val="both"/>
        <w:rPr>
          <w:rFonts w:ascii="Times New Roman" w:hAnsi="Times New Roman"/>
          <w:sz w:val="20"/>
        </w:rPr>
      </w:pPr>
      <w:bookmarkStart w:id="98" w:name="docxtextref81"/>
      <w:bookmarkEnd w:id="98"/>
      <w:r>
        <w:rPr>
          <w:rFonts w:ascii="Times New Roman;serif" w:hAnsi="Times New Roman;serif"/>
          <w:b w:val="false"/>
          <w:sz w:val="22"/>
        </w:rPr>
        <w:t>(e) any disposition (i)</w:t>
      </w:r>
      <w:r>
        <w:rPr>
          <w:rFonts w:ascii="Times New Roman" w:hAnsi="Times New Roman"/>
          <w:sz w:val="20"/>
        </w:rPr>
        <w:t xml:space="preserve"> </w:t>
      </w:r>
      <w:r>
        <w:rPr>
          <w:rFonts w:ascii="Times New Roman;serif" w:hAnsi="Times New Roman;serif"/>
          <w:b w:val="false"/>
          <w:sz w:val="22"/>
        </w:rPr>
        <w:t>of property or assets or issuance of securities by a Restricted Subsidiary of Bidco to Bidco or any Borrower or by Bidco or a Restricted Subsidiary of Bidco to another Restricted Subsidiary of Bidco or (ii) to Bidco or a Restricted Subsidiary constituting debt forgiveness;</w:t>
      </w:r>
    </w:p>
    <w:p>
      <w:pPr>
        <w:pStyle w:val="TextBody"/>
        <w:bidi w:val="0"/>
        <w:spacing w:before="0" w:after="240"/>
        <w:jc w:val="both"/>
        <w:rPr>
          <w:rFonts w:ascii="Times New Roman" w:hAnsi="Times New Roman"/>
          <w:sz w:val="20"/>
        </w:rPr>
      </w:pPr>
      <w:bookmarkStart w:id="99" w:name="docxtextref82"/>
      <w:bookmarkEnd w:id="99"/>
      <w:r>
        <w:rPr>
          <w:rFonts w:ascii="Times New Roman;serif" w:hAnsi="Times New Roman;serif"/>
          <w:b w:val="false"/>
          <w:sz w:val="22"/>
        </w:rPr>
        <w:t>(f) dispositions of property to the extent that (i)</w:t>
      </w:r>
      <w:r>
        <w:rPr>
          <w:rFonts w:ascii="Times New Roman" w:hAnsi="Times New Roman"/>
          <w:sz w:val="20"/>
        </w:rPr>
        <w:t xml:space="preserve"> </w:t>
      </w:r>
      <w:r>
        <w:rPr>
          <w:rFonts w:ascii="Times New Roman;serif" w:hAnsi="Times New Roman;serif"/>
          <w:b w:val="false"/>
          <w:sz w:val="22"/>
        </w:rPr>
        <w:t>such property is exchanged for credit against the purchase price of similar replacement property or (ii) an amount equal to net proceeds of such disposition are promptly applied to the purchase price of such replacement property;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leases, subleases, service agreements, product sales, licenses or sublicenses (including licenses and sublicenses of intellectual property or other intangible assets), in each case that do not materially interfere with the business of Bidco and the Restricted Subsidiaries, taken as a whole;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(h) sales, rentals or leases of satellite capacity, bandwidth, beams, transponders or threads or other grants of rights of satellite use or of any other portion of a Satellite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any issuance or sale of Equity Interests in, or Indebtedness or other securities of, an Unrestricted Subsidiary or any other disposition of Capital Stock, Indebtedness or other securities of an Unrestricted Subsidiary or an Immaterial Subsidiary;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(j) foreclosures, condemnation, expropriation or any similar action with respect to assets, other transfers of property subject to casualty events or the granting of Liens not prohibited by this Agreement;</w:t>
      </w:r>
    </w:p>
    <w:p>
      <w:pPr>
        <w:pStyle w:val="TextBody"/>
        <w:bidi w:val="0"/>
        <w:spacing w:before="0" w:after="240"/>
        <w:jc w:val="both"/>
        <w:rPr>
          <w:rFonts w:ascii="Times New Roman" w:hAnsi="Times New Roman"/>
          <w:sz w:val="20"/>
        </w:rPr>
      </w:pPr>
      <w:bookmarkStart w:id="100" w:name="docxtextref83"/>
      <w:bookmarkEnd w:id="100"/>
      <w:r>
        <w:rPr>
          <w:rFonts w:ascii="Times New Roman;serif" w:hAnsi="Times New Roman;serif"/>
          <w:b w:val="false"/>
          <w:sz w:val="22"/>
        </w:rPr>
        <w:t>(k) (i)</w:t>
      </w:r>
      <w:r>
        <w:rPr>
          <w:rFonts w:ascii="Times New Roman" w:hAnsi="Times New Roman"/>
          <w:sz w:val="20"/>
        </w:rPr>
        <w:t xml:space="preserve"> </w:t>
      </w:r>
      <w:r>
        <w:rPr>
          <w:rFonts w:ascii="Times New Roman;serif" w:hAnsi="Times New Roman;serif"/>
          <w:b w:val="false"/>
          <w:sz w:val="22"/>
        </w:rPr>
        <w:t>any disposition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in the ordinary course of business or the conversion of accounts receivable to notes receivable;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(l) any financing transaction with respect to property built or acquired by Bidco or any Restricted Subsidiary after the Effective Date, including Sale and Lease-Back Transactions (and dispositions of property acquired by Bidco or any of the Restricted Subsidiaries after the Effective Date pursuant to Sale and Lease-Back Transactions) and asset securitizations permitted by this Agreement;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(m) any surrender or waiver of contractual rights or the settlement, release or surrender of contractual rights or other litigation claims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 the unwinding or voluntary termination of any Hedging Obligations;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 any disposition in connection with the Transactions;</w:t>
      </w:r>
    </w:p>
    <w:p>
      <w:pPr>
        <w:pStyle w:val="TextBody"/>
        <w:bidi w:val="0"/>
        <w:spacing w:before="0" w:after="240"/>
        <w:jc w:val="both"/>
        <w:rPr>
          <w:rFonts w:ascii="Times New Roman" w:hAnsi="Times New Roman"/>
          <w:sz w:val="20"/>
        </w:rPr>
      </w:pPr>
      <w:bookmarkStart w:id="101" w:name="docxtextref84"/>
      <w:bookmarkEnd w:id="101"/>
      <w:r>
        <w:rPr>
          <w:rFonts w:ascii="Times New Roman;serif" w:hAnsi="Times New Roman;serif"/>
          <w:b w:val="false"/>
          <w:sz w:val="22"/>
        </w:rPr>
        <w:t>(p) dispositions of any assets (including Equity Interests) (A)</w:t>
      </w:r>
      <w:r>
        <w:rPr>
          <w:rFonts w:ascii="Times New Roman" w:hAnsi="Times New Roman"/>
          <w:sz w:val="20"/>
        </w:rPr>
        <w:t xml:space="preserve"> </w:t>
      </w:r>
      <w:r>
        <w:rPr>
          <w:rFonts w:ascii="Times New Roman;serif" w:hAnsi="Times New Roman;serif"/>
          <w:b w:val="false"/>
          <w:sz w:val="22"/>
        </w:rPr>
        <w:t xml:space="preserve">acquired in connection with any acquisition or other Investment not prohibited by this Agreement, which assets are not used or useful to the core or principal business of Bidco and the Restricted Subsidiaries or </w:t>
      </w:r>
      <w:bookmarkStart w:id="102" w:name="docxtextref85"/>
      <w:bookmarkEnd w:id="10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made to obtain the approval of any applicable antitrust authority in connection with an acquisition;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(q) sales, transfers and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240"/>
        <w:jc w:val="both"/>
        <w:rPr>
          <w:rFonts w:ascii="Times New Roman" w:hAnsi="Times New Roman"/>
          <w:sz w:val="20"/>
        </w:rPr>
      </w:pPr>
      <w:r>
        <w:rPr>
          <w:rFonts w:ascii="Times New Roman;serif" w:hAnsi="Times New Roman;serif"/>
          <w:b w:val="false"/>
          <w:sz w:val="22"/>
        </w:rPr>
        <w:t>(r) failing to pursue or allowing any registrations or any applications for registration of any intellectual property rights to lapse or go abandoned in the ordinary course of business if, in the reasonable determination of Bidco or a Restricted Subsidiary, such discontinuance is desirable in the conduct of the business of Bidco and its Restricted Subsidiaries taken as a whole;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(s) dispositions of property acquired by Bidco or any of the Restricted Subsidiaries pursuant to Sale and Lease-Back Transactions;</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 dispositions in connection with Permitted Liens, Permitted Intercompany Activities, Permitted Tax Restructuring and related transactions;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(u) an issuance of Capital Stock by a Restricted Subsidiary as part of or pursuant to an equity incentive or compensation plan approved by the Board of Directors of Bidco or any holding company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any disposition of Capital Stock of a Restricted Subsidiary pursuant to an agreement or other obligation with or to a Person (other than Bidco or a Restricted Subsidiary) from whom such Restricted Subsidiary was acquired, or from whom such Restricted Subsidiary acquired its business and assets, made as part of such acquisition and in each case comprising all or a portion of the consideration in respect of such sale or acquisition;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(w) any sale of property or assets, if the acquisition of such property or assets was financed with Excluded Contributions and the proceeds of such sale are used to make a Restricted Payment pursuant to </w:t>
      </w:r>
      <w:r>
        <w:rPr>
          <w:rFonts w:ascii="Times New Roman;serif" w:hAnsi="Times New Roman;serif"/>
          <w:b w:val="false"/>
          <w:sz w:val="22"/>
          <w:u w:val="single"/>
        </w:rPr>
        <w:t>Section 6.05(b)(x)</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In the event that a transaction (or any portion thereof) meets the criteria of a permitted Asset Sale and would also be a Permitted Investment or an Investment permitted under </w:t>
      </w:r>
      <w:r>
        <w:rPr>
          <w:rFonts w:ascii="Times New Roman;serif" w:hAnsi="Times New Roman;serif"/>
          <w:b w:val="false"/>
          <w:sz w:val="22"/>
          <w:u w:val="single"/>
        </w:rPr>
        <w:t>Section 6.05</w:t>
      </w:r>
      <w:r>
        <w:rPr>
          <w:rFonts w:ascii="Times New Roman;serif" w:hAnsi="Times New Roman;serif"/>
          <w:b w:val="false"/>
          <w:sz w:val="22"/>
        </w:rPr>
        <w:t xml:space="preserve">, Bidco, in its sole discretion, will be entitled to divide and classify such transaction (or a portion thereof) as an Asset Sale and/or one or more of the types of Permitted Investments or Investments permitted under </w:t>
      </w:r>
      <w:r>
        <w:rPr>
          <w:rFonts w:ascii="Times New Roman;serif" w:hAnsi="Times New Roman;serif"/>
          <w:b w:val="false"/>
          <w:sz w:val="22"/>
          <w:u w:val="single"/>
        </w:rPr>
        <w:t>Section 6.05</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Assignment and Assumption</w:t>
      </w:r>
      <w:r>
        <w:rPr>
          <w:rFonts w:ascii="Times New Roman" w:hAnsi="Times New Roman"/>
          <w:sz w:val="20"/>
        </w:rPr>
        <w:t xml:space="preserve">” </w:t>
      </w:r>
      <w:r>
        <w:rPr>
          <w:rFonts w:ascii="Times New Roman;serif" w:hAnsi="Times New Roman;serif"/>
          <w:b w:val="false"/>
          <w:sz w:val="22"/>
        </w:rPr>
        <w:t xml:space="preserve">means an assignment and assumption entered into by a Lender and an Eligible Assignee (with the consent of any Person whose consent is required by </w:t>
      </w:r>
      <w:r>
        <w:rPr>
          <w:rFonts w:ascii="Times New Roman;serif" w:hAnsi="Times New Roman;serif"/>
          <w:b w:val="false"/>
          <w:sz w:val="22"/>
          <w:u w:val="single"/>
        </w:rPr>
        <w:t>Section 9.04(b)</w:t>
      </w:r>
      <w:r>
        <w:rPr>
          <w:rFonts w:ascii="Times New Roman;serif" w:hAnsi="Times New Roman;serif"/>
          <w:b w:val="false"/>
          <w:sz w:val="22"/>
        </w:rPr>
        <w:t xml:space="preserve">), substantially in the form of </w:t>
      </w:r>
      <w:r>
        <w:rPr>
          <w:rFonts w:ascii="Times New Roman;serif" w:hAnsi="Times New Roman;serif"/>
          <w:b w:val="false"/>
          <w:sz w:val="22"/>
          <w:u w:val="single"/>
        </w:rPr>
        <w:t>Exhibit A</w:t>
      </w:r>
      <w:r>
        <w:rPr>
          <w:rFonts w:ascii="Times New Roman" w:hAnsi="Times New Roman"/>
          <w:sz w:val="20"/>
        </w:rPr>
        <w:t xml:space="preserve"> </w:t>
      </w:r>
      <w:r>
        <w:rPr>
          <w:rFonts w:ascii="Times New Roman;serif" w:hAnsi="Times New Roman;serif"/>
          <w:b w:val="false"/>
          <w:sz w:val="22"/>
        </w:rPr>
        <w:t>or any other form reasonably approved by the Administrative Agent.</w:t>
      </w:r>
    </w:p>
    <w:p>
      <w:pPr>
        <w:pStyle w:val="TextBody"/>
        <w:bidi w:val="0"/>
        <w:spacing w:before="0" w:after="240"/>
        <w:jc w:val="both"/>
        <w:rPr/>
      </w:pPr>
      <w:bookmarkStart w:id="103" w:name="docxtextref88"/>
      <w:bookmarkEnd w:id="103"/>
      <w:r>
        <w:rPr/>
        <w:t>“</w:t>
      </w:r>
      <w:r>
        <w:rPr>
          <w:rFonts w:ascii="Times New Roman;serif" w:hAnsi="Times New Roman;serif"/>
          <w:b w:val="false"/>
          <w:sz w:val="22"/>
          <w:u w:val="single"/>
        </w:rPr>
        <w:t>Auction Agent</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Administrative Agent or </w:t>
      </w:r>
      <w:bookmarkStart w:id="104" w:name="docxtextref89"/>
      <w:bookmarkEnd w:id="10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other financial institution or advisor employed by Bidco (whether or not an Affiliate of the Administrative Agent) to act as an arranger in connection with any Discounted Term Loan Prepayment pursuant to </w:t>
      </w:r>
      <w:r>
        <w:rPr>
          <w:rFonts w:ascii="Times New Roman;serif" w:hAnsi="Times New Roman;serif"/>
          <w:b w:val="false"/>
          <w:sz w:val="22"/>
          <w:u w:val="single"/>
        </w:rPr>
        <w:t>Section 2.10(a)(ii)(A)</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Bidco shall not designate the Administrative Agent as the Auction Agent without the written consent of the Administrative Agent (it being understood that the Administrative Agent shall be under no obligation to agree to act as the Auction Agent).</w:t>
      </w:r>
    </w:p>
    <w:p>
      <w:pPr>
        <w:pStyle w:val="TextBody"/>
        <w:bidi w:val="0"/>
        <w:spacing w:before="0" w:after="240"/>
        <w:jc w:val="both"/>
        <w:rPr/>
      </w:pPr>
      <w:bookmarkStart w:id="105" w:name="docxtextref90"/>
      <w:bookmarkEnd w:id="105"/>
      <w:r>
        <w:rPr/>
        <w:t>“</w:t>
      </w:r>
      <w:r>
        <w:rPr>
          <w:rFonts w:ascii="Times New Roman;serif" w:hAnsi="Times New Roman;serif"/>
          <w:b w:val="false"/>
          <w:sz w:val="22"/>
          <w:u w:val="single"/>
        </w:rPr>
        <w:t>Available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6.05(a)(A)</w:t>
      </w:r>
      <w:r>
        <w:rPr>
          <w:rFonts w:ascii="Times New Roman;serif" w:hAnsi="Times New Roman;serif"/>
          <w:b w:val="false"/>
          <w:sz w:val="22"/>
        </w:rPr>
        <w:t>.</w:t>
      </w:r>
    </w:p>
    <w:p>
      <w:pPr>
        <w:pStyle w:val="TextBody"/>
        <w:bidi w:val="0"/>
        <w:spacing w:before="0" w:after="240"/>
        <w:jc w:val="both"/>
        <w:rPr/>
      </w:pPr>
      <w:bookmarkStart w:id="106" w:name="docxtextref94"/>
      <w:bookmarkEnd w:id="106"/>
      <w:r>
        <w:rPr/>
        <w:t>“</w:t>
      </w:r>
      <w:r>
        <w:rPr>
          <w:rFonts w:ascii="Times New Roman;serif" w:hAnsi="Times New Roman;serif"/>
          <w:b w:val="false"/>
          <w:sz w:val="22"/>
          <w:u w:val="single"/>
        </w:rPr>
        <w:t>Available Investments Amount</w:t>
      </w:r>
      <w:r>
        <w:rPr>
          <w:rFonts w:ascii="Times New Roman" w:hAnsi="Times New Roman"/>
          <w:sz w:val="20"/>
        </w:rPr>
        <w:t xml:space="preserve">” </w:t>
      </w:r>
      <w:r>
        <w:rPr>
          <w:rFonts w:ascii="Times New Roman;serif" w:hAnsi="Times New Roman;serif"/>
          <w:b w:val="false"/>
          <w:sz w:val="22"/>
        </w:rPr>
        <w:t>means, at any time, (i)</w:t>
      </w:r>
      <w:r>
        <w:rPr>
          <w:rFonts w:ascii="Times New Roman" w:hAnsi="Times New Roman"/>
          <w:sz w:val="20"/>
        </w:rPr>
        <w:t xml:space="preserve"> </w:t>
      </w:r>
      <w:r>
        <w:rPr>
          <w:rFonts w:ascii="Times New Roman;serif" w:hAnsi="Times New Roman;serif"/>
          <w:b w:val="false"/>
          <w:sz w:val="22"/>
        </w:rPr>
        <w:t xml:space="preserve">the amount of Investments that may be made at the time of determination pursuant to clause </w:t>
      </w:r>
      <w:bookmarkStart w:id="107" w:name="docxtextref93"/>
      <w:bookmarkEnd w:id="107"/>
      <w:r>
        <w:rPr>
          <w:rFonts w:ascii="Times New Roman;serif" w:hAnsi="Times New Roman;serif"/>
          <w:b w:val="false"/>
          <w:sz w:val="22"/>
        </w:rPr>
        <w:t>(14)</w:t>
      </w:r>
      <w:r>
        <w:rPr>
          <w:rFonts w:ascii="Times New Roman" w:hAnsi="Times New Roman"/>
          <w:sz w:val="20"/>
        </w:rPr>
        <w:t xml:space="preserve"> </w:t>
      </w:r>
      <w:r>
        <w:rPr>
          <w:rFonts w:ascii="Times New Roman;serif" w:hAnsi="Times New Roman;serif"/>
          <w:b w:val="false"/>
          <w:sz w:val="22"/>
        </w:rPr>
        <w:t xml:space="preserve">of the definition of “Permitted Investments”, minus (ii) the amount of the Available Investments Amount utilized by Bidco or any Restricted Subsidiary to make Restricted Debt Payments pursuant to clause (xiv) of </w:t>
      </w:r>
      <w:r>
        <w:rPr>
          <w:rFonts w:ascii="Times New Roman;serif" w:hAnsi="Times New Roman;serif"/>
          <w:b w:val="false"/>
          <w:sz w:val="22"/>
          <w:u w:val="single"/>
        </w:rPr>
        <w:t>Section 6.05(b)</w:t>
      </w:r>
      <w:r>
        <w:rPr>
          <w:rFonts w:ascii="Times New Roman;serif" w:hAnsi="Times New Roman;serif"/>
          <w:b w:val="false"/>
          <w:sz w:val="22"/>
        </w:rPr>
        <w:t>.</w:t>
      </w:r>
    </w:p>
    <w:p>
      <w:pPr>
        <w:pStyle w:val="TextBody"/>
        <w:bidi w:val="0"/>
        <w:spacing w:before="0" w:after="240"/>
        <w:jc w:val="both"/>
        <w:rPr/>
      </w:pPr>
      <w:bookmarkStart w:id="108" w:name="docxtextref100"/>
      <w:bookmarkEnd w:id="108"/>
      <w:r>
        <w:rPr/>
        <w:t>“</w:t>
      </w:r>
      <w:r>
        <w:rPr>
          <w:rFonts w:ascii="Times New Roman;serif" w:hAnsi="Times New Roman;serif"/>
          <w:b w:val="false"/>
          <w:sz w:val="22"/>
          <w:u w:val="single"/>
        </w:rPr>
        <w:t>Available Restricted Debt Payments Amount</w:t>
      </w:r>
      <w:r>
        <w:rPr>
          <w:rFonts w:ascii="Times New Roman" w:hAnsi="Times New Roman"/>
          <w:sz w:val="20"/>
        </w:rPr>
        <w:t xml:space="preserve">” </w:t>
      </w:r>
      <w:r>
        <w:rPr>
          <w:rFonts w:ascii="Times New Roman;serif" w:hAnsi="Times New Roman;serif"/>
          <w:b w:val="false"/>
          <w:sz w:val="22"/>
        </w:rPr>
        <w:t>means, at any time, (i)</w:t>
      </w:r>
      <w:r>
        <w:rPr>
          <w:rFonts w:ascii="Times New Roman" w:hAnsi="Times New Roman"/>
          <w:sz w:val="20"/>
        </w:rPr>
        <w:t xml:space="preserve"> </w:t>
      </w:r>
      <w:r>
        <w:rPr>
          <w:rFonts w:ascii="Times New Roman;serif" w:hAnsi="Times New Roman;serif"/>
          <w:b w:val="false"/>
          <w:sz w:val="22"/>
        </w:rPr>
        <w:t xml:space="preserve">the amount of Restricted Debt Payments that may be made at the time of determination pursuant to clause (xiv) of </w:t>
      </w:r>
      <w:r>
        <w:rPr>
          <w:rFonts w:ascii="Times New Roman;serif" w:hAnsi="Times New Roman;serif"/>
          <w:b w:val="false"/>
          <w:sz w:val="22"/>
          <w:u w:val="single"/>
        </w:rPr>
        <w:t>Section 6.05(b)</w:t>
      </w:r>
      <w:r>
        <w:rPr>
          <w:rFonts w:ascii="Times New Roman;serif" w:hAnsi="Times New Roman;serif"/>
          <w:b w:val="false"/>
          <w:sz w:val="22"/>
        </w:rPr>
        <w:t xml:space="preserve">, minus (ii) the sum of </w:t>
      </w:r>
      <w:bookmarkStart w:id="109" w:name="docxtextref101"/>
      <w:bookmarkEnd w:id="109"/>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amount of the Available Restricted Debt Payments Amount utilized by Bidco or any Restricted Subsidiary to make Investments pursuant to clause </w:t>
      </w:r>
      <w:bookmarkStart w:id="110" w:name="docxtextref99"/>
      <w:bookmarkEnd w:id="110"/>
      <w:r>
        <w:rPr>
          <w:rFonts w:ascii="Times New Roman;serif" w:hAnsi="Times New Roman;serif"/>
          <w:b w:val="false"/>
          <w:sz w:val="22"/>
        </w:rPr>
        <w:t>(14)</w:t>
      </w:r>
      <w:r>
        <w:rPr>
          <w:rFonts w:ascii="Times New Roman" w:hAnsi="Times New Roman"/>
          <w:sz w:val="20"/>
        </w:rPr>
        <w:t xml:space="preserve"> </w:t>
      </w:r>
      <w:r>
        <w:rPr>
          <w:rFonts w:ascii="Times New Roman;serif" w:hAnsi="Times New Roman;serif"/>
          <w:b w:val="false"/>
          <w:sz w:val="22"/>
        </w:rPr>
        <w:t xml:space="preserve">of the definition of “Permitted Investments” and </w:t>
      </w:r>
      <w:bookmarkStart w:id="111" w:name="docxtextref102"/>
      <w:bookmarkEnd w:id="11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amount of the Available Restricted Debt Payments Amount utilized by Bidco or any Restricted Subsidiary to make Restricted Payments pursuant to clause (xi) of </w:t>
      </w:r>
      <w:r>
        <w:rPr>
          <w:rFonts w:ascii="Times New Roman;serif" w:hAnsi="Times New Roman;serif"/>
          <w:b w:val="false"/>
          <w:sz w:val="22"/>
          <w:u w:val="single"/>
        </w:rPr>
        <w:t>Section 6.05(b)</w:t>
      </w:r>
      <w:r>
        <w:rPr>
          <w:rFonts w:ascii="Times New Roman;serif" w:hAnsi="Times New Roman;serif"/>
          <w:b w:val="false"/>
          <w:sz w:val="22"/>
        </w:rPr>
        <w:t>.</w:t>
      </w:r>
    </w:p>
    <w:p>
      <w:pPr>
        <w:pStyle w:val="TextBody"/>
        <w:bidi w:val="0"/>
        <w:spacing w:before="0" w:after="240"/>
        <w:jc w:val="both"/>
        <w:rPr/>
      </w:pPr>
      <w:bookmarkStart w:id="112" w:name="docxtextref106"/>
      <w:bookmarkEnd w:id="112"/>
      <w:r>
        <w:rPr/>
        <w:t>“</w:t>
      </w:r>
      <w:r>
        <w:rPr>
          <w:rFonts w:ascii="Times New Roman;serif" w:hAnsi="Times New Roman;serif"/>
          <w:b w:val="false"/>
          <w:sz w:val="22"/>
          <w:u w:val="single"/>
        </w:rPr>
        <w:t>Available Restricted Payments Amount</w:t>
      </w:r>
      <w:r>
        <w:rPr>
          <w:rFonts w:ascii="Times New Roman" w:hAnsi="Times New Roman"/>
          <w:sz w:val="20"/>
        </w:rPr>
        <w:t xml:space="preserve">” </w:t>
      </w:r>
      <w:r>
        <w:rPr>
          <w:rFonts w:ascii="Times New Roman;serif" w:hAnsi="Times New Roman;serif"/>
          <w:b w:val="false"/>
          <w:sz w:val="22"/>
        </w:rPr>
        <w:t>means, at any time, (i)</w:t>
      </w:r>
      <w:r>
        <w:rPr>
          <w:rFonts w:ascii="Times New Roman" w:hAnsi="Times New Roman"/>
          <w:sz w:val="20"/>
        </w:rPr>
        <w:t xml:space="preserve"> </w:t>
      </w:r>
      <w:r>
        <w:rPr>
          <w:rFonts w:ascii="Times New Roman;serif" w:hAnsi="Times New Roman;serif"/>
          <w:b w:val="false"/>
          <w:sz w:val="22"/>
        </w:rPr>
        <w:t xml:space="preserve">the amount of Restricted Payments that may be made at the time of determination pursuant to clause (xi) of </w:t>
      </w:r>
      <w:r>
        <w:rPr>
          <w:rFonts w:ascii="Times New Roman;serif" w:hAnsi="Times New Roman;serif"/>
          <w:b w:val="false"/>
          <w:sz w:val="22"/>
          <w:u w:val="single"/>
        </w:rPr>
        <w:t>Section 6.05(b)</w:t>
      </w:r>
      <w:r>
        <w:rPr>
          <w:rFonts w:ascii="Times New Roman;serif" w:hAnsi="Times New Roman;serif"/>
          <w:b w:val="false"/>
          <w:sz w:val="22"/>
        </w:rPr>
        <w:t xml:space="preserve">, minus (ii) the sum of </w:t>
      </w:r>
      <w:bookmarkStart w:id="113" w:name="docxtextref107"/>
      <w:bookmarkEnd w:id="113"/>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amount of the Available Restricted Payments Amount utilized by Bidco or any Restricted Subsidiary to make Investments pursuant to clause </w:t>
      </w:r>
      <w:bookmarkStart w:id="114" w:name="docxtextref105"/>
      <w:bookmarkEnd w:id="114"/>
      <w:r>
        <w:rPr>
          <w:rFonts w:ascii="Times New Roman;serif" w:hAnsi="Times New Roman;serif"/>
          <w:b w:val="false"/>
          <w:sz w:val="22"/>
        </w:rPr>
        <w:t>(14)</w:t>
      </w:r>
      <w:r>
        <w:rPr>
          <w:rFonts w:ascii="Times New Roman" w:hAnsi="Times New Roman"/>
          <w:sz w:val="20"/>
        </w:rPr>
        <w:t xml:space="preserve"> </w:t>
      </w:r>
      <w:r>
        <w:rPr>
          <w:rFonts w:ascii="Times New Roman;serif" w:hAnsi="Times New Roman;serif"/>
          <w:b w:val="false"/>
          <w:sz w:val="22"/>
        </w:rPr>
        <w:t xml:space="preserve">of the definition of “Permitted Investments” and </w:t>
      </w:r>
      <w:bookmarkStart w:id="115" w:name="docxtextref108"/>
      <w:bookmarkEnd w:id="11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amount of the Available Restricted Payments Amount utilized by Bidco or any Restricted Subsidiary to make Restricted Debt Payments pursuant to clause (xiv) of </w:t>
      </w:r>
      <w:r>
        <w:rPr>
          <w:rFonts w:ascii="Times New Roman;serif" w:hAnsi="Times New Roman;serif"/>
          <w:b w:val="false"/>
          <w:sz w:val="22"/>
          <w:u w:val="single"/>
        </w:rPr>
        <w:t>Section 6.05(b)</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Bail-In Action</w:t>
      </w:r>
      <w:r>
        <w:rPr>
          <w:rFonts w:ascii="Times New Roman" w:hAnsi="Times New Roman"/>
          <w:sz w:val="20"/>
        </w:rPr>
        <w:t xml:space="preserve">” </w:t>
      </w:r>
      <w:r>
        <w:rPr>
          <w:rFonts w:ascii="Times New Roman;serif" w:hAnsi="Times New Roman;serif"/>
          <w:b w:val="false"/>
          <w:sz w:val="22"/>
        </w:rPr>
        <w:t>means the exercise of any Write-Down and Conversion Powers by the applicable EEA Resolution Authority in respect of any liability of an EEA Financial Institution.</w:t>
      </w:r>
    </w:p>
    <w:p>
      <w:pPr>
        <w:pStyle w:val="TextBody"/>
        <w:bidi w:val="0"/>
        <w:spacing w:before="0" w:after="240"/>
        <w:jc w:val="both"/>
        <w:rPr/>
      </w:pPr>
      <w:bookmarkStart w:id="116" w:name="docxtextref109"/>
      <w:bookmarkEnd w:id="116"/>
      <w:r>
        <w:rPr/>
        <w:t>“</w:t>
      </w:r>
      <w:r>
        <w:rPr>
          <w:rFonts w:ascii="Times New Roman;serif" w:hAnsi="Times New Roman;serif"/>
          <w:b w:val="false"/>
          <w:sz w:val="22"/>
          <w:u w:val="single"/>
        </w:rPr>
        <w:t>Bail-In Legislation</w:t>
      </w:r>
      <w:r>
        <w:rPr>
          <w:rFonts w:ascii="Times New Roman" w:hAnsi="Times New Roman"/>
          <w:sz w:val="20"/>
        </w:rPr>
        <w:t xml:space="preserve">” </w:t>
      </w:r>
      <w:r>
        <w:rPr>
          <w:rFonts w:ascii="Times New Roman;serif" w:hAnsi="Times New Roman;serif"/>
          <w:b w:val="false"/>
          <w:sz w:val="22"/>
        </w:rPr>
        <w:t>means, with respect to any EEA Member Country implementing Article 55</w:t>
      </w:r>
      <w:r>
        <w:rPr>
          <w:rFonts w:ascii="Times New Roman" w:hAnsi="Times New Roman"/>
          <w:sz w:val="20"/>
        </w:rPr>
        <w:t xml:space="preserve"> </w:t>
      </w:r>
      <w:r>
        <w:rPr>
          <w:rFonts w:ascii="Times New Roman;serif" w:hAnsi="Times New Roman;serif"/>
          <w:b w:val="false"/>
          <w:sz w:val="22"/>
        </w:rPr>
        <w:t>of Directive 2014/59/EU of the European Parliament and of the Council of the European Union, the implementing law for such EEA Member Country from time to time which is described in the EU Bail-In Legislation Schedule.</w:t>
      </w:r>
    </w:p>
    <w:p>
      <w:pPr>
        <w:pStyle w:val="TextBody"/>
        <w:bidi w:val="0"/>
        <w:spacing w:before="0" w:after="240"/>
        <w:jc w:val="both"/>
        <w:rPr/>
      </w:pPr>
      <w:bookmarkStart w:id="117" w:name="docxtextref110"/>
      <w:bookmarkEnd w:id="117"/>
      <w:r>
        <w:rPr/>
        <w:t>“</w:t>
      </w:r>
      <w:r>
        <w:rPr>
          <w:rFonts w:ascii="Times New Roman;serif" w:hAnsi="Times New Roman;serif"/>
          <w:b w:val="false"/>
          <w:sz w:val="22"/>
          <w:u w:val="single"/>
        </w:rPr>
        <w:t>Bankruptcy Code</w:t>
      </w:r>
      <w:r>
        <w:rPr>
          <w:rFonts w:ascii="Times New Roman" w:hAnsi="Times New Roman"/>
          <w:sz w:val="20"/>
        </w:rPr>
        <w:t xml:space="preserve">” </w:t>
      </w:r>
      <w:r>
        <w:rPr>
          <w:rFonts w:ascii="Times New Roman;serif" w:hAnsi="Times New Roman;serif"/>
          <w:b w:val="false"/>
          <w:sz w:val="22"/>
        </w:rPr>
        <w:t>means Title 11</w:t>
      </w:r>
      <w:r>
        <w:rPr>
          <w:rFonts w:ascii="Times New Roman" w:hAnsi="Times New Roman"/>
          <w:sz w:val="20"/>
        </w:rPr>
        <w:t xml:space="preserve"> </w:t>
      </w:r>
      <w:r>
        <w:rPr>
          <w:rFonts w:ascii="Times New Roman;serif" w:hAnsi="Times New Roman;serif"/>
          <w:b w:val="false"/>
          <w:sz w:val="22"/>
        </w:rPr>
        <w:t>of the United States Code, as amended, or any similar federal or state law for the relief of debtors.</w:t>
      </w:r>
    </w:p>
    <w:p>
      <w:pPr>
        <w:pStyle w:val="TextBody"/>
        <w:bidi w:val="0"/>
        <w:spacing w:before="0" w:after="240"/>
        <w:jc w:val="both"/>
        <w:rPr/>
      </w:pPr>
      <w:r>
        <w:rPr/>
        <w:t>“</w:t>
      </w:r>
      <w:r>
        <w:rPr>
          <w:rFonts w:ascii="Times New Roman;serif" w:hAnsi="Times New Roman;serif"/>
          <w:b w:val="false"/>
          <w:sz w:val="22"/>
          <w:u w:val="single"/>
        </w:rPr>
        <w:t>Bank Products</w:t>
      </w:r>
      <w:r>
        <w:rPr>
          <w:rFonts w:ascii="Times New Roman" w:hAnsi="Times New Roman"/>
          <w:sz w:val="20"/>
        </w:rPr>
        <w:t xml:space="preserve">” </w:t>
      </w:r>
      <w:r>
        <w:rPr>
          <w:rFonts w:ascii="Times New Roman;serif" w:hAnsi="Times New Roman;serif"/>
          <w:b w:val="false"/>
          <w:sz w:val="22"/>
        </w:rPr>
        <w:t>means any facilities or services related to cash management, including treasury, depository, overdraft, credit or debit card, purchase card, electronic funds transfer and other cash management arrangements.</w:t>
      </w:r>
    </w:p>
    <w:p>
      <w:pPr>
        <w:pStyle w:val="TextBody"/>
        <w:bidi w:val="0"/>
        <w:spacing w:before="0" w:after="240"/>
        <w:jc w:val="both"/>
        <w:rPr/>
      </w:pPr>
      <w:r>
        <w:rPr/>
        <w:t>“</w:t>
      </w:r>
      <w:r>
        <w:rPr>
          <w:rFonts w:ascii="Times New Roman;serif" w:hAnsi="Times New Roman;serif"/>
          <w:b w:val="false"/>
          <w:sz w:val="22"/>
          <w:u w:val="single"/>
        </w:rPr>
        <w:t>Barclays</w:t>
      </w:r>
      <w:r>
        <w:rPr>
          <w:rFonts w:ascii="Times New Roman" w:hAnsi="Times New Roman"/>
          <w:sz w:val="20"/>
        </w:rPr>
        <w:t xml:space="preserve">” </w:t>
      </w:r>
      <w:r>
        <w:rPr>
          <w:rFonts w:ascii="Times New Roman;serif" w:hAnsi="Times New Roman;serif"/>
          <w:b w:val="false"/>
          <w:sz w:val="22"/>
        </w:rPr>
        <w:t>has the meaning given to such term in the preliminary statements hereto.</w:t>
      </w:r>
    </w:p>
    <w:p>
      <w:pPr>
        <w:pStyle w:val="TextBody"/>
        <w:bidi w:val="0"/>
        <w:spacing w:before="0" w:after="240"/>
        <w:jc w:val="both"/>
        <w:rPr/>
      </w:pPr>
      <w:bookmarkStart w:id="118" w:name="docxtextref111"/>
      <w:bookmarkEnd w:id="118"/>
      <w:r>
        <w:rPr/>
        <w:t>“</w:t>
      </w:r>
      <w:r>
        <w:rPr>
          <w:rFonts w:ascii="Times New Roman;serif" w:hAnsi="Times New Roman;serif"/>
          <w:b w:val="false"/>
          <w:sz w:val="22"/>
          <w:u w:val="single"/>
        </w:rPr>
        <w:t>Beneficial Ownership Regulation</w:t>
      </w:r>
      <w:r>
        <w:rPr>
          <w:rFonts w:ascii="Times New Roman" w:hAnsi="Times New Roman"/>
          <w:sz w:val="20"/>
        </w:rPr>
        <w:t xml:space="preserve">” </w:t>
      </w:r>
      <w:r>
        <w:rPr>
          <w:rFonts w:ascii="Times New Roman;serif" w:hAnsi="Times New Roman;serif"/>
          <w:b w:val="false"/>
          <w:sz w:val="22"/>
        </w:rPr>
        <w:t>means 31</w:t>
      </w:r>
      <w:r>
        <w:rPr>
          <w:rFonts w:ascii="Times New Roman" w:hAnsi="Times New Roman"/>
          <w:sz w:val="20"/>
        </w:rPr>
        <w:t xml:space="preserve"> </w:t>
      </w:r>
      <w:r>
        <w:rPr>
          <w:rFonts w:ascii="Times New Roman;serif" w:hAnsi="Times New Roman;serif"/>
          <w:b w:val="false"/>
          <w:sz w:val="22"/>
        </w:rPr>
        <w:t>C.F.R. § 1010.230.</w:t>
      </w:r>
    </w:p>
    <w:p>
      <w:pPr>
        <w:pStyle w:val="TextBody"/>
        <w:bidi w:val="0"/>
        <w:spacing w:before="0" w:after="240"/>
        <w:jc w:val="both"/>
        <w:rPr/>
      </w:pPr>
      <w:r>
        <w:rPr/>
        <w:t>“</w:t>
      </w:r>
      <w:r>
        <w:rPr>
          <w:rFonts w:ascii="Times New Roman;serif" w:hAnsi="Times New Roman;serif"/>
          <w:b w:val="false"/>
          <w:sz w:val="22"/>
          <w:u w:val="single"/>
        </w:rPr>
        <w:t>Benefit Plan</w:t>
      </w:r>
      <w:r>
        <w:rPr>
          <w:rFonts w:ascii="Times New Roman" w:hAnsi="Times New Roman"/>
          <w:sz w:val="20"/>
        </w:rPr>
        <w:t xml:space="preserve">” </w:t>
      </w:r>
      <w:r>
        <w:rPr>
          <w:rFonts w:ascii="Times New Roman;serif" w:hAnsi="Times New Roman;serif"/>
          <w:b w:val="false"/>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t>“</w:t>
      </w:r>
      <w:r>
        <w:rPr>
          <w:rFonts w:ascii="Times New Roman;serif" w:hAnsi="Times New Roman;serif"/>
          <w:b w:val="false"/>
          <w:sz w:val="22"/>
          <w:u w:val="single"/>
        </w:rPr>
        <w:t>Bidco</w:t>
      </w:r>
      <w:r>
        <w:rPr>
          <w:rFonts w:ascii="Times New Roman" w:hAnsi="Times New Roman"/>
          <w:sz w:val="20"/>
        </w:rPr>
        <w:t xml:space="preserve">” </w:t>
      </w:r>
      <w:r>
        <w:rPr>
          <w:rFonts w:ascii="Times New Roman;serif" w:hAnsi="Times New Roman;serif"/>
          <w:b w:val="false"/>
          <w:sz w:val="22"/>
        </w:rPr>
        <w:t>has the meaning assigned to such term in the preliminary statements hereto.</w:t>
      </w:r>
    </w:p>
    <w:p>
      <w:pPr>
        <w:pStyle w:val="TextBody"/>
        <w:bidi w:val="0"/>
        <w:spacing w:before="0" w:after="240"/>
        <w:jc w:val="both"/>
        <w:rPr/>
      </w:pPr>
      <w:bookmarkStart w:id="119" w:name="docxtextref115"/>
      <w:bookmarkEnd w:id="119"/>
      <w:r>
        <w:rPr/>
        <w:t>“</w:t>
      </w:r>
      <w:r>
        <w:rPr>
          <w:rFonts w:ascii="Times New Roman;serif" w:hAnsi="Times New Roman;serif"/>
          <w:b w:val="false"/>
          <w:sz w:val="22"/>
          <w:u w:val="single"/>
        </w:rPr>
        <w:t>Board of Directors</w:t>
      </w:r>
      <w:r>
        <w:rPr>
          <w:rFonts w:ascii="Times New Roman" w:hAnsi="Times New Roman"/>
          <w:sz w:val="20"/>
        </w:rPr>
        <w:t xml:space="preserve">” </w:t>
      </w:r>
      <w:r>
        <w:rPr>
          <w:rFonts w:ascii="Times New Roman;serif" w:hAnsi="Times New Roman;serif"/>
          <w:b w:val="false"/>
          <w:sz w:val="22"/>
        </w:rPr>
        <w:t>means, with respect to any Person, (a)</w:t>
      </w:r>
      <w:r>
        <w:rPr>
          <w:rFonts w:ascii="Times New Roman" w:hAnsi="Times New Roman"/>
          <w:sz w:val="20"/>
        </w:rPr>
        <w:t xml:space="preserve"> </w:t>
      </w:r>
      <w:r>
        <w:rPr>
          <w:rFonts w:ascii="Times New Roman;serif" w:hAnsi="Times New Roman;serif"/>
          <w:b w:val="false"/>
          <w:sz w:val="22"/>
        </w:rPr>
        <w:t xml:space="preserve">in the case of any corporation, the board of directors of such Person or any committee thereof duly authorized to act on behalf of such board, </w:t>
      </w:r>
      <w:bookmarkStart w:id="120" w:name="docxtextref116"/>
      <w:bookmarkEnd w:id="12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the case of any limited liability company, the board of managers, board of directors, manager or managing member of such Person or the functional equivalent of the foregoing or any committee thereof duly authorized to act on behalf of such board, manager or managing member, </w:t>
      </w:r>
      <w:bookmarkStart w:id="121" w:name="docxtextref117"/>
      <w:bookmarkEnd w:id="12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in the case of any partnership, the board of directors or board of managers of the general partner of such Person and </w:t>
      </w:r>
      <w:bookmarkStart w:id="122" w:name="docxtextref118"/>
      <w:bookmarkEnd w:id="12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in any other case, the functional equivalent of the foregoing.</w:t>
      </w:r>
    </w:p>
    <w:p>
      <w:pPr>
        <w:pStyle w:val="TextBody"/>
        <w:bidi w:val="0"/>
        <w:spacing w:before="0" w:after="240"/>
        <w:jc w:val="both"/>
        <w:rPr/>
      </w:pPr>
      <w:r>
        <w:rPr/>
        <w:t>“</w:t>
      </w:r>
      <w:r>
        <w:rPr>
          <w:rFonts w:ascii="Times New Roman;serif" w:hAnsi="Times New Roman;serif"/>
          <w:b w:val="false"/>
          <w:sz w:val="22"/>
          <w:u w:val="single"/>
        </w:rPr>
        <w:t>Board of Governors</w:t>
      </w:r>
      <w:r>
        <w:rPr>
          <w:rFonts w:ascii="Times New Roman" w:hAnsi="Times New Roman"/>
          <w:sz w:val="20"/>
        </w:rPr>
        <w:t xml:space="preserve">” </w:t>
      </w:r>
      <w:r>
        <w:rPr>
          <w:rFonts w:ascii="Times New Roman;serif" w:hAnsi="Times New Roman;serif"/>
          <w:b w:val="false"/>
          <w:sz w:val="22"/>
        </w:rPr>
        <w:t>means the Board of Governors of the Federal Reserve System of the United States of America.</w:t>
      </w:r>
    </w:p>
    <w:p>
      <w:pPr>
        <w:pStyle w:val="TextBody"/>
        <w:bidi w:val="0"/>
        <w:spacing w:before="0" w:after="240"/>
        <w:jc w:val="both"/>
        <w:rPr/>
      </w:pPr>
      <w:r>
        <w:rPr/>
        <w:t>“</w:t>
      </w:r>
      <w:r>
        <w:rPr>
          <w:rFonts w:ascii="Times New Roman;serif" w:hAnsi="Times New Roman;serif"/>
          <w:b w:val="false"/>
          <w:sz w:val="22"/>
          <w:u w:val="single"/>
        </w:rPr>
        <w:t>Borrower-Designated Guarantor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5.11(a)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Borrower Materials</w:t>
      </w:r>
      <w:r>
        <w:rPr>
          <w:rFonts w:ascii="Times New Roman" w:hAnsi="Times New Roman"/>
          <w:sz w:val="20"/>
        </w:rPr>
        <w:t xml:space="preserve">” </w:t>
      </w:r>
      <w:r>
        <w:rPr>
          <w:rFonts w:ascii="Times New Roman;serif" w:hAnsi="Times New Roman;serif"/>
          <w:b w:val="false"/>
          <w:sz w:val="22"/>
        </w:rPr>
        <w:t xml:space="preserve">has the meaning assigned to such term in the last paragraph of </w:t>
      </w:r>
      <w:r>
        <w:rPr>
          <w:rFonts w:ascii="Times New Roman;serif" w:hAnsi="Times New Roman;serif"/>
          <w:b w:val="false"/>
          <w:sz w:val="22"/>
          <w:u w:val="single"/>
        </w:rPr>
        <w:t>Section 5.01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Borrower Offer of Specified Discount Prepayment</w:t>
      </w:r>
      <w:r>
        <w:rPr>
          <w:rFonts w:ascii="Times New Roman" w:hAnsi="Times New Roman"/>
          <w:sz w:val="20"/>
        </w:rPr>
        <w:t xml:space="preserve">” </w:t>
      </w:r>
      <w:r>
        <w:rPr>
          <w:rFonts w:ascii="Times New Roman;serif" w:hAnsi="Times New Roman;serif"/>
          <w:b w:val="false"/>
          <w:sz w:val="22"/>
        </w:rPr>
        <w:t xml:space="preserve">means the offer by the Borrower to make a voluntary prepayment of Term Loans at a Specified Discount to par pursuant to </w:t>
      </w:r>
      <w:r>
        <w:rPr>
          <w:rFonts w:ascii="Times New Roman;serif" w:hAnsi="Times New Roman;serif"/>
          <w:b w:val="false"/>
          <w:sz w:val="22"/>
          <w:u w:val="single"/>
        </w:rPr>
        <w:t>Section 2.10(a)(ii)(B)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Borrower Representative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1.13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Borrowers</w:t>
      </w:r>
      <w:r>
        <w:rPr>
          <w:rFonts w:ascii="Times New Roman" w:hAnsi="Times New Roman"/>
          <w:sz w:val="20"/>
        </w:rPr>
        <w:t xml:space="preserve">” </w:t>
      </w:r>
      <w:r>
        <w:rPr>
          <w:rFonts w:ascii="Times New Roman;serif" w:hAnsi="Times New Roman;serif"/>
          <w:b w:val="false"/>
          <w:sz w:val="22"/>
        </w:rPr>
        <w:t>has the meaning assigned to such term in the preliminary statements hereto.</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Borrower Solicitation of Discount Range Prepayment Offers</w:t>
      </w:r>
      <w:r>
        <w:rPr>
          <w:rFonts w:ascii="Times New Roman" w:hAnsi="Times New Roman"/>
          <w:sz w:val="20"/>
        </w:rPr>
        <w:t xml:space="preserve">” </w:t>
      </w:r>
      <w:r>
        <w:rPr>
          <w:rFonts w:ascii="Times New Roman;serif" w:hAnsi="Times New Roman;serif"/>
          <w:b w:val="false"/>
          <w:sz w:val="22"/>
        </w:rPr>
        <w:t xml:space="preserve">means the solicitation by the Borrower Representative of offers for, and the corresponding acceptance by a Term Lender of, a voluntary prepayment of Term Loans at a specified range at a discount to par pursuant to </w:t>
      </w:r>
      <w:r>
        <w:rPr>
          <w:rFonts w:ascii="Times New Roman;serif" w:hAnsi="Times New Roman;serif"/>
          <w:b w:val="false"/>
          <w:sz w:val="22"/>
          <w:u w:val="single"/>
        </w:rPr>
        <w:t>Section 2.10(a)(ii)(C)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Borrower Solicitation of Discounted Prepayment Offers</w:t>
      </w:r>
      <w:r>
        <w:rPr>
          <w:rFonts w:ascii="Times New Roman" w:hAnsi="Times New Roman"/>
          <w:sz w:val="20"/>
        </w:rPr>
        <w:t xml:space="preserve">” </w:t>
      </w:r>
      <w:r>
        <w:rPr>
          <w:rFonts w:ascii="Times New Roman;serif" w:hAnsi="Times New Roman;serif"/>
          <w:b w:val="false"/>
          <w:sz w:val="22"/>
        </w:rPr>
        <w:t xml:space="preserve">means the solicitation by the Borrower Representative of offers for, and the subsequent acceptance, if any, by a Term Lender of, a voluntary prepayment of Term Loans at a discount to par pursuant to </w:t>
      </w:r>
      <w:r>
        <w:rPr>
          <w:rFonts w:ascii="Times New Roman;serif" w:hAnsi="Times New Roman;serif"/>
          <w:b w:val="false"/>
          <w:sz w:val="22"/>
          <w:u w:val="single"/>
        </w:rPr>
        <w:t>Section 2.10(a)(ii)(D)</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Borrower Tax Jurisdiction</w:t>
      </w:r>
      <w:r>
        <w:rPr>
          <w:rFonts w:ascii="Times New Roman" w:hAnsi="Times New Roman"/>
          <w:sz w:val="20"/>
        </w:rPr>
        <w:t xml:space="preserve">” </w:t>
      </w:r>
      <w:r>
        <w:rPr>
          <w:rFonts w:ascii="Times New Roman;serif" w:hAnsi="Times New Roman;serif"/>
          <w:b w:val="false"/>
          <w:sz w:val="22"/>
        </w:rPr>
        <w:t>means, as regards the relevant Borrower, that Borrower’s jurisdiction of incorporation unless that Borrower is incorporated in Guernsey, in which case its Borrower Tax Jurisdiction shall be the United Kingdom.</w:t>
      </w:r>
    </w:p>
    <w:p>
      <w:pPr>
        <w:pStyle w:val="TextBody"/>
        <w:bidi w:val="0"/>
        <w:spacing w:before="0" w:after="240"/>
        <w:jc w:val="both"/>
        <w:rPr/>
      </w:pPr>
      <w:r>
        <w:rPr/>
        <w:t>“</w:t>
      </w:r>
      <w:r>
        <w:rPr>
          <w:rFonts w:ascii="Times New Roman;serif" w:hAnsi="Times New Roman;serif"/>
          <w:b w:val="false"/>
          <w:sz w:val="22"/>
          <w:u w:val="single"/>
        </w:rPr>
        <w:t>Borrowing</w:t>
      </w:r>
      <w:r>
        <w:rPr>
          <w:rFonts w:ascii="Times New Roman" w:hAnsi="Times New Roman"/>
          <w:sz w:val="20"/>
        </w:rPr>
        <w:t xml:space="preserve">” </w:t>
      </w:r>
      <w:r>
        <w:rPr>
          <w:rFonts w:ascii="Times New Roman;serif" w:hAnsi="Times New Roman;serif"/>
          <w:b w:val="false"/>
          <w:sz w:val="22"/>
        </w:rPr>
        <w:t>means (a) Loans of the same Class and Type, made, converted or continued on the same date and, in the case of Eurodollar Loans, as to which a single Interest Period is in effect or (b) a Swingline Loan.</w:t>
      </w:r>
    </w:p>
    <w:p>
      <w:pPr>
        <w:pStyle w:val="TextBody"/>
        <w:bidi w:val="0"/>
        <w:spacing w:before="0" w:after="240"/>
        <w:jc w:val="both"/>
        <w:rPr/>
      </w:pPr>
      <w:bookmarkStart w:id="123" w:name="docxtextref124"/>
      <w:bookmarkEnd w:id="123"/>
      <w:r>
        <w:rPr/>
        <w:t>“</w:t>
      </w:r>
      <w:r>
        <w:rPr>
          <w:rFonts w:ascii="Times New Roman;serif" w:hAnsi="Times New Roman;serif"/>
          <w:b w:val="false"/>
          <w:sz w:val="22"/>
          <w:u w:val="single"/>
        </w:rPr>
        <w:t>Borrowing Minimum</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in the case of a Eurodollar Revolving Borrowing, $1,000,000, </w:t>
      </w:r>
      <w:bookmarkStart w:id="124" w:name="docxtextref125"/>
      <w:bookmarkEnd w:id="12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in the case of an ABR Revolving Borrowing, $500,000 and (c) in the case of a Swingline Loan, $100,000.</w:t>
      </w:r>
    </w:p>
    <w:p>
      <w:pPr>
        <w:pStyle w:val="TextBody"/>
        <w:bidi w:val="0"/>
        <w:spacing w:before="0" w:after="240"/>
        <w:jc w:val="both"/>
        <w:rPr/>
      </w:pPr>
      <w:bookmarkStart w:id="125" w:name="docxtextref126"/>
      <w:bookmarkEnd w:id="125"/>
      <w:r>
        <w:rPr/>
        <w:t>“</w:t>
      </w:r>
      <w:r>
        <w:rPr>
          <w:rFonts w:ascii="Times New Roman;serif" w:hAnsi="Times New Roman;serif"/>
          <w:b w:val="false"/>
          <w:sz w:val="22"/>
          <w:u w:val="single"/>
        </w:rPr>
        <w:t>Borrowing Multiple</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in the case of a Eurodollar Revolving Borrowing, $1,000,000, </w:t>
      </w:r>
      <w:bookmarkStart w:id="126" w:name="docxtextref127"/>
      <w:bookmarkEnd w:id="12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in the case of an ABR Revolving Borrowing, $500,000 and (c) in the case of a Swingline Loan, $100,000.</w:t>
      </w:r>
    </w:p>
    <w:p>
      <w:pPr>
        <w:pStyle w:val="TextBody"/>
        <w:bidi w:val="0"/>
        <w:spacing w:before="0" w:after="240"/>
        <w:jc w:val="both"/>
        <w:rPr/>
      </w:pPr>
      <w:r>
        <w:rPr/>
        <w:t>“</w:t>
      </w:r>
      <w:r>
        <w:rPr>
          <w:rFonts w:ascii="Times New Roman;serif" w:hAnsi="Times New Roman;serif"/>
          <w:b w:val="false"/>
          <w:sz w:val="22"/>
          <w:u w:val="single"/>
        </w:rPr>
        <w:t>Borrowing Request</w:t>
      </w:r>
      <w:r>
        <w:rPr>
          <w:rFonts w:ascii="Times New Roman" w:hAnsi="Times New Roman"/>
          <w:sz w:val="20"/>
        </w:rPr>
        <w:t xml:space="preserve">” </w:t>
      </w:r>
      <w:r>
        <w:rPr>
          <w:rFonts w:ascii="Times New Roman;serif" w:hAnsi="Times New Roman;serif"/>
          <w:b w:val="false"/>
          <w:sz w:val="22"/>
        </w:rPr>
        <w:t xml:space="preserve">means a request by a Borrower for a Borrowing in accordance with </w:t>
      </w:r>
      <w:r>
        <w:rPr>
          <w:rFonts w:ascii="Times New Roman;serif" w:hAnsi="Times New Roman;serif"/>
          <w:b w:val="false"/>
          <w:sz w:val="22"/>
          <w:u w:val="single"/>
        </w:rPr>
        <w:t>Section 2.03</w:t>
      </w:r>
      <w:r>
        <w:rPr>
          <w:rFonts w:ascii="Times New Roman;serif" w:hAnsi="Times New Roman;serif"/>
          <w:b w:val="false"/>
          <w:sz w:val="22"/>
        </w:rPr>
        <w:t>.</w:t>
      </w:r>
    </w:p>
    <w:p>
      <w:pPr>
        <w:pStyle w:val="TextBody"/>
        <w:bidi w:val="0"/>
        <w:spacing w:before="0" w:after="240"/>
        <w:jc w:val="both"/>
        <w:rPr/>
      </w:pPr>
      <w:bookmarkStart w:id="127" w:name="docxtextref129"/>
      <w:bookmarkEnd w:id="127"/>
      <w:r>
        <w:rPr/>
        <w:t>“</w:t>
      </w:r>
      <w:r>
        <w:rPr>
          <w:rFonts w:ascii="Times New Roman;serif" w:hAnsi="Times New Roman;serif"/>
          <w:b w:val="false"/>
          <w:sz w:val="22"/>
          <w:u w:val="single"/>
        </w:rPr>
        <w:t>Business Day</w:t>
      </w:r>
      <w:r>
        <w:rPr>
          <w:rFonts w:ascii="Times New Roman" w:hAnsi="Times New Roman"/>
          <w:sz w:val="20"/>
        </w:rPr>
        <w:t xml:space="preserve">” </w:t>
      </w:r>
      <w:r>
        <w:rPr>
          <w:rFonts w:ascii="Times New Roman;serif" w:hAnsi="Times New Roman;serif"/>
          <w:b w:val="false"/>
          <w:sz w:val="22"/>
        </w:rPr>
        <w:t xml:space="preserve">means any day that is not a Saturday, Sunday or other day on which commercial banks in New York City, London, Luxembourg and/or Guernsey are authorized or required by law to remain closed;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when used in connection with a Eurodollar Loan denominated in Canadian Dollars, the term “Business Day” shall also exclude any day on which banks are not open for dealings in Canadian Dollar deposits in the Toronto interbank market, (y) when used in connection with a Eurodollar Loan denominated in Euros, the term “Business Day” shall also exclude any day on which the TARGET2 payment system is not open and (z) with respect to all notices and determinations in connection with, and payments of principal and interest on or with respect to, Loans denominated in any Alternative Currency, any day that is a Business Day which is not a legal holiday or a day on which banking institutions are authorized or required by Requirements of Law or other governmental action to remain closed in the country of issuance of the applicable currency.</w:t>
      </w:r>
    </w:p>
    <w:p>
      <w:pPr>
        <w:pStyle w:val="TextBody"/>
        <w:bidi w:val="0"/>
        <w:spacing w:before="0" w:after="240"/>
        <w:jc w:val="both"/>
        <w:rPr/>
      </w:pPr>
      <w:r>
        <w:rPr/>
        <w:t>“</w:t>
      </w:r>
      <w:r>
        <w:rPr>
          <w:rFonts w:ascii="Times New Roman;serif" w:hAnsi="Times New Roman;serif"/>
          <w:b w:val="false"/>
          <w:sz w:val="22"/>
          <w:u w:val="single"/>
        </w:rPr>
        <w:t>Canadian Dollars</w:t>
      </w:r>
      <w:r>
        <w:rPr>
          <w:rFonts w:ascii="Times New Roman" w:hAnsi="Times New Roman"/>
          <w:sz w:val="20"/>
        </w:rPr>
        <w:t xml:space="preserve">” </w:t>
      </w:r>
      <w:r>
        <w:rPr>
          <w:rFonts w:ascii="Times New Roman;serif" w:hAnsi="Times New Roman;serif"/>
          <w:b w:val="false"/>
          <w:sz w:val="22"/>
        </w:rPr>
        <w:t>shall mean the lawful currency of Canada.</w:t>
      </w:r>
    </w:p>
    <w:p>
      <w:pPr>
        <w:pStyle w:val="TextBody"/>
        <w:bidi w:val="0"/>
        <w:spacing w:before="0" w:after="240"/>
        <w:jc w:val="both"/>
        <w:rPr/>
      </w:pPr>
      <w:r>
        <w:rPr/>
        <w:t>“</w:t>
      </w:r>
      <w:r>
        <w:rPr>
          <w:rFonts w:ascii="Times New Roman;serif" w:hAnsi="Times New Roman;serif"/>
          <w:b w:val="false"/>
          <w:sz w:val="22"/>
          <w:u w:val="single"/>
        </w:rPr>
        <w:t>Capital Stock</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in the case of a corporation, corporate stock or shares in the capital of such corporation;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in the case of an association or business entity, any and all shares, interests, participations, rights or other equivalents (however designated) of capital stock;</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in the case of a partnership or limited liability company, partnership or membership interests (whether general or limited);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but excluding from all of the foregoing any debt securities convertible into Capital Stock, whether or not such debt securities include any right of participation with Capital Stock.</w:t>
      </w:r>
    </w:p>
    <w:p>
      <w:pPr>
        <w:pStyle w:val="TextBody"/>
        <w:bidi w:val="0"/>
        <w:spacing w:before="0" w:after="240"/>
        <w:jc w:val="both"/>
        <w:rPr/>
      </w:pPr>
      <w:r>
        <w:rPr/>
        <w:t>“</w:t>
      </w:r>
      <w:r>
        <w:rPr>
          <w:rFonts w:ascii="Times New Roman;serif" w:hAnsi="Times New Roman;serif"/>
          <w:b w:val="false"/>
          <w:sz w:val="22"/>
          <w:u w:val="single"/>
        </w:rPr>
        <w:t>Capitalized Amount</w:t>
      </w:r>
      <w:r>
        <w:rPr>
          <w:rFonts w:ascii="Times New Roman" w:hAnsi="Times New Roman"/>
          <w:sz w:val="20"/>
        </w:rPr>
        <w:t xml:space="preserve">” </w:t>
      </w:r>
      <w:r>
        <w:rPr>
          <w:rFonts w:ascii="Times New Roman;serif" w:hAnsi="Times New Roman;serif"/>
          <w:b w:val="false"/>
          <w:sz w:val="22"/>
        </w:rPr>
        <w:t>means, as at the relevant date of determination, the sum of the amount of (a) the Equity Contributions and (b) the Senior Secured Notes actually issued, and the Initial Term Loans and Revolving Loans actually funded, on or prior to such date (excluding, in each case, (x) the aggregate gross proceeds of the Senior Secured Notes, the Initial Term Loans and the Revolving Loans to fund original issue discount or upfront fees and (y) any amounts drawn under the Revolving Facility on or prior to such date for working capital purposes).</w:t>
      </w:r>
    </w:p>
    <w:p>
      <w:pPr>
        <w:pStyle w:val="TextBody"/>
        <w:bidi w:val="0"/>
        <w:spacing w:before="0" w:after="240"/>
        <w:jc w:val="both"/>
        <w:rPr/>
      </w:pPr>
      <w:r>
        <w:rPr/>
        <w:t>“</w:t>
      </w:r>
      <w:r>
        <w:rPr>
          <w:rFonts w:ascii="Times New Roman;serif" w:hAnsi="Times New Roman;serif"/>
          <w:b w:val="false"/>
          <w:sz w:val="22"/>
          <w:u w:val="single"/>
        </w:rPr>
        <w:t>Capitalized Lease Obligations</w:t>
      </w:r>
      <w:r>
        <w:rPr>
          <w:rFonts w:ascii="Times New Roman" w:hAnsi="Times New Roman"/>
          <w:sz w:val="20"/>
        </w:rPr>
        <w:t xml:space="preserve">” </w:t>
      </w:r>
      <w:r>
        <w:rPr>
          <w:rFonts w:ascii="Times New Roman;serif" w:hAnsi="Times New Roman;serif"/>
          <w:b w:val="false"/>
          <w:sz w:val="22"/>
        </w:rPr>
        <w:t xml:space="preserve">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IFRS;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all obligations of any Person that are or would have been characterized as an operating lease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regardless of any change in IFRS following such date that would otherwise require such obligation to be recharacterized as a Capitalized Lease Obligation, to the extent that financial reporting shall not be affected hereby.</w:t>
      </w:r>
    </w:p>
    <w:p>
      <w:pPr>
        <w:pStyle w:val="TextBody"/>
        <w:bidi w:val="0"/>
        <w:spacing w:before="0" w:after="240"/>
        <w:jc w:val="both"/>
        <w:rPr/>
      </w:pPr>
      <w:r>
        <w:rPr/>
        <w:t>“</w:t>
      </w:r>
      <w:r>
        <w:rPr>
          <w:rFonts w:ascii="Times New Roman;serif" w:hAnsi="Times New Roman;serif"/>
          <w:b w:val="false"/>
          <w:sz w:val="22"/>
          <w:u w:val="single"/>
        </w:rPr>
        <w:t>Capitalized Leases</w:t>
      </w:r>
      <w:r>
        <w:rPr>
          <w:rFonts w:ascii="Times New Roman" w:hAnsi="Times New Roman"/>
          <w:sz w:val="20"/>
        </w:rPr>
        <w:t xml:space="preserve">” </w:t>
      </w:r>
      <w:r>
        <w:rPr>
          <w:rFonts w:ascii="Times New Roman;serif" w:hAnsi="Times New Roman;serif"/>
          <w:b w:val="false"/>
          <w:sz w:val="22"/>
        </w:rPr>
        <w:t xml:space="preserve">means all leases that have been or should be, in accordance with IFRS as in effect on the Effective Date, recorded as capitalized leases;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for all purposes hereunder the amount of obligations under any Capitalized Lease shall be the amount thereof accounted for as a liability in accordance with IFRS;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all leases of such Person that are or would have been characterized as operating leases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notwithstanding the fact that such obligations are required in accordance with IFRS (on a prospective or retroactive basis or otherwise) to be characterized as capitalized lease obligations in the financial statements to be delivered pursuant to the Loan Documents.</w:t>
      </w:r>
    </w:p>
    <w:p>
      <w:pPr>
        <w:pStyle w:val="TextBody"/>
        <w:bidi w:val="0"/>
        <w:spacing w:before="0" w:after="240"/>
        <w:jc w:val="both"/>
        <w:rPr/>
      </w:pPr>
      <w:r>
        <w:rPr/>
        <w:t>“</w:t>
      </w:r>
      <w:r>
        <w:rPr>
          <w:rFonts w:ascii="Times New Roman;serif" w:hAnsi="Times New Roman;serif"/>
          <w:b w:val="false"/>
          <w:sz w:val="22"/>
          <w:u w:val="single"/>
        </w:rPr>
        <w:t>Capitalized Software Expenditures</w:t>
      </w:r>
      <w:r>
        <w:rPr>
          <w:rFonts w:ascii="Times New Roman" w:hAnsi="Times New Roman"/>
          <w:sz w:val="20"/>
        </w:rPr>
        <w:t xml:space="preserve">” </w:t>
      </w:r>
      <w:r>
        <w:rPr>
          <w:rFonts w:ascii="Times New Roman;serif" w:hAnsi="Times New Roman;serif"/>
          <w:b w:val="false"/>
          <w:sz w:val="22"/>
        </w:rPr>
        <w:t>means, for any period, the aggregate of all expenditures (whether paid in cash or accrued as liabilities) by Bidco and the Restricted Subsidiaries during such period in respect of purchased software or internally developed software and software enhancements that, in conformity with IFRS, are or are required to be reflected as capitalized costs on the consolidated balance sheet of Bidco and the Restricted Subsidiaries.</w:t>
      </w:r>
    </w:p>
    <w:p>
      <w:pPr>
        <w:pStyle w:val="TextBody"/>
        <w:bidi w:val="0"/>
        <w:spacing w:before="0" w:after="240"/>
        <w:jc w:val="both"/>
        <w:rPr/>
      </w:pPr>
      <w:r>
        <w:rPr/>
        <w:t>“</w:t>
      </w:r>
      <w:r>
        <w:rPr>
          <w:rFonts w:ascii="Times New Roman;serif" w:hAnsi="Times New Roman;serif"/>
          <w:b w:val="false"/>
          <w:sz w:val="22"/>
          <w:u w:val="single"/>
        </w:rPr>
        <w:t>Cash Equivalents</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United States dollars;</w:t>
      </w:r>
    </w:p>
    <w:p>
      <w:pPr>
        <w:pStyle w:val="TextBody"/>
        <w:bidi w:val="0"/>
        <w:spacing w:before="0" w:after="240"/>
        <w:jc w:val="both"/>
        <w:rPr>
          <w:rFonts w:ascii="Times New Roman" w:hAnsi="Times New Roman"/>
          <w:sz w:val="20"/>
        </w:rPr>
      </w:pPr>
      <w:bookmarkStart w:id="128" w:name="docxtextref131"/>
      <w:bookmarkEnd w:id="128"/>
      <w:r>
        <w:rPr>
          <w:rFonts w:ascii="Times New Roman;serif" w:hAnsi="Times New Roman;serif"/>
          <w:b w:val="false"/>
          <w:sz w:val="22"/>
        </w:rPr>
        <w:t>(2) (a)</w:t>
      </w:r>
      <w:r>
        <w:rPr>
          <w:rFonts w:ascii="Times New Roman" w:hAnsi="Times New Roman"/>
          <w:sz w:val="20"/>
        </w:rPr>
        <w:t xml:space="preserve"> </w:t>
      </w:r>
      <w:r>
        <w:rPr>
          <w:rFonts w:ascii="Times New Roman;serif" w:hAnsi="Times New Roman;serif"/>
          <w:b w:val="false"/>
          <w:sz w:val="22"/>
        </w:rPr>
        <w:t xml:space="preserve">Canadian Dollars, Yen, pounds sterling, euros, or any national currency of any participating member state of the EMU or </w:t>
      </w:r>
      <w:bookmarkStart w:id="129" w:name="docxtextref132"/>
      <w:bookmarkEnd w:id="12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in the case of any Foreign Subsidiary, such local currencies held by it from time to time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securities issued or directly and fully and unconditionally guaranteed or insured by the U.S. government or any agency or instrumentality thereof, Canada, Switzerland, a member of the European Union rated “A” (or the equivalent thereof) or better by S&amp;P and A2 (or the equivalent thereof) or better by Moody’s, the securities of which are unconditionally guaranteed as a full faith and credit obligation of such government with maturities of 24 months or less from the date of acquisition;</w:t>
      </w:r>
    </w:p>
    <w:p>
      <w:pPr>
        <w:pStyle w:val="TextBody"/>
        <w:bidi w:val="0"/>
        <w:spacing w:before="0" w:after="240"/>
        <w:jc w:val="both"/>
        <w:rPr>
          <w:rFonts w:ascii="Times New Roman" w:hAnsi="Times New Roman"/>
          <w:sz w:val="20"/>
        </w:rPr>
      </w:pPr>
      <w:r>
        <w:rPr>
          <w:rFonts w:ascii="Times New Roman;serif" w:hAnsi="Times New Roman;serif"/>
          <w:b w:val="false"/>
          <w:sz w:val="22"/>
        </w:rPr>
        <w:t>(4)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$250,000,000 in the case of U.S. banks or $100,000,000 (or the Dollar Equivalent as of the date of determination) in the case of non-U.S. banks (any such bank being an “</w:t>
      </w:r>
      <w:r>
        <w:rPr>
          <w:rFonts w:ascii="Times New Roman;serif" w:hAnsi="Times New Roman;serif"/>
          <w:b w:val="false"/>
          <w:sz w:val="22"/>
          <w:u w:val="single"/>
        </w:rPr>
        <w:t>Approved Bank</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30" w:name="docxtextref133"/>
      <w:bookmarkEnd w:id="130"/>
      <w:r>
        <w:rPr>
          <w:rFonts w:ascii="Times New Roman;serif" w:hAnsi="Times New Roman;serif"/>
          <w:b w:val="false"/>
          <w:sz w:val="22"/>
        </w:rPr>
        <w:t xml:space="preserve">(5) repurchase obligations for underlying securities of the types described in clause (3), </w:t>
      </w:r>
      <w:bookmarkStart w:id="131" w:name="docxtextref134"/>
      <w:bookmarkEnd w:id="131"/>
      <w:r>
        <w:rPr>
          <w:rFonts w:ascii="Times New Roman;serif" w:hAnsi="Times New Roman;serif"/>
          <w:b w:val="false"/>
          <w:sz w:val="22"/>
        </w:rPr>
        <w:t>(4)</w:t>
      </w:r>
      <w:r>
        <w:rPr>
          <w:rFonts w:ascii="Times New Roman" w:hAnsi="Times New Roman"/>
          <w:sz w:val="20"/>
        </w:rPr>
        <w:t xml:space="preserve"> </w:t>
      </w:r>
      <w:r>
        <w:rPr>
          <w:rFonts w:ascii="Times New Roman;serif" w:hAnsi="Times New Roman;serif"/>
          <w:b w:val="false"/>
          <w:sz w:val="22"/>
        </w:rPr>
        <w:t xml:space="preserve">or </w:t>
      </w:r>
      <w:bookmarkStart w:id="132" w:name="docxtextref135"/>
      <w:bookmarkEnd w:id="132"/>
      <w:r>
        <w:rPr>
          <w:rFonts w:ascii="Times New Roman;serif" w:hAnsi="Times New Roman;serif"/>
          <w:b w:val="false"/>
          <w:sz w:val="22"/>
        </w:rPr>
        <w:t>(7)</w:t>
      </w:r>
      <w:r>
        <w:rPr>
          <w:rFonts w:ascii="Times New Roman" w:hAnsi="Times New Roman"/>
          <w:sz w:val="20"/>
        </w:rPr>
        <w:t xml:space="preserve"> </w:t>
      </w:r>
      <w:r>
        <w:rPr>
          <w:rFonts w:ascii="Times New Roman;serif" w:hAnsi="Times New Roman;serif"/>
          <w:b w:val="false"/>
          <w:sz w:val="22"/>
        </w:rPr>
        <w:t xml:space="preserve">entered into with any financial institution or recognized securities dealer meeting the qualifications specified in clause </w:t>
      </w:r>
      <w:bookmarkStart w:id="133" w:name="docxtextref136"/>
      <w:bookmarkEnd w:id="133"/>
      <w:r>
        <w:rPr>
          <w:rFonts w:ascii="Times New Roman;serif" w:hAnsi="Times New Roman;serif"/>
          <w:b w:val="false"/>
          <w:sz w:val="22"/>
        </w:rPr>
        <w:t>(4)</w:t>
      </w:r>
      <w:r>
        <w:rPr>
          <w:rFonts w:ascii="Times New Roman" w:hAnsi="Times New Roman"/>
          <w:sz w:val="20"/>
        </w:rPr>
        <w:t xml:space="preserve"> </w:t>
      </w:r>
      <w:r>
        <w:rPr>
          <w:rFonts w:ascii="Times New Roman;serif" w:hAnsi="Times New Roman;serif"/>
          <w:b w:val="false"/>
          <w:sz w:val="22"/>
        </w:rPr>
        <w:t>above;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(6)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(7) 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(8) readily marketable direct obligations issued by any state, commonwealth or territory of the United States of America or any political subdivision or taxing authority thereof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(9) Indebtedness or Preferred Stock issued by Persons with a rating of “A” or higher from S&amp;P or “A2” or higher from Moody’s (or, if at any time neither Moody’s nor S&amp;P shall be rating such obligations, an equivalent rating from another rating agency) with maturities of 24 months or less from the date of acquisition;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(10) readily marketable direct obligations issued by any foreign government or any political subdivision or public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(11)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w:t>
      </w:r>
    </w:p>
    <w:p>
      <w:pPr>
        <w:pStyle w:val="TextBody"/>
        <w:bidi w:val="0"/>
        <w:spacing w:before="0" w:after="240"/>
        <w:jc w:val="both"/>
        <w:rPr>
          <w:rFonts w:ascii="Times New Roman" w:hAnsi="Times New Roman"/>
          <w:sz w:val="20"/>
        </w:rPr>
      </w:pPr>
      <w:bookmarkStart w:id="134" w:name="docxtextref137"/>
      <w:bookmarkEnd w:id="134"/>
      <w:r>
        <w:rPr>
          <w:rFonts w:ascii="Times New Roman;serif" w:hAnsi="Times New Roman;serif"/>
          <w:b w:val="false"/>
          <w:sz w:val="22"/>
        </w:rPr>
        <w:t>(12) 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w:t>
      </w:r>
      <w:r>
        <w:rPr>
          <w:rFonts w:ascii="Times New Roman" w:hAnsi="Times New Roman"/>
          <w:sz w:val="20"/>
        </w:rPr>
        <w:t xml:space="preserve"> </w:t>
      </w:r>
      <w:r>
        <w:rPr>
          <w:rFonts w:ascii="Times New Roman;serif" w:hAnsi="Times New Roman;serif"/>
          <w:b w:val="false"/>
          <w:sz w:val="22"/>
        </w:rPr>
        <w:t>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pStyle w:val="TextBody"/>
        <w:bidi w:val="0"/>
        <w:spacing w:before="0" w:after="240"/>
        <w:jc w:val="both"/>
        <w:rPr>
          <w:rFonts w:ascii="Times New Roman" w:hAnsi="Times New Roman"/>
          <w:sz w:val="20"/>
        </w:rPr>
      </w:pPr>
      <w:bookmarkStart w:id="135" w:name="docxtextref138"/>
      <w:bookmarkEnd w:id="135"/>
      <w:r>
        <w:rPr>
          <w:rFonts w:ascii="Times New Roman;serif" w:hAnsi="Times New Roman;serif"/>
          <w:b w:val="false"/>
          <w:sz w:val="22"/>
        </w:rPr>
        <w:t>(13) instruments equivalent to those referred to in clauses (1)</w:t>
      </w:r>
      <w:r>
        <w:rPr>
          <w:rFonts w:ascii="Times New Roman" w:hAnsi="Times New Roman"/>
          <w:sz w:val="20"/>
        </w:rPr>
        <w:t xml:space="preserve"> </w:t>
      </w:r>
      <w:r>
        <w:rPr>
          <w:rFonts w:ascii="Times New Roman;serif" w:hAnsi="Times New Roman;serif"/>
          <w:b w:val="false"/>
          <w:sz w:val="22"/>
        </w:rPr>
        <w:t xml:space="preserve">through </w:t>
      </w:r>
      <w:bookmarkStart w:id="136" w:name="docxtextref139"/>
      <w:bookmarkEnd w:id="136"/>
      <w:r>
        <w:rPr>
          <w:rFonts w:ascii="Times New Roman;serif" w:hAnsi="Times New Roman;serif"/>
          <w:b w:val="false"/>
          <w:sz w:val="22"/>
        </w:rPr>
        <w:t>(12)</w:t>
      </w:r>
      <w:r>
        <w:rPr>
          <w:rFonts w:ascii="Times New Roman" w:hAnsi="Times New Roman"/>
          <w:sz w:val="20"/>
        </w:rPr>
        <w:t xml:space="preserve"> </w:t>
      </w:r>
      <w:r>
        <w:rPr>
          <w:rFonts w:ascii="Times New Roman;serif" w:hAnsi="Times New Roman;serif"/>
          <w:b w:val="false"/>
          <w:sz w:val="22"/>
        </w:rPr>
        <w:t>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0" w:after="240"/>
        <w:jc w:val="both"/>
        <w:rPr>
          <w:rFonts w:ascii="Times New Roman" w:hAnsi="Times New Roman"/>
          <w:sz w:val="20"/>
        </w:rPr>
      </w:pPr>
      <w:bookmarkStart w:id="137" w:name="docxtextref140"/>
      <w:bookmarkEnd w:id="137"/>
      <w:r>
        <w:rPr>
          <w:rFonts w:ascii="Times New Roman;serif" w:hAnsi="Times New Roman;serif"/>
          <w:b w:val="false"/>
          <w:sz w:val="22"/>
        </w:rPr>
        <w:t>(14) investments, classified in accordance with IFRS as current assets of Bidco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(1)</w:t>
      </w:r>
      <w:r>
        <w:rPr>
          <w:rFonts w:ascii="Times New Roman" w:hAnsi="Times New Roman"/>
          <w:sz w:val="20"/>
        </w:rPr>
        <w:t xml:space="preserve"> </w:t>
      </w:r>
      <w:r>
        <w:rPr>
          <w:rFonts w:ascii="Times New Roman;serif" w:hAnsi="Times New Roman;serif"/>
          <w:b w:val="false"/>
          <w:sz w:val="22"/>
        </w:rPr>
        <w:t xml:space="preserve">through </w:t>
      </w:r>
      <w:bookmarkStart w:id="138" w:name="docxtextref141"/>
      <w:bookmarkEnd w:id="138"/>
      <w:r>
        <w:rPr>
          <w:rFonts w:ascii="Times New Roman;serif" w:hAnsi="Times New Roman;serif"/>
          <w:b w:val="false"/>
          <w:sz w:val="22"/>
        </w:rPr>
        <w:t>(13)</w:t>
      </w:r>
      <w:r>
        <w:rPr>
          <w:rFonts w:ascii="Times New Roman" w:hAnsi="Times New Roman"/>
          <w:sz w:val="20"/>
        </w:rPr>
        <w:t xml:space="preserve"> </w:t>
      </w:r>
      <w:r>
        <w:rPr>
          <w:rFonts w:ascii="Times New Roman;serif" w:hAnsi="Times New Roman;serif"/>
          <w:b w:val="false"/>
          <w:sz w:val="22"/>
        </w:rPr>
        <w:t>of this definition;</w:t>
      </w:r>
    </w:p>
    <w:p>
      <w:pPr>
        <w:pStyle w:val="TextBody"/>
        <w:bidi w:val="0"/>
        <w:spacing w:before="0" w:after="240"/>
        <w:jc w:val="both"/>
        <w:rPr>
          <w:rFonts w:ascii="Times New Roman" w:hAnsi="Times New Roman"/>
          <w:sz w:val="20"/>
        </w:rPr>
      </w:pPr>
      <w:bookmarkStart w:id="139" w:name="docxtextref142"/>
      <w:bookmarkEnd w:id="139"/>
      <w:r>
        <w:rPr>
          <w:rFonts w:ascii="Times New Roman;serif" w:hAnsi="Times New Roman;serif"/>
          <w:b w:val="false"/>
          <w:sz w:val="22"/>
        </w:rPr>
        <w:t>(15) with respect to any Subsidiary that is organized under the laws of a jurisdiction other than the United States of America, any State, commonwealth or territory thereof or the District of Columbia: (i)</w:t>
      </w:r>
      <w:r>
        <w:rPr>
          <w:rFonts w:ascii="Times New Roman" w:hAnsi="Times New Roman"/>
          <w:sz w:val="20"/>
        </w:rPr>
        <w:t xml:space="preserve"> </w:t>
      </w:r>
      <w:r>
        <w:rPr>
          <w:rFonts w:ascii="Times New Roman;serif" w:hAnsi="Times New Roman;serif"/>
          <w:b w:val="false"/>
          <w:sz w:val="22"/>
        </w:rPr>
        <w:t xml:space="preserve">obligations of the national government of the country in which such Subsidiary maintains its chief executive office and principal place of business;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serif" w:hAnsi="Times New Roman;serif"/>
          <w:b w:val="false"/>
          <w:sz w:val="22"/>
          <w:u w:val="single"/>
        </w:rPr>
        <w:t>Approved Foreign Bank</w:t>
      </w:r>
      <w:r>
        <w:rPr>
          <w:rFonts w:ascii="Times New Roman" w:hAnsi="Times New Roman"/>
          <w:sz w:val="20"/>
        </w:rPr>
        <w:t>”</w:t>
      </w:r>
      <w:r>
        <w:rPr>
          <w:rFonts w:ascii="Times New Roman;serif" w:hAnsi="Times New Roman;serif"/>
          <w:b w:val="false"/>
          <w:sz w:val="22"/>
        </w:rPr>
        <w:t>), and in each case with maturities of not more than 24 months from the date of acquisition and (iii) the equivalent of demand deposit accounts which are maintained with an Approved Foreign Bank; and</w:t>
      </w:r>
    </w:p>
    <w:p>
      <w:pPr>
        <w:pStyle w:val="TextBody"/>
        <w:bidi w:val="0"/>
        <w:spacing w:before="0" w:after="240"/>
        <w:jc w:val="both"/>
        <w:rPr>
          <w:rFonts w:ascii="Times New Roman" w:hAnsi="Times New Roman"/>
          <w:sz w:val="20"/>
        </w:rPr>
      </w:pPr>
      <w:bookmarkStart w:id="140" w:name="docxtextref143"/>
      <w:bookmarkEnd w:id="140"/>
      <w:r>
        <w:rPr>
          <w:rFonts w:ascii="Times New Roman;serif" w:hAnsi="Times New Roman;serif"/>
          <w:b w:val="false"/>
          <w:sz w:val="22"/>
        </w:rPr>
        <w:t>(16) investment funds investing at least 90% of their assets in securities of the types described in clauses (1)</w:t>
      </w:r>
      <w:r>
        <w:rPr>
          <w:rFonts w:ascii="Times New Roman" w:hAnsi="Times New Roman"/>
          <w:sz w:val="20"/>
        </w:rPr>
        <w:t xml:space="preserve"> </w:t>
      </w:r>
      <w:r>
        <w:rPr>
          <w:rFonts w:ascii="Times New Roman;serif" w:hAnsi="Times New Roman;serif"/>
          <w:b w:val="false"/>
          <w:sz w:val="22"/>
        </w:rPr>
        <w:t xml:space="preserve">through </w:t>
      </w:r>
      <w:bookmarkStart w:id="141" w:name="docxtextref144"/>
      <w:bookmarkEnd w:id="141"/>
      <w:r>
        <w:rPr>
          <w:rFonts w:ascii="Times New Roman;serif" w:hAnsi="Times New Roman;serif"/>
          <w:b w:val="false"/>
          <w:sz w:val="22"/>
        </w:rPr>
        <w:t>(15)</w:t>
      </w:r>
      <w:r>
        <w:rPr>
          <w:rFonts w:ascii="Times New Roman" w:hAnsi="Times New Roman"/>
          <w:sz w:val="20"/>
        </w:rPr>
        <w:t xml:space="preserve"> </w:t>
      </w:r>
      <w:r>
        <w:rPr>
          <w:rFonts w:ascii="Times New Roman;serif" w:hAnsi="Times New Roman;serif"/>
          <w:b w:val="false"/>
          <w:sz w:val="22"/>
        </w:rPr>
        <w:t>above.</w:t>
      </w:r>
    </w:p>
    <w:p>
      <w:pPr>
        <w:pStyle w:val="TextBody"/>
        <w:bidi w:val="0"/>
        <w:spacing w:before="0" w:after="240"/>
        <w:jc w:val="both"/>
        <w:rPr>
          <w:rFonts w:ascii="Times New Roman" w:hAnsi="Times New Roman"/>
          <w:sz w:val="20"/>
        </w:rPr>
      </w:pPr>
      <w:bookmarkStart w:id="142" w:name="docxtextref145"/>
      <w:bookmarkEnd w:id="142"/>
      <w:r>
        <w:rPr>
          <w:rFonts w:ascii="Times New Roman;serif" w:hAnsi="Times New Roman;serif"/>
          <w:b w:val="false"/>
          <w:sz w:val="22"/>
        </w:rPr>
        <w:t>Notwithstanding the foregoing, Cash Equivalents shall include amounts denominated in currencies other than those set forth in clauses (1)</w:t>
      </w:r>
      <w:r>
        <w:rPr>
          <w:rFonts w:ascii="Times New Roman" w:hAnsi="Times New Roman"/>
          <w:sz w:val="20"/>
        </w:rPr>
        <w:t xml:space="preserve"> </w:t>
      </w:r>
      <w:r>
        <w:rPr>
          <w:rFonts w:ascii="Times New Roman;serif" w:hAnsi="Times New Roman;serif"/>
          <w:b w:val="false"/>
          <w:sz w:val="22"/>
        </w:rPr>
        <w:t xml:space="preserve">or </w:t>
      </w:r>
      <w:bookmarkStart w:id="143" w:name="docxtextref146"/>
      <w:bookmarkEnd w:id="143"/>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above or the immediately preceding paragraph;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amounts are converted into any currency listed in clauses </w:t>
      </w:r>
      <w:bookmarkStart w:id="144" w:name="docxtextref147"/>
      <w:bookmarkEnd w:id="144"/>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or </w:t>
      </w:r>
      <w:bookmarkStart w:id="145" w:name="docxtextref148"/>
      <w:bookmarkEnd w:id="145"/>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above or the immediately preceding paragraph as promptly as practicable and in any event within ten Business Days following the receipt of such amounts.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46" w:name="docxtextref153"/>
      <w:bookmarkEnd w:id="146"/>
      <w:r>
        <w:rPr>
          <w:rFonts w:ascii="Times New Roman;serif" w:hAnsi="Times New Roman;serif"/>
          <w:b w:val="false"/>
          <w:sz w:val="22"/>
        </w:rPr>
        <w:t>In the case of Investments by any Foreign Subsidiary that is a Restricted Subsidiary or Investments made in a country outside the United States of America, Cash Equivalents shall also include (a)</w:t>
      </w:r>
      <w:r>
        <w:rPr>
          <w:rFonts w:ascii="Times New Roman" w:hAnsi="Times New Roman"/>
          <w:sz w:val="20"/>
        </w:rPr>
        <w:t xml:space="preserve"> </w:t>
      </w:r>
      <w:r>
        <w:rPr>
          <w:rFonts w:ascii="Times New Roman;serif" w:hAnsi="Times New Roman;serif"/>
          <w:b w:val="false"/>
          <w:sz w:val="22"/>
        </w:rPr>
        <w:t xml:space="preserve">investments of the type and maturity described in clauses </w:t>
      </w:r>
      <w:bookmarkStart w:id="147" w:name="docxtextref149"/>
      <w:bookmarkEnd w:id="147"/>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through </w:t>
      </w:r>
      <w:bookmarkStart w:id="148" w:name="docxtextref150"/>
      <w:bookmarkEnd w:id="148"/>
      <w:r>
        <w:rPr>
          <w:rFonts w:ascii="Times New Roman;serif" w:hAnsi="Times New Roman;serif"/>
          <w:b w:val="false"/>
          <w:sz w:val="22"/>
        </w:rPr>
        <w:t>(16)</w:t>
      </w:r>
      <w:r>
        <w:rPr>
          <w:rFonts w:ascii="Times New Roman" w:hAnsi="Times New Roman"/>
          <w:sz w:val="20"/>
        </w:rPr>
        <w:t xml:space="preserve"> </w:t>
      </w:r>
      <w:r>
        <w:rPr>
          <w:rFonts w:ascii="Times New Roman;serif" w:hAnsi="Times New Roman;serif"/>
          <w:b w:val="false"/>
          <w:sz w:val="22"/>
        </w:rPr>
        <w:t xml:space="preserve">above of foreign obligors, which Investments or obligors (or the parents of such obligors) have ratings described in such clauses or equivalent ratings from comparable foreign rating agencies and </w:t>
      </w:r>
      <w:bookmarkStart w:id="149" w:name="docxtextref154"/>
      <w:bookmarkEnd w:id="14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other short term investments utilized by Foreign Subsidiaries that are Restricted Subsidiaries in accordance with normal investment practices for cash management in investments analogous to the foregoing investments in clauses </w:t>
      </w:r>
      <w:bookmarkStart w:id="150" w:name="docxtextref151"/>
      <w:bookmarkEnd w:id="150"/>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through </w:t>
      </w:r>
      <w:bookmarkStart w:id="151" w:name="docxtextref152"/>
      <w:bookmarkEnd w:id="151"/>
      <w:r>
        <w:rPr>
          <w:rFonts w:ascii="Times New Roman;serif" w:hAnsi="Times New Roman;serif"/>
          <w:b w:val="false"/>
          <w:sz w:val="22"/>
        </w:rPr>
        <w:t>(16)</w:t>
      </w:r>
      <w:r>
        <w:rPr>
          <w:rFonts w:ascii="Times New Roman" w:hAnsi="Times New Roman"/>
          <w:sz w:val="20"/>
        </w:rPr>
        <w:t xml:space="preserve"> </w:t>
      </w:r>
      <w:r>
        <w:rPr>
          <w:rFonts w:ascii="Times New Roman;serif" w:hAnsi="Times New Roman;serif"/>
          <w:b w:val="false"/>
          <w:sz w:val="22"/>
        </w:rPr>
        <w:t>above.</w:t>
      </w:r>
    </w:p>
    <w:p>
      <w:pPr>
        <w:pStyle w:val="TextBody"/>
        <w:bidi w:val="0"/>
        <w:spacing w:before="0" w:after="240"/>
        <w:jc w:val="both"/>
        <w:rPr>
          <w:rFonts w:ascii="Times New Roman" w:hAnsi="Times New Roman"/>
          <w:sz w:val="20"/>
        </w:rPr>
      </w:pPr>
      <w:bookmarkStart w:id="152" w:name="docxtextref155"/>
      <w:bookmarkEnd w:id="152"/>
      <w:r>
        <w:rPr>
          <w:rFonts w:ascii="Times New Roman;serif" w:hAnsi="Times New Roman;serif"/>
          <w:b w:val="false"/>
          <w:sz w:val="22"/>
        </w:rPr>
        <w:t>For purposes of determining the maximum permissible maturity of any investments described in this definition, the maturity of any obligation is deemed to be the shortest of the following: (i)</w:t>
      </w:r>
      <w:r>
        <w:rPr>
          <w:rFonts w:ascii="Times New Roman" w:hAnsi="Times New Roman"/>
          <w:sz w:val="20"/>
        </w:rPr>
        <w:t xml:space="preserve"> </w:t>
      </w:r>
      <w:r>
        <w:rPr>
          <w:rFonts w:ascii="Times New Roman;serif" w:hAnsi="Times New Roman;serif"/>
          <w:b w:val="false"/>
          <w:sz w:val="22"/>
        </w:rPr>
        <w:t>the stated maturity date; (ii) the weighted average life (for amortizing securities); (iii) the next interest rate reset for variable rate and auction</w:t>
        <w:noBreakHyphen/>
        <w:t>rate obligations; or (iv) the next put exercise date (for obligations with put features).</w:t>
      </w:r>
    </w:p>
    <w:p>
      <w:pPr>
        <w:pStyle w:val="TextBody"/>
        <w:bidi w:val="0"/>
        <w:spacing w:before="0" w:after="240"/>
        <w:jc w:val="both"/>
        <w:rPr/>
      </w:pPr>
      <w:bookmarkStart w:id="153" w:name="docxtextref156"/>
      <w:bookmarkEnd w:id="153"/>
      <w:r>
        <w:rPr/>
        <w:t>“</w:t>
      </w:r>
      <w:r>
        <w:rPr>
          <w:rFonts w:ascii="Times New Roman;serif" w:hAnsi="Times New Roman;serif"/>
          <w:b w:val="false"/>
          <w:sz w:val="22"/>
          <w:u w:val="single"/>
        </w:rPr>
        <w:t>Cash Management Obligations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obligations of Holdings, any Intermediate Parent, Bidco or any Subsidiary in respect of any overdraft and related liabilities arising from treasury, depository, cash pooling arrangements and cash management services or any automated clearing house transfers of funds and </w:t>
      </w:r>
      <w:bookmarkStart w:id="154" w:name="docxtextref157"/>
      <w:bookmarkEnd w:id="15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other obligations in respect of netting services, employee credit or purchase card programs and similar arrangements.</w:t>
      </w:r>
    </w:p>
    <w:p>
      <w:pPr>
        <w:pStyle w:val="TextBody"/>
        <w:bidi w:val="0"/>
        <w:spacing w:before="0" w:after="240"/>
        <w:jc w:val="both"/>
        <w:rPr/>
      </w:pPr>
      <w:r>
        <w:rPr/>
        <w:t>“</w:t>
      </w:r>
      <w:r>
        <w:rPr>
          <w:rFonts w:ascii="Times New Roman;serif" w:hAnsi="Times New Roman;serif"/>
          <w:b w:val="false"/>
          <w:sz w:val="22"/>
          <w:u w:val="single"/>
        </w:rPr>
        <w:t>Casualty Event</w:t>
      </w:r>
      <w:r>
        <w:rPr>
          <w:rFonts w:ascii="Times New Roman" w:hAnsi="Times New Roman"/>
          <w:sz w:val="20"/>
        </w:rPr>
        <w:t xml:space="preserve">” </w:t>
      </w:r>
      <w:r>
        <w:rPr>
          <w:rFonts w:ascii="Times New Roman;serif" w:hAnsi="Times New Roman;serif"/>
          <w:b w:val="false"/>
          <w:sz w:val="22"/>
        </w:rPr>
        <w:t>means any event that gives rise to the receipt by Bidco or any Subsidiary of any insurance proceeds or condemnation awards in respect of any equipment, fixed assets or real property (including any improvements thereon) to replace or repair such equipment, fixed assets or real property.</w:t>
      </w:r>
    </w:p>
    <w:p>
      <w:pPr>
        <w:pStyle w:val="TextBody"/>
        <w:bidi w:val="0"/>
        <w:spacing w:before="0" w:after="240"/>
        <w:jc w:val="both"/>
        <w:rPr/>
      </w:pPr>
      <w:r>
        <w:rPr/>
        <w:t>“</w:t>
      </w:r>
      <w:r>
        <w:rPr>
          <w:rFonts w:ascii="Times New Roman;serif" w:hAnsi="Times New Roman;serif"/>
          <w:b w:val="false"/>
          <w:sz w:val="22"/>
          <w:u w:val="single"/>
        </w:rPr>
        <w:t>Certain Funds Loan Party</w:t>
      </w:r>
      <w:r>
        <w:rPr>
          <w:rFonts w:ascii="Times New Roman" w:hAnsi="Times New Roman"/>
          <w:sz w:val="20"/>
        </w:rPr>
        <w:t xml:space="preserve">” </w:t>
      </w:r>
      <w:r>
        <w:rPr>
          <w:rFonts w:ascii="Times New Roman;serif" w:hAnsi="Times New Roman;serif"/>
          <w:b w:val="false"/>
          <w:sz w:val="22"/>
        </w:rPr>
        <w:t>means Initial Holdings, Bidco, the Finco Borrower and the U.S. Borrower, in each case as of the Effective Date.</w:t>
      </w:r>
    </w:p>
    <w:p>
      <w:pPr>
        <w:pStyle w:val="TextBody"/>
        <w:bidi w:val="0"/>
        <w:spacing w:before="0" w:after="240"/>
        <w:jc w:val="both"/>
        <w:rPr/>
      </w:pPr>
      <w:r>
        <w:rPr/>
        <w:t>“</w:t>
      </w:r>
      <w:r>
        <w:rPr>
          <w:rFonts w:ascii="Times New Roman;serif" w:hAnsi="Times New Roman;serif"/>
          <w:b w:val="false"/>
          <w:sz w:val="22"/>
          <w:u w:val="single"/>
        </w:rPr>
        <w:t>Certain Funds Period</w:t>
      </w:r>
      <w:r>
        <w:rPr>
          <w:rFonts w:ascii="Times New Roman" w:hAnsi="Times New Roman"/>
          <w:sz w:val="20"/>
        </w:rPr>
        <w:t xml:space="preserve">” </w:t>
      </w:r>
      <w:r>
        <w:rPr>
          <w:rFonts w:ascii="Times New Roman;serif" w:hAnsi="Times New Roman;serif"/>
          <w:b w:val="false"/>
          <w:sz w:val="22"/>
        </w:rPr>
        <w:t>means the period from (and including) the Effective Date to (and including) 11:59 p.m., New York City time, on the earliest of (a) the date on which the Initial Term Commitments have been utilized in full and (b) the date falling 60 days after the Effective Date (or, in each case, such later time as agreed by the Administrative Agent (acting reasonably and in good faith)).</w:t>
      </w:r>
    </w:p>
    <w:p>
      <w:pPr>
        <w:pStyle w:val="TextBody"/>
        <w:bidi w:val="0"/>
        <w:spacing w:before="0" w:after="240"/>
        <w:jc w:val="both"/>
        <w:rPr/>
      </w:pPr>
      <w:r>
        <w:rPr/>
        <w:t>“</w:t>
      </w:r>
      <w:r>
        <w:rPr>
          <w:rFonts w:ascii="Times New Roman;serif" w:hAnsi="Times New Roman;serif"/>
          <w:b w:val="false"/>
          <w:sz w:val="22"/>
          <w:u w:val="single"/>
        </w:rPr>
        <w:t>Certain Funds Utilization</w:t>
      </w:r>
      <w:r>
        <w:rPr>
          <w:rFonts w:ascii="Times New Roman" w:hAnsi="Times New Roman"/>
          <w:sz w:val="20"/>
        </w:rPr>
        <w:t xml:space="preserve">” </w:t>
      </w:r>
      <w:r>
        <w:rPr>
          <w:rFonts w:ascii="Times New Roman;serif" w:hAnsi="Times New Roman;serif"/>
          <w:b w:val="false"/>
          <w:sz w:val="22"/>
        </w:rPr>
        <w:t xml:space="preserve">means any borrowing of Initial Term Loans on or after the Effective Date and prior to the expiration of the Certain Funds Period in accordance with </w:t>
      </w:r>
      <w:r>
        <w:rPr>
          <w:rFonts w:ascii="Times New Roman;serif" w:hAnsi="Times New Roman;serif"/>
          <w:b w:val="false"/>
          <w:sz w:val="22"/>
          <w:u w:val="single"/>
        </w:rPr>
        <w:t>Section 3.17</w:t>
      </w:r>
      <w:r>
        <w:rPr>
          <w:rFonts w:ascii="Times New Roman;serif" w:hAnsi="Times New Roman;serif"/>
          <w:b w:val="false"/>
          <w:sz w:val="22"/>
        </w:rPr>
        <w:t>.</w:t>
      </w:r>
    </w:p>
    <w:p>
      <w:pPr>
        <w:pStyle w:val="TextBody"/>
        <w:bidi w:val="0"/>
        <w:spacing w:before="0" w:after="240"/>
        <w:jc w:val="both"/>
        <w:rPr/>
      </w:pPr>
      <w:bookmarkStart w:id="155" w:name="docxtextref158"/>
      <w:bookmarkEnd w:id="155"/>
      <w:r>
        <w:rPr/>
        <w:t>“</w:t>
      </w:r>
      <w:r>
        <w:rPr>
          <w:rFonts w:ascii="Times New Roman;serif" w:hAnsi="Times New Roman;serif"/>
          <w:b w:val="false"/>
          <w:sz w:val="22"/>
          <w:u w:val="single"/>
        </w:rPr>
        <w:t>CFC</w:t>
      </w:r>
      <w:r>
        <w:rPr>
          <w:rFonts w:ascii="Times New Roman" w:hAnsi="Times New Roman"/>
          <w:sz w:val="20"/>
        </w:rPr>
        <w:t xml:space="preserve">” </w:t>
      </w:r>
      <w:r>
        <w:rPr>
          <w:rFonts w:ascii="Times New Roman;serif" w:hAnsi="Times New Roman;serif"/>
          <w:b w:val="false"/>
          <w:sz w:val="22"/>
        </w:rPr>
        <w:t>means a “controlled foreign corporation” within the meaning of Section 957</w:t>
      </w:r>
      <w:r>
        <w:rPr>
          <w:rFonts w:ascii="Times New Roman" w:hAnsi="Times New Roman"/>
          <w:sz w:val="20"/>
        </w:rPr>
        <w:t xml:space="preserve"> </w:t>
      </w:r>
      <w:r>
        <w:rPr>
          <w:rFonts w:ascii="Times New Roman;serif" w:hAnsi="Times New Roman;serif"/>
          <w:b w:val="false"/>
          <w:sz w:val="22"/>
        </w:rPr>
        <w:t>of the Code.</w:t>
      </w:r>
    </w:p>
    <w:p>
      <w:pPr>
        <w:pStyle w:val="TextBody"/>
        <w:bidi w:val="0"/>
        <w:spacing w:before="0" w:after="240"/>
        <w:jc w:val="both"/>
        <w:rPr/>
      </w:pPr>
      <w:bookmarkStart w:id="156" w:name="docxtextref159"/>
      <w:bookmarkEnd w:id="156"/>
      <w:r>
        <w:rPr/>
        <w:t>“</w:t>
      </w:r>
      <w:r>
        <w:rPr>
          <w:rFonts w:ascii="Times New Roman;serif" w:hAnsi="Times New Roman;serif"/>
          <w:b w:val="false"/>
          <w:sz w:val="22"/>
          <w:u w:val="single"/>
        </w:rPr>
        <w:t>Change in Law</w:t>
      </w:r>
      <w:r>
        <w:rPr>
          <w:rFonts w:ascii="Times New Roman" w:hAnsi="Times New Roman"/>
          <w:sz w:val="20"/>
        </w:rPr>
        <w:t xml:space="preserve">” </w:t>
      </w:r>
      <w:r>
        <w:rPr>
          <w:rFonts w:ascii="Times New Roman;serif" w:hAnsi="Times New Roman;serif"/>
          <w:b w:val="false"/>
          <w:sz w:val="22"/>
        </w:rPr>
        <w:t>shall mean (i)</w:t>
      </w:r>
      <w:r>
        <w:rPr>
          <w:rFonts w:ascii="Times New Roman" w:hAnsi="Times New Roman"/>
          <w:sz w:val="20"/>
        </w:rPr>
        <w:t xml:space="preserve"> </w:t>
      </w:r>
      <w:r>
        <w:rPr>
          <w:rFonts w:ascii="Times New Roman;serif" w:hAnsi="Times New Roman;serif"/>
          <w:b w:val="false"/>
          <w:sz w:val="22"/>
        </w:rPr>
        <w:t>the adoption of any law, treaty, order, policy, rule, or regulation after the Effective Date, (ii) any change in any law, treaty, order, policy, rule, or regulation or in the interpretation or application thereof by any Governmental Authority after the Effective Date or (iii) compliance by any Lender with any guideline, request, directive, or order issued or made after the Effective Date by any central bank or other governmental or quasi</w:t>
        <w:noBreakHyphen/>
        <w:t xml:space="preserve">governmental authority (whether or not having the force of law), including, for avoidance of doubt, any such adoption, change or compliance in respect of </w:t>
      </w:r>
      <w:bookmarkStart w:id="157" w:name="docxtextref160"/>
      <w:bookmarkEnd w:id="157"/>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the Dodd</w:t>
        <w:noBreakHyphen/>
        <w:t xml:space="preserve">Frank Wall Street Reform and Consumer Protection Act and all requests, rules, regulations, guidelines, or directives thereunder or issued in connection therewith and </w:t>
      </w:r>
      <w:bookmarkStart w:id="158" w:name="docxtextref161"/>
      <w:bookmarkEnd w:id="15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Effective Date.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bookmarkStart w:id="159" w:name="docxtextref162"/>
      <w:bookmarkEnd w:id="159"/>
      <w:r>
        <w:rPr/>
        <w:t>“</w:t>
      </w:r>
      <w:r>
        <w:rPr>
          <w:rFonts w:ascii="Times New Roman;serif" w:hAnsi="Times New Roman;serif"/>
          <w:b w:val="false"/>
          <w:sz w:val="22"/>
          <w:u w:val="single"/>
        </w:rPr>
        <w:t>Change of Control</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(i) prior to an IPO, the failure of Holdings, directly or indirectly through one or more Intermediate Parents, to own all of the Equity Interests of Bidco or (ii) prior to an IPO by a Borrower, the failure of Bidco, directly or indirectly, to own all of the Equity Interests of each Borrower, </w:t>
      </w:r>
      <w:bookmarkStart w:id="160" w:name="docxtextref163"/>
      <w:bookmarkEnd w:id="16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the Board of Directors of Holdings represented by the issued and outstanding Equity Interests in Holdings, unless the Permitted Holders otherwise have the right (pursuant to contract, proxy or otherwise), directly or indirectly, to designate, nominate or appoint (and do so designate, nominate or appoint) a majority of the Board of Directors of Holdings, </w:t>
      </w:r>
      <w:bookmarkStart w:id="161" w:name="docxtextref164"/>
      <w:bookmarkEnd w:id="16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after an IPO, </w:t>
      </w:r>
      <w:bookmarkStart w:id="162" w:name="docxtextref165"/>
      <w:bookmarkEnd w:id="16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the IPO Entity or (ii) if the IPO Entity is a parent entity of Holdings, the failure of Holdings to remain an indirect or direct subsidiary of the IPO Entity,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Holdings or </w:t>
      </w:r>
      <w:bookmarkStart w:id="163" w:name="docxtextref166"/>
      <w:bookmarkEnd w:id="163"/>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the occurrence of a “Change of Control” (or similar event, however denominated), as defined in the documentation governing any Subordinated Indebtedness that is Material Indebtedness, unless such Subordinated Indebtedness is repaid substantially simultaneously with the occurrence of such “Change of Control” under such documentation in a manner permitted hereunder.</w:t>
      </w:r>
    </w:p>
    <w:p>
      <w:pPr>
        <w:pStyle w:val="TextBody"/>
        <w:bidi w:val="0"/>
        <w:spacing w:before="0" w:after="240"/>
        <w:jc w:val="both"/>
        <w:rPr>
          <w:rFonts w:ascii="Times New Roman" w:hAnsi="Times New Roman"/>
          <w:sz w:val="20"/>
        </w:rPr>
      </w:pPr>
      <w:bookmarkStart w:id="164" w:name="docxtextref170"/>
      <w:bookmarkEnd w:id="164"/>
      <w:r>
        <w:rPr>
          <w:rFonts w:ascii="Times New Roman;serif" w:hAnsi="Times New Roman;serif"/>
          <w:b w:val="false"/>
          <w:sz w:val="22"/>
        </w:rPr>
        <w:t>For purposes of this definition, (i)</w:t>
      </w:r>
      <w:r>
        <w:rPr>
          <w:rFonts w:ascii="Times New Roman" w:hAnsi="Times New Roman"/>
          <w:sz w:val="20"/>
        </w:rPr>
        <w:t xml:space="preserve"> “</w:t>
      </w:r>
      <w:r>
        <w:rPr>
          <w:rFonts w:ascii="Times New Roman;serif" w:hAnsi="Times New Roman;serif"/>
          <w:b w:val="false"/>
          <w:sz w:val="22"/>
        </w:rPr>
        <w:t xml:space="preserve">beneficial ownership” shall be as defined in Rules </w:t>
      </w:r>
      <w:bookmarkStart w:id="165" w:name="docxtextref167"/>
      <w:bookmarkEnd w:id="165"/>
      <w:r>
        <w:rPr>
          <w:rFonts w:ascii="Times New Roman;serif" w:hAnsi="Times New Roman;serif"/>
          <w:b w:val="false"/>
          <w:sz w:val="22"/>
        </w:rPr>
        <w:t xml:space="preserve">13(d)-3 and </w:t>
      </w:r>
      <w:bookmarkStart w:id="166" w:name="docxtextref168"/>
      <w:bookmarkEnd w:id="166"/>
      <w:r>
        <w:rPr>
          <w:rFonts w:ascii="Times New Roman;serif" w:hAnsi="Times New Roman;serif"/>
          <w:b w:val="false"/>
          <w:sz w:val="22"/>
        </w:rPr>
        <w:t xml:space="preserve">13(d)-5 under the Exchange Act, (ii) the phrase Person or “group” is within the meaning of </w:t>
      </w:r>
      <w:bookmarkStart w:id="167" w:name="docxtextref171"/>
      <w:bookmarkEnd w:id="167"/>
      <w:r>
        <w:rPr>
          <w:rFonts w:ascii="Times New Roman;serif" w:hAnsi="Times New Roman;serif"/>
          <w:b w:val="false"/>
          <w:sz w:val="22"/>
        </w:rPr>
        <w:t>Section 13(d)</w:t>
      </w:r>
      <w:r>
        <w:rPr>
          <w:rFonts w:ascii="Times New Roman" w:hAnsi="Times New Roman"/>
          <w:sz w:val="20"/>
        </w:rPr>
        <w:t xml:space="preserve"> </w:t>
      </w:r>
      <w:r>
        <w:rPr>
          <w:rFonts w:ascii="Times New Roman;serif" w:hAnsi="Times New Roman;serif"/>
          <w:b w:val="false"/>
          <w:sz w:val="22"/>
        </w:rPr>
        <w:t xml:space="preserve">or </w:t>
      </w:r>
      <w:bookmarkStart w:id="168" w:name="docxtextref169"/>
      <w:bookmarkEnd w:id="168"/>
      <w:r>
        <w:rPr>
          <w:rFonts w:ascii="Times New Roman;serif" w:hAnsi="Times New Roman;serif"/>
          <w:b w:val="false"/>
          <w:sz w:val="22"/>
        </w:rPr>
        <w:t>14(d)</w:t>
      </w:r>
      <w:r>
        <w:rPr>
          <w:rFonts w:ascii="Times New Roman" w:hAnsi="Times New Roman"/>
          <w:sz w:val="20"/>
        </w:rPr>
        <w:t xml:space="preserve"> </w:t>
      </w:r>
      <w:r>
        <w:rPr>
          <w:rFonts w:ascii="Times New Roman;serif" w:hAnsi="Times New Roman;serif"/>
          <w:b w:val="false"/>
          <w:sz w:val="22"/>
        </w:rPr>
        <w:t>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Bidco, as applicable, directly or indirectly owned by the Permitted Holders that are part of such Person or “group” shall not be treated as being owned by such Person or “group” for purposes of determining whether clause (c) of this definition is triggered).</w:t>
      </w:r>
    </w:p>
    <w:p>
      <w:pPr>
        <w:pStyle w:val="TextBody"/>
        <w:bidi w:val="0"/>
        <w:spacing w:before="0" w:after="240"/>
        <w:jc w:val="both"/>
        <w:rPr/>
      </w:pPr>
      <w:r>
        <w:rPr/>
        <w:t>“</w:t>
      </w:r>
      <w:r>
        <w:rPr>
          <w:rFonts w:ascii="Times New Roman;serif" w:hAnsi="Times New Roman;serif"/>
          <w:b w:val="false"/>
          <w:sz w:val="22"/>
          <w:u w:val="single"/>
        </w:rPr>
        <w:t>City Code</w:t>
      </w:r>
      <w:r>
        <w:rPr>
          <w:rFonts w:ascii="Times New Roman" w:hAnsi="Times New Roman"/>
          <w:sz w:val="20"/>
        </w:rPr>
        <w:t xml:space="preserve">” </w:t>
      </w:r>
      <w:r>
        <w:rPr>
          <w:rFonts w:ascii="Times New Roman;serif" w:hAnsi="Times New Roman;serif"/>
          <w:b w:val="false"/>
          <w:sz w:val="22"/>
        </w:rPr>
        <w:t>means the UK City Code on Takeovers and Mergers, as administered by the Panel.</w:t>
      </w:r>
    </w:p>
    <w:p>
      <w:pPr>
        <w:pStyle w:val="TextBody"/>
        <w:bidi w:val="0"/>
        <w:spacing w:before="0" w:after="240"/>
        <w:jc w:val="both"/>
        <w:rPr/>
      </w:pPr>
      <w:bookmarkStart w:id="169" w:name="docxtextref172"/>
      <w:bookmarkEnd w:id="169"/>
      <w:r>
        <w:rPr/>
        <w:t>“</w:t>
      </w:r>
      <w:r>
        <w:rPr>
          <w:rFonts w:ascii="Times New Roman;serif" w:hAnsi="Times New Roman;serif"/>
          <w:b w:val="false"/>
          <w:sz w:val="22"/>
          <w:u w:val="single"/>
        </w:rPr>
        <w:t>Class</w:t>
      </w:r>
      <w:r>
        <w:rPr>
          <w:rFonts w:ascii="Times New Roman" w:hAnsi="Times New Roman"/>
          <w:sz w:val="20"/>
        </w:rPr>
        <w:t xml:space="preserve">” </w:t>
      </w:r>
      <w:r>
        <w:rPr>
          <w:rFonts w:ascii="Times New Roman;serif" w:hAnsi="Times New Roman;serif"/>
          <w:b w:val="false"/>
          <w:sz w:val="22"/>
        </w:rPr>
        <w:t>when used in reference to (a)</w:t>
      </w:r>
      <w:r>
        <w:rPr>
          <w:rFonts w:ascii="Times New Roman" w:hAnsi="Times New Roman"/>
          <w:sz w:val="20"/>
        </w:rPr>
        <w:t xml:space="preserve"> </w:t>
      </w:r>
      <w:r>
        <w:rPr>
          <w:rFonts w:ascii="Times New Roman;serif" w:hAnsi="Times New Roman;serif"/>
          <w:b w:val="false"/>
          <w:sz w:val="22"/>
        </w:rPr>
        <w:t xml:space="preserve">any Loan or Borrowing, refers to whether such Loan, or the Loans comprising such Borrowing, are Revolving Loans, Other Revolving Loans, Term Loans, Incremental Term Loans, Other Term Loans or Swingline Loans, </w:t>
      </w:r>
      <w:bookmarkStart w:id="170" w:name="docxtextref173"/>
      <w:bookmarkEnd w:id="17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Commitment, refers to whether such Commitment is a Revolving Commitment, Additional/Replacement Revolving Commitment, Other Revolving Commitment, Term Commitment or Other Term Commitment and </w:t>
      </w:r>
      <w:bookmarkStart w:id="171" w:name="docxtextref174"/>
      <w:bookmarkEnd w:id="17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and Incremental Term Loans that have different terms and conditions (other than with respect to original issue discount or upfront fees) shall be construed to be in different Classes.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Code</w:t>
      </w:r>
      <w:r>
        <w:rPr>
          <w:rFonts w:ascii="Times New Roman" w:hAnsi="Times New Roman"/>
          <w:sz w:val="20"/>
        </w:rPr>
        <w:t xml:space="preserve">” </w:t>
      </w:r>
      <w:r>
        <w:rPr>
          <w:rFonts w:ascii="Times New Roman;serif" w:hAnsi="Times New Roman;serif"/>
          <w:b w:val="false"/>
          <w:sz w:val="22"/>
        </w:rPr>
        <w:t>means the United States Internal Revenue Code of 1986, as amended from time to time.</w:t>
      </w:r>
    </w:p>
    <w:p>
      <w:pPr>
        <w:pStyle w:val="TextBody"/>
        <w:bidi w:val="0"/>
        <w:spacing w:before="0" w:after="240"/>
        <w:jc w:val="both"/>
        <w:rPr/>
      </w:pPr>
      <w:r>
        <w:rPr/>
        <w:t>“</w:t>
      </w:r>
      <w:r>
        <w:rPr>
          <w:rFonts w:ascii="Times New Roman;serif" w:hAnsi="Times New Roman;serif"/>
          <w:b w:val="false"/>
          <w:sz w:val="22"/>
          <w:u w:val="single"/>
        </w:rPr>
        <w:t>Collateral</w:t>
      </w:r>
      <w:r>
        <w:rPr>
          <w:rFonts w:ascii="Times New Roman" w:hAnsi="Times New Roman"/>
          <w:sz w:val="20"/>
        </w:rPr>
        <w:t xml:space="preserve">” </w:t>
      </w:r>
      <w:r>
        <w:rPr>
          <w:rFonts w:ascii="Times New Roman;serif" w:hAnsi="Times New Roman;serif"/>
          <w:b w:val="false"/>
          <w:sz w:val="22"/>
        </w:rPr>
        <w:t>means any and all assets, whether real or personal, tangible or intangible, on which Liens are purported to be granted pursuant to the Security Documents as security for the Secured Obligations.</w:t>
      </w:r>
    </w:p>
    <w:p>
      <w:pPr>
        <w:pStyle w:val="TextBody"/>
        <w:bidi w:val="0"/>
        <w:spacing w:before="0" w:after="240"/>
        <w:jc w:val="both"/>
        <w:rPr/>
      </w:pPr>
      <w:r>
        <w:rPr/>
        <w:t>“</w:t>
      </w:r>
      <w:r>
        <w:rPr>
          <w:rFonts w:ascii="Times New Roman;serif" w:hAnsi="Times New Roman;serif"/>
          <w:b w:val="false"/>
          <w:sz w:val="22"/>
          <w:u w:val="single"/>
        </w:rPr>
        <w:t>Collateral Agent</w:t>
      </w:r>
      <w:r>
        <w:rPr>
          <w:rFonts w:ascii="Times New Roman" w:hAnsi="Times New Roman"/>
          <w:sz w:val="20"/>
        </w:rPr>
        <w:t xml:space="preserve">” </w:t>
      </w:r>
      <w:r>
        <w:rPr>
          <w:rFonts w:ascii="Times New Roman;serif" w:hAnsi="Times New Roman;serif"/>
          <w:b w:val="false"/>
          <w:sz w:val="22"/>
        </w:rPr>
        <w:t xml:space="preserve">has the meaning given to such term in </w:t>
      </w:r>
      <w:r>
        <w:rPr>
          <w:rFonts w:ascii="Times New Roman;serif" w:hAnsi="Times New Roman;serif"/>
          <w:b w:val="false"/>
          <w:sz w:val="22"/>
          <w:u w:val="single"/>
        </w:rPr>
        <w:t>Section 8.01(b)</w:t>
      </w:r>
      <w:r>
        <w:rPr>
          <w:rFonts w:ascii="Times New Roman" w:hAnsi="Times New Roman"/>
          <w:sz w:val="20"/>
        </w:rPr>
        <w:t xml:space="preserve"> </w:t>
      </w:r>
      <w:r>
        <w:rPr>
          <w:rFonts w:ascii="Times New Roman;serif" w:hAnsi="Times New Roman;serif"/>
          <w:b w:val="false"/>
          <w:sz w:val="22"/>
        </w:rPr>
        <w:t xml:space="preserve">and its successors in such capacity as provided in </w:t>
      </w:r>
      <w:r>
        <w:rPr>
          <w:rFonts w:ascii="Times New Roman;serif" w:hAnsi="Times New Roman;serif"/>
          <w:b w:val="false"/>
          <w:sz w:val="22"/>
          <w:u w:val="single"/>
        </w:rPr>
        <w:t>Article VIII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Collateral Agreement</w:t>
      </w:r>
      <w:r>
        <w:rPr>
          <w:rFonts w:ascii="Times New Roman" w:hAnsi="Times New Roman"/>
          <w:sz w:val="20"/>
        </w:rPr>
        <w:t xml:space="preserve">” </w:t>
      </w:r>
      <w:r>
        <w:rPr>
          <w:rFonts w:ascii="Times New Roman;serif" w:hAnsi="Times New Roman;serif"/>
          <w:b w:val="false"/>
          <w:sz w:val="22"/>
        </w:rPr>
        <w:t xml:space="preserve">means the Collateral Agreement among the Loan Parties party thereto and the Collateral Agent, substantially in the form of </w:t>
      </w:r>
      <w:r>
        <w:rPr>
          <w:rFonts w:ascii="Times New Roman;serif" w:hAnsi="Times New Roman;serif"/>
          <w:b w:val="false"/>
          <w:sz w:val="22"/>
          <w:u w:val="single"/>
        </w:rPr>
        <w:t>Exhibit D</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Collateral and Guarantee Requirement</w:t>
      </w:r>
      <w:r>
        <w:rPr>
          <w:rFonts w:ascii="Times New Roman" w:hAnsi="Times New Roman"/>
          <w:sz w:val="20"/>
        </w:rPr>
        <w:t xml:space="preserve">” </w:t>
      </w:r>
      <w:r>
        <w:rPr>
          <w:rFonts w:ascii="Times New Roman;serif" w:hAnsi="Times New Roman;serif"/>
          <w:b w:val="false"/>
          <w:sz w:val="22"/>
        </w:rPr>
        <w:t>means, at any time, subject in all respects to the Agreed Security Principles (other than with respect to U.S. Restricted Subsidiaries or U.S. Loan Parties), the requirement that:</w:t>
      </w:r>
    </w:p>
    <w:p>
      <w:pPr>
        <w:pStyle w:val="TextBody"/>
        <w:bidi w:val="0"/>
        <w:spacing w:before="0" w:after="240"/>
        <w:jc w:val="both"/>
        <w:rPr>
          <w:rFonts w:ascii="Times New Roman" w:hAnsi="Times New Roman"/>
          <w:sz w:val="20"/>
        </w:rPr>
      </w:pPr>
      <w:bookmarkStart w:id="172" w:name="docxtextref178"/>
      <w:bookmarkEnd w:id="172"/>
      <w:r>
        <w:rPr>
          <w:rFonts w:ascii="Times New Roman;serif" w:hAnsi="Times New Roman;serif"/>
          <w:b w:val="false"/>
          <w:sz w:val="22"/>
        </w:rPr>
        <w:t>(a) the Administrative Agent shall have received from (i)</w:t>
      </w:r>
      <w:r>
        <w:rPr>
          <w:rFonts w:ascii="Times New Roman" w:hAnsi="Times New Roman"/>
          <w:sz w:val="20"/>
        </w:rPr>
        <w:t xml:space="preserve"> </w:t>
      </w:r>
      <w:r>
        <w:rPr>
          <w:rFonts w:ascii="Times New Roman;serif" w:hAnsi="Times New Roman;serif"/>
          <w:b w:val="false"/>
          <w:sz w:val="22"/>
        </w:rPr>
        <w:t xml:space="preserve">Holdings, any Intermediate Parent, Bidco, each of the U.S. Restricted Subsidiaries (other than any Excluded Subsidiary) and each of the Non-U.S. Restricted Subsidiaries (other than any Non-U.S. Restricted Subsidiary that is incorporated in an Excluded Jurisdiction) that is a Guarantor Coverage Material Subsidiary or that is designated to accede as a Guarantor pursuant to </w:t>
      </w:r>
      <w:r>
        <w:rPr>
          <w:rFonts w:ascii="Times New Roman;serif" w:hAnsi="Times New Roman;serif"/>
          <w:b w:val="false"/>
          <w:sz w:val="22"/>
          <w:u w:val="single"/>
        </w:rPr>
        <w:t>Section 5.11</w:t>
      </w:r>
      <w:r>
        <w:rPr>
          <w:rFonts w:ascii="Times New Roman;serif" w:hAnsi="Times New Roman;serif"/>
          <w:b w:val="false"/>
          <w:sz w:val="22"/>
        </w:rPr>
        <w:t xml:space="preserve">, either </w:t>
      </w:r>
      <w:bookmarkStart w:id="173" w:name="docxtextref179"/>
      <w:bookmarkEnd w:id="173"/>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a counterpart of the Guarantee Agreement duly executed and delivered on behalf of such Person or </w:t>
      </w:r>
      <w:bookmarkStart w:id="174" w:name="docxtextref180"/>
      <w:bookmarkEnd w:id="17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in the case of any Person that becomes a Restricted Subsidiary (other than an Excluded Subsidiary) or a Loan Party after the Effective Date or that ceases to be an Excluded Subsidiary, a supplement to the Guarantee Agreement, in substantially the form specified therein, duly executed and delivered on behalf of such Person, (ii) any Borrower or Guarantor that is a U.S. Loan Party, </w:t>
      </w:r>
      <w:bookmarkStart w:id="175" w:name="docxtextref181"/>
      <w:bookmarkEnd w:id="17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a counterpart of the Collateral Agreement duly executed and delivered on behalf of such Person, </w:t>
      </w:r>
      <w:bookmarkStart w:id="176" w:name="docxtextref182"/>
      <w:bookmarkEnd w:id="17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in the case of any Person that becomes a U.S. Loan Party after the Effective Date (including by ceasing to be an Excluded Subsidiary), a supplement to the Collateral Agreement in substantially the form specified therein, duly executed and delivered on behalf of such Person, and (iii) any Borrower or Guarantor that is a Non-U.S. Loan Party, (x) a counterpart of each applicable Non-U.S. Security Agreement listed on </w:t>
      </w:r>
      <w:r>
        <w:rPr>
          <w:rFonts w:ascii="Times New Roman;serif" w:hAnsi="Times New Roman;serif"/>
          <w:b w:val="false"/>
          <w:sz w:val="22"/>
          <w:u w:val="single"/>
        </w:rPr>
        <w:t>Schedule 1.01(d)</w:t>
      </w:r>
      <w:r>
        <w:rPr>
          <w:rFonts w:ascii="Times New Roman" w:hAnsi="Times New Roman"/>
          <w:sz w:val="20"/>
        </w:rPr>
        <w:t xml:space="preserve"> </w:t>
      </w:r>
      <w:r>
        <w:rPr>
          <w:rFonts w:ascii="Times New Roman;serif" w:hAnsi="Times New Roman;serif"/>
          <w:b w:val="false"/>
          <w:sz w:val="22"/>
        </w:rPr>
        <w:t xml:space="preserve">duly executed and delivered on behalf of such Person and (y) in the case of any Person that becomes a Non-U.S. Loan Party after the Effective Date (including by ceasing to be an Excluded Subsidiary), executed pledge and security agreement(s) in accordance with the Agreed Security Principles (including but not limited to the Overriding Principle (as defined therein)) or under </w:t>
      </w:r>
      <w:r>
        <w:rPr>
          <w:rFonts w:ascii="Times New Roman;serif" w:hAnsi="Times New Roman;serif"/>
          <w:b w:val="false"/>
          <w:sz w:val="22"/>
          <w:u w:val="single"/>
        </w:rPr>
        <w:t>Section 5.14</w:t>
      </w:r>
      <w:r>
        <w:rPr>
          <w:rFonts w:ascii="Times New Roman" w:hAnsi="Times New Roman"/>
          <w:sz w:val="20"/>
        </w:rPr>
        <w:t xml:space="preserve"> </w:t>
      </w:r>
      <w:r>
        <w:rPr>
          <w:rFonts w:ascii="Times New Roman;serif" w:hAnsi="Times New Roman;serif"/>
          <w:b w:val="false"/>
          <w:sz w:val="22"/>
        </w:rPr>
        <w:t xml:space="preserve">(as applicable), in each case under this clause (a) together with, in the case of any such Loan Documents executed and delivered after the Effective Date, to the extent reasonably requested by the Administrative Agent, opinions and documents of the type referred to in </w:t>
      </w:r>
      <w:r>
        <w:rPr>
          <w:rFonts w:ascii="Times New Roman;serif" w:hAnsi="Times New Roman;serif"/>
          <w:b w:val="false"/>
          <w:sz w:val="22"/>
          <w:u w:val="single"/>
        </w:rPr>
        <w:t>Sections 4.01(b)</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4.01(d)</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all outstanding Equity Interests of Bidco, each Intermediate Parent, the Borrowers, each Material Subsidiary that is a U.S. Restricted Subsidiary and each Guarantor Coverage Material Subsidiary that is a Non-U.S. Restricted Subsidary (other than any Equity Interests constituting Excluded Assets) owned by or on behalf of any Loan Party, shall have been pledged pursuant to the applicable Security Document, and the Collateral Agent shall have received certificates, if any, or other instruments, if any, representing all such Equity Interests to the extent constituting “certificated securities” (other than such Equity Interests constituting Excluded Assets), together with undated stock powers or other instruments of transfer with respect thereto endorsed in blank or updated shareholders' register reflecting the registration of the pledge, in each case, as is customary in that jurisdiction and required to be delivered under the Security Documents;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if any Indebtedness for borrowed money of Bidco or any Restricted Subsidiary in a principal amount of $125,000,000 or more is owing by such obligor to any U.S. Loan Party and such Indebtedness is evidenced by a promissory note, such promissory note shall be pledged pursuant to the applicable Security Document, the Collateral Agent shall have received all such promissory notes, together with undated instruments of transfer with respect thereto endorsed in blank;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the foregoing delivery requirement with respect to any intercompany indebtedness may be satisfied, at Bidco’s sole discretion, by delivery of an omnibus or global intercompany note executed by all U.S. Loan Parties as payees and all such obligors as payors;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(i) each Non-U.S. Loan Party shall grant to the Collateral Agent (A) fixed security over material bank accounts (without control over use) and (B) fixed security over material, structural, long-term documented intercompany loans made by such Non-U.S. Loan Party, and (ii) in the United Kingdom (and where customary in any other jurisdiction), each Non-U.S. Loan Party which is incorporated in the United Kingdom (or such other jurisdiction) shall grant to the Collateral Agent “floating charges” or such equivalent or substantially equivalent concept as may exist under relevant law;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all certificates, agreements, documents and instruments, including Uniform Commercial Code financing statements and Intellectual Property Security Agreements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the other provisions of the term “Collateral and Guarantee Requirement” and (in the case of the Non-U.S. Loan Parties) the Agreed Security Principles, shall have been filed, registered or recorded or delivered to the Collateral Agent for filing, registration or recording.</w:t>
      </w:r>
    </w:p>
    <w:p>
      <w:pPr>
        <w:pStyle w:val="TextBody"/>
        <w:bidi w:val="0"/>
        <w:spacing w:before="0" w:after="240"/>
        <w:jc w:val="both"/>
        <w:rPr>
          <w:rFonts w:ascii="Times New Roman" w:hAnsi="Times New Roman"/>
          <w:sz w:val="20"/>
        </w:rPr>
      </w:pPr>
      <w:bookmarkStart w:id="177" w:name="docxtextref186"/>
      <w:bookmarkEnd w:id="177"/>
      <w:r>
        <w:rPr>
          <w:rFonts w:ascii="Times New Roman;serif" w:hAnsi="Times New Roman;serif"/>
          <w:b w:val="false"/>
          <w:sz w:val="22"/>
        </w:rPr>
        <w:t>Notwithstanding the foregoing provisions of this definition or anything in this Agreement or any other Loan Document to the contrary, (a)</w:t>
      </w:r>
      <w:r>
        <w:rPr>
          <w:rFonts w:ascii="Times New Roman" w:hAnsi="Times New Roman"/>
          <w:sz w:val="20"/>
        </w:rPr>
        <w:t xml:space="preserve"> </w:t>
      </w:r>
      <w:r>
        <w:rPr>
          <w:rFonts w:ascii="Times New Roman;serif" w:hAnsi="Times New Roman;serif"/>
          <w:b w:val="false"/>
          <w:sz w:val="22"/>
        </w:rPr>
        <w:t xml:space="preserve">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the Administrative Agent and Bidco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outweighs the benefits to be obtained by the Lenders therefrom; </w:t>
      </w:r>
      <w:bookmarkStart w:id="178" w:name="docxtextref187"/>
      <w:bookmarkEnd w:id="17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Liens required to be granted from time to time pursuant to the term “Collateral and Guarantee Requirement” shall be subject to exceptions and limitations set forth in this Agreement and the Security Documents; </w:t>
      </w:r>
      <w:bookmarkStart w:id="179" w:name="docxtextref188"/>
      <w:bookmarkEnd w:id="17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in the case of U.S. Loan Parties, in no event shall control agreements or other control or similar arrangements be required with respect to cash, Cash Equivalents, other deposit accounts, securities and commodities accounts (including securities entitlements and related assets), letter of credit rights or other assets requiring perfection by control (but not, for avoidance of doubt, possession); </w:t>
      </w:r>
      <w:bookmarkStart w:id="180" w:name="docxtextref189"/>
      <w:bookmarkEnd w:id="180"/>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[reserved]; </w:t>
      </w:r>
      <w:bookmarkStart w:id="181" w:name="docxtextref190"/>
      <w:bookmarkEnd w:id="181"/>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the U.S. Loan Parties shall not be required, nor shall the Administrative Agent be authorized, to perfect the above-described pledges, security interests and mortgages by any means other than by </w:t>
      </w:r>
      <w:bookmarkStart w:id="182" w:name="docxtextref191"/>
      <w:bookmarkEnd w:id="18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filings pursuant to the Uniform Commercial Code in the office of the secretary of state (or similar central filing office) of the relevant jurisdiction, (ii) filings in United States Patent and Trademark Office and the United States Copyright Office with respect to registered and applied-for Intellectual Property as expressly required in the Loan Documents and (iii) delivery to the Collateral Agent to be held in its possession of all Collateral consisting of intercompany notes, stock certificates of any Intermediate Parent, Bidco and its Subsidiaries and instruments, in each case as expressly required in the Loan Documents; (f) in the case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83" w:name="docxtextref192"/>
      <w:bookmarkEnd w:id="183"/>
      <w:r>
        <w:rPr>
          <w:rFonts w:ascii="Times New Roman;serif" w:hAnsi="Times New Roman;serif"/>
          <w:b w:val="false"/>
          <w:sz w:val="22"/>
        </w:rPr>
        <w:t>the Non-U.S. Restricted Subsidiaries and the Non-U.S. Loan Parties, the foregoing provisions of this definition shall be subject in all respects to the Agreed Security Principles and (g)</w:t>
      </w:r>
      <w:r>
        <w:rPr>
          <w:rFonts w:ascii="Times New Roman" w:hAnsi="Times New Roman"/>
          <w:sz w:val="20"/>
        </w:rPr>
        <w:t xml:space="preserve"> </w:t>
      </w:r>
      <w:r>
        <w:rPr>
          <w:rFonts w:ascii="Times New Roman;serif" w:hAnsi="Times New Roman;serif"/>
          <w:b w:val="false"/>
          <w:sz w:val="22"/>
        </w:rPr>
        <w:t xml:space="preserve">in no event shall the Collateral include any Excluded Assets, except at the option or in the sole discretion of Bidco. The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or due to factors beyond the control of Bidco and the Restricted Subsidiaries by the time or times at which it would otherwise be required to be accomplished by this Agreement (including as set forth on </w:t>
      </w:r>
      <w:bookmarkStart w:id="184" w:name="docxtextref193"/>
      <w:bookmarkEnd w:id="184"/>
      <w:r>
        <w:rPr>
          <w:rFonts w:ascii="Times New Roman;serif" w:hAnsi="Times New Roman;serif"/>
          <w:b w:val="false"/>
          <w:sz w:val="22"/>
          <w:u w:val="single"/>
        </w:rPr>
        <w:t>Schedule 5.14</w:t>
      </w:r>
      <w:r>
        <w:rPr>
          <w:rFonts w:ascii="Times New Roman;serif" w:hAnsi="Times New Roman;serif"/>
          <w:b w:val="false"/>
          <w:sz w:val="22"/>
        </w:rPr>
        <w:t>) or the Security Documents.</w:t>
      </w:r>
    </w:p>
    <w:p>
      <w:pPr>
        <w:pStyle w:val="TextBody"/>
        <w:bidi w:val="0"/>
        <w:spacing w:before="0" w:after="240"/>
        <w:jc w:val="both"/>
        <w:rPr/>
      </w:pPr>
      <w:r>
        <w:rPr/>
        <w:t>“</w:t>
      </w:r>
      <w:r>
        <w:rPr>
          <w:rFonts w:ascii="Times New Roman;serif" w:hAnsi="Times New Roman;serif"/>
          <w:b w:val="false"/>
          <w:sz w:val="22"/>
          <w:u w:val="single"/>
        </w:rPr>
        <w:t>Commitment</w:t>
      </w:r>
      <w:r>
        <w:rPr>
          <w:rFonts w:ascii="Times New Roman" w:hAnsi="Times New Roman"/>
          <w:sz w:val="20"/>
        </w:rPr>
        <w:t xml:space="preserve">” </w:t>
      </w:r>
      <w:r>
        <w:rPr>
          <w:rFonts w:ascii="Times New Roman;serif" w:hAnsi="Times New Roman;serif"/>
          <w:b w:val="false"/>
          <w:sz w:val="22"/>
        </w:rPr>
        <w:t>means (a) with respect to any Lender, its Revolving Commitment, Other Revolving Commitment of any Class, Term Commitment, Initial Term Commitment, Other Term Commitment of any Class or any combination thereof (as the context requires) and (b) with respect to any Swingline Lender, its Swingline Commitment.</w:t>
      </w:r>
    </w:p>
    <w:p>
      <w:pPr>
        <w:pStyle w:val="TextBody"/>
        <w:bidi w:val="0"/>
        <w:spacing w:before="0" w:after="240"/>
        <w:jc w:val="both"/>
        <w:rPr/>
      </w:pPr>
      <w:r>
        <w:rPr/>
        <w:t>“</w:t>
      </w:r>
      <w:r>
        <w:rPr>
          <w:rFonts w:ascii="Times New Roman;serif" w:hAnsi="Times New Roman;serif"/>
          <w:b w:val="false"/>
          <w:sz w:val="22"/>
          <w:u w:val="single"/>
        </w:rPr>
        <w:t>Commitment Fee Percentage</w:t>
      </w:r>
      <w:r>
        <w:rPr>
          <w:rFonts w:ascii="Times New Roman" w:hAnsi="Times New Roman"/>
          <w:sz w:val="20"/>
        </w:rPr>
        <w:t xml:space="preserve">” </w:t>
      </w:r>
      <w:r>
        <w:rPr>
          <w:rFonts w:ascii="Times New Roman;serif" w:hAnsi="Times New Roman;serif"/>
          <w:b w:val="false"/>
          <w:sz w:val="22"/>
        </w:rPr>
        <w:t xml:space="preserve">means, for any day, the applicable percentage set forth below under the caption “Commitment Fee Percentage” based upon the Senior Secured First Lien Net Leverage Ratio as of the end of the fiscal quarter of Bidco for which consolidated financial statements have theretofore been most recently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5.01(b)</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until the date of the delivery of the consolidated financial statements pursuant to </w:t>
      </w:r>
      <w:r>
        <w:rPr>
          <w:rFonts w:ascii="Times New Roman;serif" w:hAnsi="Times New Roman;serif"/>
          <w:b w:val="false"/>
          <w:sz w:val="22"/>
          <w:u w:val="single"/>
        </w:rPr>
        <w:t>Section 5.01</w:t>
      </w:r>
      <w:r>
        <w:rPr>
          <w:rFonts w:ascii="Times New Roman" w:hAnsi="Times New Roman"/>
          <w:sz w:val="20"/>
        </w:rPr>
        <w:t xml:space="preserve"> </w:t>
      </w:r>
      <w:r>
        <w:rPr>
          <w:rFonts w:ascii="Times New Roman;serif" w:hAnsi="Times New Roman;serif"/>
          <w:b w:val="false"/>
          <w:sz w:val="22"/>
        </w:rPr>
        <w:t>as of and for the fiscal year ended December 31, 2019, the Commitment Fee Percentage shall be based on the rates per annum set forth in Category 1:</w:t>
      </w:r>
    </w:p>
    <w:tbl>
      <w:tblPr>
        <w:tblW w:w="7187" w:type="dxa"/>
        <w:jc w:val="left"/>
        <w:tblInd w:w="0" w:type="dxa"/>
        <w:tblLayout w:type="fixed"/>
        <w:tblCellMar>
          <w:top w:w="28" w:type="dxa"/>
          <w:left w:w="28" w:type="dxa"/>
          <w:bottom w:w="28" w:type="dxa"/>
          <w:right w:w="28" w:type="dxa"/>
        </w:tblCellMar>
      </w:tblPr>
      <w:tblGrid>
        <w:gridCol w:w="4351"/>
        <w:gridCol w:w="2836"/>
      </w:tblGrid>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shd w:fill="FFFFFF" w:val="clear"/>
            <w:vAlign w:val="center"/>
          </w:tcPr>
          <w:p>
            <w:pPr>
              <w:pStyle w:val="TableContents"/>
              <w:bidi w:val="0"/>
              <w:spacing w:before="0" w:after="283"/>
              <w:jc w:val="left"/>
              <w:rPr>
                <w:sz w:val="4"/>
                <w:szCs w:val="4"/>
              </w:rPr>
            </w:pPr>
            <w:r>
              <w:rPr>
                <w:sz w:val="4"/>
                <w:szCs w:val="4"/>
              </w:rPr>
            </w:r>
          </w:p>
        </w:tc>
      </w:tr>
      <w:tr>
        <w:trPr/>
        <w:tc>
          <w:tcPr>
            <w:tcW w:w="4351" w:type="dxa"/>
            <w:tcBorders>
              <w:top w:val="double" w:sz="12" w:space="0" w:color="000000"/>
              <w:left w:val="double" w:sz="12" w:space="0" w:color="000000"/>
              <w:bottom w:val="single" w:sz="8" w:space="0" w:color="000000"/>
              <w:right w:val="single" w:sz="8" w:space="0" w:color="000000"/>
            </w:tcBorders>
            <w:tcMar>
              <w:left w:w="120" w:type="dxa"/>
              <w:right w:w="120" w:type="dxa"/>
            </w:tcMar>
            <w:vAlign w:val="center"/>
          </w:tcPr>
          <w:p>
            <w:pPr>
              <w:pStyle w:val="TableContents"/>
              <w:bidi w:val="0"/>
              <w:spacing w:before="0" w:after="240"/>
              <w:ind w:left="0" w:right="0" w:hanging="0"/>
              <w:jc w:val="left"/>
              <w:rPr>
                <w:rFonts w:ascii="Times New Roman;serif" w:hAnsi="Times New Roman;serif"/>
                <w:b w:val="false"/>
                <w:sz w:val="22"/>
              </w:rPr>
            </w:pPr>
            <w:r>
              <w:rPr>
                <w:rFonts w:ascii="Times New Roman;serif" w:hAnsi="Times New Roman;serif"/>
                <w:b w:val="false"/>
                <w:sz w:val="22"/>
              </w:rPr>
              <w:t>Senior Secured First Lien Net Leverage Ratio</w:t>
            </w:r>
          </w:p>
        </w:tc>
        <w:tc>
          <w:tcPr>
            <w:tcW w:w="2836" w:type="dxa"/>
            <w:tcBorders>
              <w:top w:val="double" w:sz="12" w:space="0" w:color="000000"/>
              <w:bottom w:val="single" w:sz="8" w:space="0" w:color="000000"/>
              <w:right w:val="double" w:sz="12" w:space="0" w:color="000000"/>
            </w:tcBorders>
            <w:tcMar>
              <w:left w:w="0" w:type="dxa"/>
              <w:right w:w="120" w:type="dxa"/>
            </w:tcMar>
            <w:vAlign w:val="center"/>
          </w:tcPr>
          <w:p>
            <w:pPr>
              <w:pStyle w:val="TableContents"/>
              <w:bidi w:val="0"/>
              <w:spacing w:before="0" w:after="240"/>
              <w:ind w:left="0" w:right="0" w:hanging="0"/>
              <w:jc w:val="left"/>
              <w:rPr>
                <w:rFonts w:ascii="Times New Roman;serif" w:hAnsi="Times New Roman;serif"/>
                <w:b w:val="false"/>
                <w:sz w:val="22"/>
              </w:rPr>
            </w:pPr>
            <w:r>
              <w:rPr>
                <w:rFonts w:ascii="Times New Roman;serif" w:hAnsi="Times New Roman;serif"/>
                <w:b w:val="false"/>
                <w:sz w:val="22"/>
              </w:rPr>
              <w:t>Commitment Fee Percentage</w:t>
            </w:r>
          </w:p>
        </w:tc>
      </w:tr>
      <w:tr>
        <w:trPr/>
        <w:tc>
          <w:tcPr>
            <w:tcW w:w="4351" w:type="dxa"/>
            <w:tcBorders>
              <w:left w:val="double" w:sz="12" w:space="0" w:color="000000"/>
              <w:bottom w:val="single" w:sz="8" w:space="0" w:color="000000"/>
              <w:right w:val="single" w:sz="8" w:space="0" w:color="000000"/>
            </w:tcBorders>
            <w:tcMar>
              <w:top w:w="0" w:type="dxa"/>
              <w:left w:w="120" w:type="dxa"/>
              <w:right w:w="120" w:type="dxa"/>
            </w:tcMar>
            <w:vAlign w:val="center"/>
          </w:tcPr>
          <w:p>
            <w:pPr>
              <w:pStyle w:val="TableContents"/>
              <w:bidi w:val="0"/>
              <w:spacing w:before="0" w:after="240"/>
              <w:ind w:left="0" w:right="0" w:hanging="0"/>
              <w:jc w:val="left"/>
              <w:rPr>
                <w:rFonts w:ascii="Times New Roman" w:hAnsi="Times New Roman"/>
                <w:sz w:val="22"/>
              </w:rPr>
            </w:pPr>
            <w:bookmarkStart w:id="185" w:name="docxtextref197"/>
            <w:bookmarkEnd w:id="185"/>
            <w:r>
              <w:rPr>
                <w:rFonts w:ascii="Times New Roman;serif" w:hAnsi="Times New Roman;serif"/>
                <w:b w:val="false"/>
                <w:sz w:val="22"/>
                <w:u w:val="single"/>
              </w:rPr>
              <w:t>Category 1</w:t>
            </w:r>
            <w:r>
              <w:rPr>
                <w:rFonts w:ascii="Times New Roman;serif" w:hAnsi="Times New Roman;serif"/>
                <w:b w:val="false"/>
                <w:sz w:val="22"/>
              </w:rPr>
              <w:br/>
              <w:t xml:space="preserve">Greater than 4.85 to </w:t>
            </w:r>
            <w:bookmarkStart w:id="186" w:name="docxtextref198"/>
            <w:bookmarkStart w:id="187" w:name="docxtextref201"/>
            <w:bookmarkEnd w:id="186"/>
            <w:bookmarkEnd w:id="187"/>
            <w:r>
              <w:rPr>
                <w:rFonts w:ascii="Times New Roman;serif" w:hAnsi="Times New Roman;serif"/>
                <w:b w:val="false"/>
                <w:sz w:val="22"/>
              </w:rPr>
              <w:t>1.00</w:t>
            </w:r>
          </w:p>
        </w:tc>
        <w:tc>
          <w:tcPr>
            <w:tcW w:w="2836" w:type="dxa"/>
            <w:tcBorders>
              <w:bottom w:val="single" w:sz="8" w:space="0" w:color="000000"/>
              <w:right w:val="double" w:sz="12" w:space="0" w:color="000000"/>
            </w:tcBorders>
            <w:tcMar>
              <w:top w:w="0" w:type="dxa"/>
              <w:left w:w="0" w:type="dxa"/>
              <w:right w:w="120" w:type="dxa"/>
            </w:tcMar>
            <w:vAlign w:val="center"/>
          </w:tcPr>
          <w:p>
            <w:pPr>
              <w:pStyle w:val="TableContents"/>
              <w:bidi w:val="0"/>
              <w:spacing w:before="0" w:after="240"/>
              <w:ind w:left="0" w:right="0" w:hanging="0"/>
              <w:jc w:val="left"/>
              <w:rPr>
                <w:rFonts w:ascii="Times New Roman;serif" w:hAnsi="Times New Roman;serif"/>
                <w:b w:val="false"/>
                <w:sz w:val="22"/>
              </w:rPr>
            </w:pPr>
            <w:r>
              <w:rPr>
                <w:rFonts w:ascii="Times New Roman;serif" w:hAnsi="Times New Roman;serif"/>
                <w:b w:val="false"/>
                <w:sz w:val="22"/>
              </w:rPr>
              <w:t>0.375%</w:t>
            </w:r>
          </w:p>
        </w:tc>
      </w:tr>
      <w:tr>
        <w:trPr/>
        <w:tc>
          <w:tcPr>
            <w:tcW w:w="4351" w:type="dxa"/>
            <w:tcBorders>
              <w:left w:val="double" w:sz="12" w:space="0" w:color="000000"/>
              <w:bottom w:val="double" w:sz="12" w:space="0" w:color="000000"/>
              <w:right w:val="single" w:sz="8" w:space="0" w:color="000000"/>
            </w:tcBorders>
            <w:tcMar>
              <w:top w:w="0" w:type="dxa"/>
              <w:left w:w="120" w:type="dxa"/>
              <w:right w:w="120" w:type="dxa"/>
            </w:tcMar>
            <w:vAlign w:val="center"/>
          </w:tcPr>
          <w:p>
            <w:pPr>
              <w:pStyle w:val="TableContents"/>
              <w:bidi w:val="0"/>
              <w:spacing w:before="0" w:after="240"/>
              <w:ind w:left="0" w:right="0" w:hanging="0"/>
              <w:jc w:val="left"/>
              <w:rPr>
                <w:rFonts w:ascii="Times New Roman" w:hAnsi="Times New Roman"/>
                <w:sz w:val="22"/>
              </w:rPr>
            </w:pPr>
            <w:bookmarkStart w:id="188" w:name="docxtextref203"/>
            <w:bookmarkEnd w:id="188"/>
            <w:r>
              <w:rPr>
                <w:rFonts w:ascii="Times New Roman;serif" w:hAnsi="Times New Roman;serif"/>
                <w:b w:val="false"/>
                <w:sz w:val="22"/>
                <w:u w:val="single"/>
              </w:rPr>
              <w:t>Category 2</w:t>
            </w:r>
            <w:r>
              <w:rPr>
                <w:rFonts w:ascii="Times New Roman;serif" w:hAnsi="Times New Roman;serif"/>
                <w:b w:val="false"/>
                <w:sz w:val="22"/>
              </w:rPr>
              <w:br/>
              <w:t>Less than or equal to 4.85 to 1.00</w:t>
            </w:r>
          </w:p>
        </w:tc>
        <w:tc>
          <w:tcPr>
            <w:tcW w:w="2836" w:type="dxa"/>
            <w:tcBorders>
              <w:bottom w:val="double" w:sz="12" w:space="0" w:color="000000"/>
              <w:right w:val="double" w:sz="12" w:space="0" w:color="000000"/>
            </w:tcBorders>
            <w:tcMar>
              <w:top w:w="0" w:type="dxa"/>
              <w:left w:w="0" w:type="dxa"/>
              <w:right w:w="120" w:type="dxa"/>
            </w:tcMar>
            <w:vAlign w:val="center"/>
          </w:tcPr>
          <w:p>
            <w:pPr>
              <w:pStyle w:val="TableContents"/>
              <w:bidi w:val="0"/>
              <w:spacing w:before="0" w:after="240"/>
              <w:ind w:left="0" w:right="0" w:hanging="0"/>
              <w:jc w:val="left"/>
              <w:rPr>
                <w:rFonts w:ascii="Times New Roman;serif" w:hAnsi="Times New Roman;serif"/>
                <w:b w:val="false"/>
                <w:sz w:val="22"/>
              </w:rPr>
            </w:pPr>
            <w:r>
              <w:rPr>
                <w:rFonts w:ascii="Times New Roman;serif" w:hAnsi="Times New Roman;serif"/>
                <w:b w:val="false"/>
                <w:sz w:val="22"/>
              </w:rPr>
              <w:t>0.250%</w:t>
            </w:r>
          </w:p>
        </w:tc>
      </w:tr>
    </w:tbl>
    <w:p>
      <w:pPr>
        <w:pStyle w:val="TextBody"/>
        <w:bidi w:val="0"/>
        <w:spacing w:before="0" w:after="0"/>
        <w:jc w:val="both"/>
        <w:rPr/>
      </w:pPr>
      <w:r>
        <w:rPr/>
        <w:t> </w:t>
      </w:r>
    </w:p>
    <w:p>
      <w:pPr>
        <w:pStyle w:val="TextBody"/>
        <w:bidi w:val="0"/>
        <w:spacing w:before="0" w:after="240"/>
        <w:jc w:val="both"/>
        <w:rPr>
          <w:rFonts w:ascii="Times New Roman" w:hAnsi="Times New Roman"/>
          <w:sz w:val="20"/>
        </w:rPr>
      </w:pPr>
      <w:bookmarkStart w:id="189" w:name="docxtextref208"/>
      <w:bookmarkEnd w:id="189"/>
      <w:r>
        <w:rPr>
          <w:rFonts w:ascii="Times New Roman;serif" w:hAnsi="Times New Roman;serif"/>
          <w:b w:val="false"/>
          <w:sz w:val="22"/>
        </w:rPr>
        <w:t xml:space="preserve">For purposes of the foregoing, each change in the Commitment Fee Percentage resulting from a change in the Senior Secured First Lien Net Leverage Ratio shall be effective during the period commencing on and including the Business Day following the date of delivery to the Administrative Agent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5.01(b)</w:t>
      </w:r>
      <w:r>
        <w:rPr>
          <w:rFonts w:ascii="Times New Roman" w:hAnsi="Times New Roman"/>
          <w:sz w:val="20"/>
        </w:rPr>
        <w:t xml:space="preserve"> </w:t>
      </w:r>
      <w:r>
        <w:rPr>
          <w:rFonts w:ascii="Times New Roman;serif" w:hAnsi="Times New Roman;serif"/>
          <w:b w:val="false"/>
          <w:sz w:val="22"/>
        </w:rPr>
        <w:t>of the consolidated financial statements and related Compliance Certificate indicating such change and ending on the date immediately preceding the effective date of the next such change. Notwithstanding the foregoing, the Commitment Fee Percentage, at the option of the Administrative Agent or the Required Revolving Lenders, commencing upon written notice to Bidco, shall be based on the rates per annum set forth in Category 1 (i)</w:t>
      </w:r>
      <w:r>
        <w:rPr>
          <w:rFonts w:ascii="Times New Roman" w:hAnsi="Times New Roman"/>
          <w:sz w:val="20"/>
        </w:rPr>
        <w:t xml:space="preserve"> </w:t>
      </w:r>
      <w:r>
        <w:rPr>
          <w:rFonts w:ascii="Times New Roman;serif" w:hAnsi="Times New Roman;serif"/>
          <w:b w:val="false"/>
          <w:sz w:val="22"/>
        </w:rPr>
        <w:t xml:space="preserve">at any time that an Event of Default under </w:t>
      </w:r>
      <w:r>
        <w:rPr>
          <w:rFonts w:ascii="Times New Roman;serif" w:hAnsi="Times New Roman;serif"/>
          <w:b w:val="false"/>
          <w:sz w:val="22"/>
          <w:u w:val="single"/>
        </w:rPr>
        <w:t>Section 7.01(a)</w:t>
      </w:r>
      <w:r>
        <w:rPr>
          <w:rFonts w:ascii="Times New Roman" w:hAnsi="Times New Roman"/>
          <w:sz w:val="20"/>
        </w:rPr>
        <w:t xml:space="preserve"> </w:t>
      </w:r>
      <w:r>
        <w:rPr>
          <w:rFonts w:ascii="Times New Roman;serif" w:hAnsi="Times New Roman;serif"/>
          <w:b w:val="false"/>
          <w:sz w:val="22"/>
        </w:rPr>
        <w:t xml:space="preserve">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bookmarkStart w:id="190" w:name="docxtextref209"/>
      <w:bookmarkEnd w:id="190"/>
      <w:r>
        <w:rPr>
          <w:rFonts w:ascii="Times New Roman;serif" w:hAnsi="Times New Roman;serif"/>
          <w:b w:val="false"/>
          <w:sz w:val="22"/>
          <w:u w:val="single"/>
        </w:rPr>
        <w:t>5.01(b)</w:t>
      </w:r>
      <w:r>
        <w:rPr>
          <w:rFonts w:ascii="Times New Roman" w:hAnsi="Times New Roman"/>
          <w:sz w:val="20"/>
        </w:rPr>
        <w:t xml:space="preserve"> </w:t>
      </w:r>
      <w:r>
        <w:rPr>
          <w:rFonts w:ascii="Times New Roman;serif" w:hAnsi="Times New Roman;serif"/>
          <w:b w:val="false"/>
          <w:sz w:val="22"/>
        </w:rPr>
        <w:t>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Commitment Letter</w:t>
      </w:r>
      <w:r>
        <w:rPr>
          <w:rFonts w:ascii="Times New Roman" w:hAnsi="Times New Roman"/>
          <w:sz w:val="20"/>
        </w:rPr>
        <w:t xml:space="preserve">” </w:t>
      </w:r>
      <w:r>
        <w:rPr>
          <w:rFonts w:ascii="Times New Roman;serif" w:hAnsi="Times New Roman;serif"/>
          <w:b w:val="false"/>
          <w:sz w:val="22"/>
        </w:rPr>
        <w:t>means the second amended and restated commitment letter dated as of September 4,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w:t>
      </w:r>
    </w:p>
    <w:p>
      <w:pPr>
        <w:pStyle w:val="TextBody"/>
        <w:bidi w:val="0"/>
        <w:spacing w:before="0" w:after="240"/>
        <w:jc w:val="both"/>
        <w:rPr/>
      </w:pPr>
      <w:bookmarkStart w:id="191" w:name="docxtextref210"/>
      <w:bookmarkEnd w:id="191"/>
      <w:r>
        <w:rPr/>
        <w:t>“</w:t>
      </w:r>
      <w:r>
        <w:rPr>
          <w:rFonts w:ascii="Times New Roman;serif" w:hAnsi="Times New Roman;serif"/>
          <w:b w:val="false"/>
          <w:sz w:val="22"/>
          <w:u w:val="single"/>
        </w:rPr>
        <w:t>Commodity Exchange Act</w:t>
      </w:r>
      <w:r>
        <w:rPr>
          <w:rFonts w:ascii="Times New Roman" w:hAnsi="Times New Roman"/>
          <w:sz w:val="20"/>
        </w:rPr>
        <w:t xml:space="preserve">” </w:t>
      </w:r>
      <w:r>
        <w:rPr>
          <w:rFonts w:ascii="Times New Roman;serif" w:hAnsi="Times New Roman;serif"/>
          <w:b w:val="false"/>
          <w:sz w:val="22"/>
        </w:rPr>
        <w:t>means the Commodity Exchange Act (7 U.S.C. § 1</w:t>
      </w:r>
      <w:r>
        <w:rPr>
          <w:rFonts w:ascii="Times New Roman" w:hAnsi="Times New Roman"/>
          <w:sz w:val="20"/>
        </w:rPr>
        <w:t xml:space="preserve"> </w:t>
      </w:r>
      <w:r>
        <w:rPr>
          <w:rFonts w:ascii="Times New Roman;serif" w:hAnsi="Times New Roman;serif"/>
          <w:b w:val="false"/>
          <w:sz w:val="22"/>
          <w:u w:val="single"/>
        </w:rPr>
        <w:t>et</w:t>
      </w:r>
      <w:r>
        <w:rPr>
          <w:rFonts w:ascii="Times New Roman" w:hAnsi="Times New Roman"/>
          <w:sz w:val="20"/>
        </w:rPr>
        <w:t xml:space="preserve"> </w:t>
      </w:r>
      <w:r>
        <w:rPr>
          <w:rFonts w:ascii="Times New Roman;serif" w:hAnsi="Times New Roman;serif"/>
          <w:b w:val="false"/>
          <w:sz w:val="22"/>
          <w:u w:val="single"/>
        </w:rPr>
        <w:t>seq</w:t>
      </w:r>
      <w:r>
        <w:rPr>
          <w:rFonts w:ascii="Times New Roman;serif" w:hAnsi="Times New Roman;serif"/>
          <w:b w:val="false"/>
          <w:sz w:val="22"/>
        </w:rPr>
        <w:t>.), as amended from time to time, and any successor statute.</w:t>
      </w:r>
    </w:p>
    <w:p>
      <w:pPr>
        <w:pStyle w:val="TextBody"/>
        <w:bidi w:val="0"/>
        <w:spacing w:before="0" w:after="240"/>
        <w:jc w:val="both"/>
        <w:rPr/>
      </w:pPr>
      <w:r>
        <w:rPr/>
        <w:t>“</w:t>
      </w:r>
      <w:r>
        <w:rPr>
          <w:rFonts w:ascii="Times New Roman;serif" w:hAnsi="Times New Roman;serif"/>
          <w:b w:val="false"/>
          <w:sz w:val="22"/>
          <w:u w:val="single"/>
        </w:rPr>
        <w:t>Company</w:t>
      </w:r>
      <w:r>
        <w:rPr>
          <w:rFonts w:ascii="Times New Roman" w:hAnsi="Times New Roman"/>
          <w:sz w:val="20"/>
        </w:rPr>
        <w:t xml:space="preserve">” </w:t>
      </w:r>
      <w:r>
        <w:rPr>
          <w:rFonts w:ascii="Times New Roman;serif" w:hAnsi="Times New Roman;serif"/>
          <w:b w:val="false"/>
          <w:sz w:val="22"/>
        </w:rPr>
        <w:t>means Inmarsat Group Holdings Limited (f/k/a Inmarsat plc), a limited company incorporated under the laws of England and Wales with registered number 04886072.</w:t>
      </w:r>
    </w:p>
    <w:p>
      <w:pPr>
        <w:pStyle w:val="TextBody"/>
        <w:bidi w:val="0"/>
        <w:spacing w:before="0" w:after="240"/>
        <w:jc w:val="both"/>
        <w:rPr/>
      </w:pPr>
      <w:r>
        <w:rPr/>
        <w:t>“</w:t>
      </w:r>
      <w:r>
        <w:rPr>
          <w:rFonts w:ascii="Times New Roman;serif" w:hAnsi="Times New Roman;serif"/>
          <w:b w:val="false"/>
          <w:sz w:val="22"/>
          <w:u w:val="single"/>
        </w:rPr>
        <w:t>Compliance Certificate</w:t>
      </w:r>
      <w:r>
        <w:rPr>
          <w:rFonts w:ascii="Times New Roman" w:hAnsi="Times New Roman"/>
          <w:sz w:val="20"/>
        </w:rPr>
        <w:t xml:space="preserve">” </w:t>
      </w:r>
      <w:r>
        <w:rPr>
          <w:rFonts w:ascii="Times New Roman;serif" w:hAnsi="Times New Roman;serif"/>
          <w:b w:val="false"/>
          <w:sz w:val="22"/>
        </w:rPr>
        <w:t xml:space="preserve">means the certificate required to be delivered pursuant to </w:t>
      </w:r>
      <w:r>
        <w:rPr>
          <w:rFonts w:ascii="Times New Roman;serif" w:hAnsi="Times New Roman;serif"/>
          <w:b w:val="false"/>
          <w:sz w:val="22"/>
          <w:u w:val="single"/>
        </w:rPr>
        <w:t>Section 5.01(d)</w:t>
      </w:r>
      <w:r>
        <w:rPr>
          <w:rFonts w:ascii="Times New Roman;serif" w:hAnsi="Times New Roman;serif"/>
          <w:b w:val="false"/>
          <w:sz w:val="22"/>
        </w:rPr>
        <w:t>.</w:t>
      </w:r>
    </w:p>
    <w:p>
      <w:pPr>
        <w:pStyle w:val="TextBody"/>
        <w:bidi w:val="0"/>
        <w:spacing w:before="0" w:after="240"/>
        <w:jc w:val="both"/>
        <w:rPr/>
      </w:pPr>
      <w:bookmarkStart w:id="192" w:name="docxtextref213"/>
      <w:bookmarkEnd w:id="192"/>
      <w:r>
        <w:rPr/>
        <w:t>“</w:t>
      </w:r>
      <w:r>
        <w:rPr>
          <w:rFonts w:ascii="Times New Roman;serif" w:hAnsi="Times New Roman;serif"/>
          <w:b w:val="false"/>
          <w:sz w:val="22"/>
          <w:u w:val="single"/>
        </w:rPr>
        <w:t>Consolidated Cash Interest Expense</w:t>
      </w:r>
      <w:r>
        <w:rPr>
          <w:rFonts w:ascii="Times New Roman" w:hAnsi="Times New Roman"/>
          <w:sz w:val="20"/>
        </w:rPr>
        <w:t xml:space="preserve">” </w:t>
      </w:r>
      <w:r>
        <w:rPr>
          <w:rFonts w:ascii="Times New Roman;serif" w:hAnsi="Times New Roman;serif"/>
          <w:b w:val="false"/>
          <w:sz w:val="22"/>
        </w:rPr>
        <w:t>means, as of any date for the applicable period ending on such date with respect to Bidco and the Restricted Subsidiaries on a consolidated basis, the amount payable with respect to such period in respect of (a)</w:t>
      </w:r>
      <w:r>
        <w:rPr>
          <w:rFonts w:ascii="Times New Roman" w:hAnsi="Times New Roman"/>
          <w:sz w:val="20"/>
        </w:rPr>
        <w:t xml:space="preserve"> </w:t>
      </w:r>
      <w:r>
        <w:rPr>
          <w:rFonts w:ascii="Times New Roman;serif" w:hAnsi="Times New Roman;serif"/>
          <w:b w:val="false"/>
          <w:sz w:val="22"/>
        </w:rPr>
        <w:t xml:space="preserve">total interest expense payable in cash with respect to all outstanding Indebtedness of Bidco and the Restricted Subsidiaries including the interest component under Capitalized Leases, but excluding, to the extent included in interest expense, </w:t>
      </w:r>
      <w:bookmarkStart w:id="193" w:name="docxtextref214"/>
      <w:bookmarkEnd w:id="19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fees and expenses (including any penalties and interest relating to Taxes) associated with the consummation of the Transactions, (ii) annual agency fees paid to the administrative agents and collateral agents under any credit facilities or other debt instruments or documents, (iii) costs associated with obtaining Swap Agreements and any interest expense attributable to the movement of the mark-to-market valuation of obligations under Swap Agreements or other derivative instruments, and any one-time cash costs associated with breakage in respect of Swap Agreements for interest rates, (iv) fees and expenses (including any penalties and interest relating to Taxes) associated with any Investment not prohibited by </w:t>
      </w:r>
      <w:r>
        <w:rPr>
          <w:rFonts w:ascii="Times New Roman;serif" w:hAnsi="Times New Roman;serif"/>
          <w:b w:val="false"/>
          <w:sz w:val="22"/>
          <w:u w:val="single"/>
        </w:rPr>
        <w:t>Section 6.04</w:t>
      </w:r>
      <w:r>
        <w:rPr>
          <w:rFonts w:ascii="Times New Roman;serif" w:hAnsi="Times New Roman;serif"/>
          <w:b w:val="false"/>
          <w:sz w:val="22"/>
        </w:rPr>
        <w:t xml:space="preserve">, the issuance of Equity Interests or Indebtedness, </w:t>
      </w:r>
      <w:bookmarkStart w:id="194" w:name="docxtextref215"/>
      <w:bookmarkEnd w:id="194"/>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any interest component relating to accretion or accrual of discounted liabilities, (vi) all non-recurring cash interest expense consisting of liquidated damages for failure to timely comply with registration rights obligations, (vii) amortization of deferred financing fees, debt issuance costs, commissions, fees and expenses or expensing of any financing fees or prepayment or redemption premiums or penalty and any other amounts of non-cash interest (including as a result of the effects of acquisition method accounting or pushdown accounting), and (viii)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IFRS minus </w:t>
      </w:r>
      <w:bookmarkStart w:id="195" w:name="docxtextref216"/>
      <w:bookmarkEnd w:id="19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cash interest income of Bidco and the Restricted Subsidiaries earned during such period, in each case as determined in accordance with IFRS.</w:t>
      </w:r>
    </w:p>
    <w:p>
      <w:pPr>
        <w:pStyle w:val="TextBody"/>
        <w:bidi w:val="0"/>
        <w:spacing w:before="0" w:after="240"/>
        <w:jc w:val="both"/>
        <w:rPr/>
      </w:pPr>
      <w:r>
        <w:rPr/>
        <w:t>“</w:t>
      </w:r>
      <w:r>
        <w:rPr>
          <w:rFonts w:ascii="Times New Roman;serif" w:hAnsi="Times New Roman;serif"/>
          <w:b w:val="false"/>
          <w:sz w:val="22"/>
          <w:u w:val="single"/>
        </w:rPr>
        <w:t>Consolidated Depreciation and Amortization Expense</w:t>
      </w:r>
      <w:r>
        <w:rPr>
          <w:rFonts w:ascii="Times New Roman" w:hAnsi="Times New Roman"/>
          <w:sz w:val="20"/>
        </w:rPr>
        <w:t xml:space="preserve">” </w:t>
      </w:r>
      <w:r>
        <w:rPr>
          <w:rFonts w:ascii="Times New Roman;serif" w:hAnsi="Times New Roman;serif"/>
          <w:b w:val="false"/>
          <w:sz w:val="22"/>
        </w:rPr>
        <w:t>means with respect to any Person for any period, the total amount of depreciation and amortization expense for such period, including the amortization of deferred financing fees, debt issuance costs, commissions, fees and expenses and Capitalized Software Expenditures of such Person and its Restricted Subsidiaries for such period (including such expense attributable to held-for-sale discontinued operations) determined on a consolidated basis and otherwise determined in accordance with IFRS.</w:t>
      </w:r>
    </w:p>
    <w:p>
      <w:pPr>
        <w:pStyle w:val="TextBody"/>
        <w:bidi w:val="0"/>
        <w:spacing w:before="0" w:after="240"/>
        <w:jc w:val="both"/>
        <w:rPr/>
      </w:pPr>
      <w:r>
        <w:rPr/>
        <w:t>“</w:t>
      </w:r>
      <w:r>
        <w:rPr>
          <w:rFonts w:ascii="Times New Roman;serif" w:hAnsi="Times New Roman;serif"/>
          <w:b w:val="false"/>
          <w:sz w:val="22"/>
          <w:u w:val="single"/>
        </w:rPr>
        <w:t>Consolidated EBITDA</w:t>
      </w:r>
      <w:r>
        <w:rPr>
          <w:rFonts w:ascii="Times New Roman" w:hAnsi="Times New Roman"/>
          <w:sz w:val="20"/>
        </w:rPr>
        <w:t xml:space="preserve">” </w:t>
      </w:r>
      <w:r>
        <w:rPr>
          <w:rFonts w:ascii="Times New Roman;serif" w:hAnsi="Times New Roman;serif"/>
          <w:b w:val="false"/>
          <w:sz w:val="22"/>
        </w:rPr>
        <w:t>means, with respect to any Person for any period, the Consolidated Net Income of such Person for such period,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increased (without duplication) by the following, in each case, to the extent deducted (and not added back) in arriving at Consolidated Net Income of such Person for such period: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Taxes paid (including pursuant to any Tax sharing arrangements) and provisions for Taxes of such Person and its Restricted Subsidiaries, including, in each case federal, state, provincial, local, foreign, unitary, franchise, excise, property, withholding, use and similar Taxes, including any penalties and interest, plus, without duplication, Tax Distributions paid or accrued during such period;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196" w:name="docxtextref2211"/>
      <w:bookmarkEnd w:id="196"/>
      <w:r>
        <w:rPr>
          <w:rFonts w:ascii="Times New Roman;serif" w:hAnsi="Times New Roman;serif"/>
          <w:b w:val="false"/>
          <w:sz w:val="22"/>
        </w:rPr>
        <w:t>(b) Fixed Charges of such Person for such period (including (1)</w:t>
      </w:r>
      <w:r>
        <w:rPr>
          <w:rFonts w:ascii="Times New Roman" w:hAnsi="Times New Roman"/>
          <w:sz w:val="20"/>
        </w:rPr>
        <w:t xml:space="preserve"> </w:t>
      </w:r>
      <w:r>
        <w:rPr>
          <w:rFonts w:ascii="Times New Roman;serif" w:hAnsi="Times New Roman;serif"/>
          <w:b w:val="false"/>
          <w:sz w:val="22"/>
        </w:rPr>
        <w:t xml:space="preserve">premium payments, debt discount, fees, charges and related expenses incurred in connection with borrowed money (including capitalized interest) or in connection with the deferred purchase price of assets, </w:t>
      </w:r>
      <w:bookmarkStart w:id="197" w:name="docxtextref2221"/>
      <w:bookmarkEnd w:id="197"/>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the portion of rent expense with respect to such period under Capitalized Lease Obligations that is treated as interest expense in accordance with IFRS, </w:t>
      </w:r>
      <w:bookmarkStart w:id="198" w:name="docxtextref2231"/>
      <w:bookmarkEnd w:id="198"/>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 xml:space="preserve">the implied interest component of synthetic leases with respect to such period, </w:t>
      </w:r>
      <w:bookmarkStart w:id="199" w:name="docxtextref2241"/>
      <w:bookmarkEnd w:id="199"/>
      <w:r>
        <w:rPr>
          <w:rFonts w:ascii="Times New Roman;serif" w:hAnsi="Times New Roman;serif"/>
          <w:b w:val="false"/>
          <w:sz w:val="22"/>
        </w:rPr>
        <w:t>(4)</w:t>
      </w:r>
      <w:r>
        <w:rPr>
          <w:rFonts w:ascii="Times New Roman" w:hAnsi="Times New Roman"/>
          <w:sz w:val="20"/>
        </w:rPr>
        <w:t xml:space="preserve"> </w:t>
      </w:r>
      <w:r>
        <w:rPr>
          <w:rFonts w:ascii="Times New Roman;serif" w:hAnsi="Times New Roman;serif"/>
          <w:b w:val="false"/>
          <w:sz w:val="22"/>
        </w:rPr>
        <w:t xml:space="preserve">net losses on Hedging Obligations or other derivative instruments entered into for the purpose of hedging interest rate risk, net of interest income and gains with respect to such obligations plus bank fees, </w:t>
      </w:r>
      <w:bookmarkStart w:id="200" w:name="docxtextref2251"/>
      <w:bookmarkEnd w:id="200"/>
      <w:r>
        <w:rPr>
          <w:rFonts w:ascii="Times New Roman;serif" w:hAnsi="Times New Roman;serif"/>
          <w:b w:val="false"/>
          <w:sz w:val="22"/>
        </w:rPr>
        <w:t>(5)</w:t>
      </w:r>
      <w:r>
        <w:rPr>
          <w:rFonts w:ascii="Times New Roman" w:hAnsi="Times New Roman"/>
          <w:sz w:val="20"/>
        </w:rPr>
        <w:t xml:space="preserve"> </w:t>
      </w:r>
      <w:r>
        <w:rPr>
          <w:rFonts w:ascii="Times New Roman;serif" w:hAnsi="Times New Roman;serif"/>
          <w:b w:val="false"/>
          <w:sz w:val="22"/>
        </w:rPr>
        <w:t xml:space="preserve">bank and letter of credit fees and costs of surety bonds in connection with financing activities, and (6) any commissions, discounts, yield and other fees and charges (including any interest expense) related to any Receivables Facility, in each case, to the extent included in Fixed Charges), together with items excluded from the definition of “Consolidated Interest Expense” pursuant to clauses </w:t>
      </w:r>
      <w:bookmarkStart w:id="201" w:name="docxtextref2191"/>
      <w:bookmarkEnd w:id="201"/>
      <w:r>
        <w:rPr>
          <w:rFonts w:ascii="Times New Roman;serif" w:hAnsi="Times New Roman;serif"/>
          <w:b w:val="false"/>
          <w:sz w:val="22"/>
        </w:rPr>
        <w:t>1(o)</w:t>
      </w:r>
      <w:r>
        <w:rPr>
          <w:rFonts w:ascii="Times New Roman" w:hAnsi="Times New Roman"/>
          <w:sz w:val="20"/>
        </w:rPr>
        <w:t xml:space="preserve"> </w:t>
      </w:r>
      <w:r>
        <w:rPr>
          <w:rFonts w:ascii="Times New Roman;serif" w:hAnsi="Times New Roman;serif"/>
          <w:b w:val="false"/>
          <w:sz w:val="22"/>
        </w:rPr>
        <w:t xml:space="preserve">through </w:t>
      </w:r>
      <w:bookmarkStart w:id="202" w:name="docxtextref2201"/>
      <w:bookmarkEnd w:id="202"/>
      <w:r>
        <w:rPr>
          <w:rFonts w:ascii="Times New Roman;serif" w:hAnsi="Times New Roman;serif"/>
          <w:b w:val="false"/>
          <w:sz w:val="22"/>
        </w:rPr>
        <w:t>1(z)</w:t>
      </w:r>
      <w:r>
        <w:rPr>
          <w:rFonts w:ascii="Times New Roman" w:hAnsi="Times New Roman"/>
          <w:sz w:val="20"/>
        </w:rPr>
        <w:t xml:space="preserve"> </w:t>
      </w:r>
      <w:r>
        <w:rPr>
          <w:rFonts w:ascii="Times New Roman;serif" w:hAnsi="Times New Roman;serif"/>
          <w:b w:val="false"/>
          <w:sz w:val="22"/>
        </w:rPr>
        <w:t xml:space="preserve">thereof;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Consolidated Depreciation and Amortization Expense of such Person for such period;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203" w:name="docxtextref2261"/>
      <w:bookmarkEnd w:id="203"/>
      <w:r>
        <w:rPr>
          <w:rFonts w:ascii="Times New Roman;serif" w:hAnsi="Times New Roman;serif"/>
          <w:b w:val="false"/>
          <w:sz w:val="22"/>
        </w:rPr>
        <w:t>(d) any expenses or charges (other than depreciation or amortization expense) related to any Equity Offering, Permitted Investment, Restricted Payment, acquisition, disposition, recapitalization or the incurrence of Indebtedness (and any amendment or modification to any such transaction) (including a refinancing thereof) (whether or not successful), including (i)</w:t>
      </w:r>
      <w:r>
        <w:rPr>
          <w:rFonts w:ascii="Times New Roman" w:hAnsi="Times New Roman"/>
          <w:sz w:val="20"/>
        </w:rPr>
        <w:t xml:space="preserve"> </w:t>
      </w:r>
      <w:r>
        <w:rPr>
          <w:rFonts w:ascii="Times New Roman;serif" w:hAnsi="Times New Roman;serif"/>
          <w:b w:val="false"/>
          <w:sz w:val="22"/>
        </w:rPr>
        <w:t xml:space="preserve">such fees, expenses or charges related to the incurrence of the Loans hereunder and all Transaction Costs, (ii) such fees, expenses, or charges related to the Loan Documents and any other credit facilities, or debt issuances and (iii) any amendment or other modification of the Loans hereunder, or other indebtedness;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 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Effective Date, project startup costs and costs related to the closure and/or consolidation of facilities, in each case, whether or not classified as restructuring expense on the consolidated financial statements;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(f) any other non-cash charges, including, without limitation, any write offs or write downs, reducing Consolidated Net Income for such period;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serif" w:hAnsi="Times New Roman;serif"/>
          <w:b w:val="false"/>
          <w:sz w:val="22"/>
          <w:u w:val="single"/>
        </w:rPr>
        <w:t>plus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(g) the amount of any non-controlling interest expense consisting of income attributable to non-controlling interests of third parties in any Non-Wholly Owned Subsidiary;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(h) the amount of board of directors fees and management, monitoring, consulting, advisory fees and other fees (including termination and transaction fees), indemnities and related expenses paid or accrued in such period under the Sponsor Management Agreement or otherwise to (or on behalf of) the Investors (including any termination fees payable in connection with the early termination of management and monitoring agreements) to the extent otherwise permitted under </w:t>
      </w:r>
      <w:r>
        <w:rPr>
          <w:rFonts w:ascii="Times New Roman;serif" w:hAnsi="Times New Roman;serif"/>
          <w:b w:val="false"/>
          <w:sz w:val="22"/>
          <w:u w:val="single"/>
        </w:rPr>
        <w:t>Section 5.17</w:t>
      </w:r>
      <w:r>
        <w:rPr>
          <w:rFonts w:ascii="Times New Roman;serif" w:hAnsi="Times New Roman;serif"/>
          <w:b w:val="false"/>
          <w:sz w:val="22"/>
        </w:rPr>
        <w:t xml:space="preserve">;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204" w:name="docxtextref2281"/>
      <w:bookmarkEnd w:id="204"/>
      <w:r>
        <w:rPr>
          <w:rFonts w:ascii="Times New Roman;serif" w:hAnsi="Times New Roman;serif"/>
          <w:b w:val="false"/>
          <w:sz w:val="22"/>
        </w:rPr>
        <w:t>(i) (x)</w:t>
      </w:r>
      <w:r>
        <w:rPr>
          <w:rFonts w:ascii="Times New Roman" w:hAnsi="Times New Roman"/>
          <w:sz w:val="20"/>
        </w:rPr>
        <w:t xml:space="preserve"> </w:t>
      </w:r>
      <w:r>
        <w:rPr>
          <w:rFonts w:ascii="Times New Roman;serif" w:hAnsi="Times New Roman;serif"/>
          <w:b w:val="false"/>
          <w:sz w:val="22"/>
        </w:rPr>
        <w:t xml:space="preserve">start-up fees, losses, costs, charges, expenses or payments incurred in the first twelve (12) months following the commitment to open a new facility with respect to the prospecting, opening, and organizing of any new facility (including, but not limited to, the cost of feasibility studies, staff-training and recruiting costs, advertising and marketing costs, rental or mortgage costs, compensation costs, insurance costs, travel costs and other employee related costs and expenses for employees engaged in such startup activities), </w:t>
      </w:r>
      <w:bookmarkStart w:id="205" w:name="docxtextref2291"/>
      <w:bookmarkEnd w:id="205"/>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operating losses of new facilities (including, but not limited to, allocation of corporate overhead expenses) incurred in the first twelve (12) months following the opening of such new facility and </w:t>
      </w:r>
      <w:bookmarkStart w:id="206" w:name="docxtextref2301"/>
      <w:bookmarkEnd w:id="206"/>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expenses relating to any remodeling costs attributable to any existing facility;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(j) the amount of losses on dispositions of accounts receivable, Receivables Assets and related assets incurred in connection with a Receivables Facility;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(k) any costs or expense incurred by Bidco or a Restricted Subsidiary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Bidco or net cash proceeds of an issuance of Equity Interest of Bidco (other than Disqualified Equity Interests) solely to the extent that such net cash proceeds are excluded from the calculation set forth in </w:t>
      </w:r>
      <w:r>
        <w:rPr>
          <w:rFonts w:ascii="Times New Roman;serif" w:hAnsi="Times New Roman;serif"/>
          <w:b w:val="false"/>
          <w:sz w:val="22"/>
          <w:u w:val="single"/>
        </w:rPr>
        <w:t>Section 6.05(a)(A)(2)</w:t>
      </w:r>
      <w:r>
        <w:rPr>
          <w:rFonts w:ascii="Times New Roman" w:hAnsi="Times New Roman"/>
          <w:sz w:val="20"/>
        </w:rPr>
        <w:t xml:space="preserve"> </w:t>
      </w:r>
      <w:r>
        <w:rPr>
          <w:rFonts w:ascii="Times New Roman;serif" w:hAnsi="Times New Roman;serif"/>
          <w:b w:val="false"/>
          <w:sz w:val="22"/>
        </w:rPr>
        <w:t xml:space="preserve">hereof;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(l)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IAS 19, 26 and 37, and any other items of a similar nature;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207" w:name="docxtextref2321"/>
      <w:bookmarkEnd w:id="207"/>
      <w:r>
        <w:rPr>
          <w:rFonts w:ascii="Times New Roman;serif" w:hAnsi="Times New Roman;serif"/>
          <w:b w:val="false"/>
          <w:sz w:val="22"/>
        </w:rPr>
        <w:t>(m) operating expenses incurred on or prior to the Effective Date attributable to (A)</w:t>
      </w:r>
      <w:r>
        <w:rPr>
          <w:rFonts w:ascii="Times New Roman" w:hAnsi="Times New Roman"/>
          <w:sz w:val="20"/>
        </w:rPr>
        <w:t xml:space="preserve"> </w:t>
      </w:r>
      <w:r>
        <w:rPr>
          <w:rFonts w:ascii="Times New Roman;serif" w:hAnsi="Times New Roman;serif"/>
          <w:b w:val="false"/>
          <w:sz w:val="22"/>
        </w:rPr>
        <w:t xml:space="preserve">salary obligations paid to employees terminated prior to the Effective Date and </w:t>
      </w:r>
      <w:bookmarkStart w:id="208" w:name="docxtextref2331"/>
      <w:bookmarkEnd w:id="20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wages paid to executives in excess of the amounts the Company and its Subsidiaries are required to pay pursuant to any employment agreements;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(n) any net loss from discontinued operations;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(o) cash receipts (or any netting arrangements resulting in reduced cash expenditures) not representing Consolidated EBITDA or Consolidated Net Income in any period to the extent non cash gains relating to such income were deducted in the calculation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209" w:name="docxtextref2341"/>
      <w:bookmarkEnd w:id="209"/>
      <w:r>
        <w:rPr>
          <w:rFonts w:ascii="Times New Roman;serif" w:hAnsi="Times New Roman;serif"/>
          <w:b w:val="false"/>
          <w:sz w:val="22"/>
        </w:rPr>
        <w:t>of Consolidated EBITDA pursuant to clause (3)</w:t>
      </w:r>
      <w:r>
        <w:rPr>
          <w:rFonts w:ascii="Times New Roman" w:hAnsi="Times New Roman"/>
          <w:sz w:val="20"/>
        </w:rPr>
        <w:t xml:space="preserve"> </w:t>
      </w:r>
      <w:r>
        <w:rPr>
          <w:rFonts w:ascii="Times New Roman;serif" w:hAnsi="Times New Roman;serif"/>
          <w:b w:val="false"/>
          <w:sz w:val="22"/>
        </w:rPr>
        <w:t xml:space="preserve">below for any previous period and not added back;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(p) any loss relating to amounts paid in cash prior to the stated settlement date of any hedging obligation that has been reflected in Consolidated Net Income for such period;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(q) any gain relating to hedging obligations associated with transactions realized in the current period that has been reflected in Consolidated Net Income in prior periods and excluded from Consolidated EBITDA pursuant to clauses (3)(c) and (3)(d) below;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(r) the amount of expenses relating to payments made to option holders of any direct or indirect parent company of Bidco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(s) earn-out and contingent consideration obligations (including to the extent accounted for as bonuses or otherwise) and adjustments thereof and purchase price adjustments, in each case in connection with acquisitions or Investments;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 Public Company Costs; </w:t>
      </w:r>
      <w:r>
        <w:rPr>
          <w:rFonts w:ascii="Times New Roman;serif" w:hAnsi="Times New Roman;serif"/>
          <w:b w:val="false"/>
          <w:sz w:val="22"/>
          <w:u w:val="single"/>
        </w:rPr>
        <w:t>plus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without duplication,</w:t>
      </w:r>
    </w:p>
    <w:p>
      <w:pPr>
        <w:pStyle w:val="TextBody"/>
        <w:bidi w:val="0"/>
        <w:spacing w:before="0" w:after="240"/>
        <w:jc w:val="both"/>
        <w:rPr>
          <w:rFonts w:ascii="Times New Roman" w:hAnsi="Times New Roman"/>
          <w:sz w:val="20"/>
        </w:rPr>
      </w:pPr>
      <w:bookmarkStart w:id="210" w:name="docxtextref235"/>
      <w:bookmarkEnd w:id="210"/>
      <w:r>
        <w:rPr>
          <w:rFonts w:ascii="Times New Roman;serif" w:hAnsi="Times New Roman;serif"/>
          <w:b w:val="false"/>
          <w:sz w:val="22"/>
        </w:rPr>
        <w:t xml:space="preserve">(a) the amount of “run rate” cost savings, operating expense reductions, other operating improvements, revenue enhancements and synergies related to any Specified Transaction, the Transactions, any restructuring, cost saving initiative or other initiative projected by Bidco in good faith to be realized as a result of actions taken, committed to be taken or planned to be taken, in each case on or prior to the date that is 24 months after the end of the relevant period (including actions initiated prior to the Effective Date) (which cost savings, operating expense reductions, other operating improvements, revenue enhancements and synergies shall be added to Consolidated EBITDA until fully realized and calculated on a Pro Forma Basis as though such cost savings, operating expense reductions, other operating improvements, revenue enhancements and synergies had been realized on the first day of the relevant period), net of the amount of actual benefits realized from such actions;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such cost savings, operating expense reductions, other operating improvements, revenue enhancements and synergies are reasonably identifiable and quantifiable and </w:t>
      </w:r>
      <w:bookmarkStart w:id="211" w:name="docxtextref236"/>
      <w:bookmarkEnd w:id="21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no cost savings, operating expense reductions, other operating improvements, revenue enhancements or synergies shall be added pursuant to this clause (a) to the extent duplicative of any expenses or charges relating to such cost savings, operating expense reductions, other operating improvements, revenue enhancements or synergies that are included in any other clause of this definition or in the definition of “Pro Forma Adjustment” (it being understood and agreed that “run rate” shall mean the full recurring benefit that is associated with any action taken);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the aggregate amount of “run rate” cost savings, operating expense reductions, other operating improvements, revenue enhancements and synergies related to any Specified Transaction, any restructuring, cost saving initiative or other initiative added pursuant to this clause (a)</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shall not exceed 25% of Consolidated EBITDA (calculated after giving effect to any addback under this clause (a) for any Test Period);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other add-backs and adjustments of the type reflected in the Model and the Information Memorandum;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adjustments consistent with Regulation S-X or contained in a quality of earnings report in connection with a Permitted Acquisition or Investment made available to the Administrative Agent conducted by financial advisors (which are either nationally recognized or reasonably acceptable to the Administrative Agent (it being understood and agreed that any of the “Big Four” accounting firms are acceptable));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(d) the amount of reasonably identifiable and factually supportable “run</w:t>
        <w:noBreakHyphen/>
        <w:t xml:space="preserve">rate” Consolidated EBITDA (calculated on a pre-tax basis) that is projected by Bidco in good faith to be derived from New Contracts (calculated on a Pro Forma Basis as though such Consolidated EBITDA had been realized on the first day of such period) within 36 months of the entry into such New Contract net of the amount of actual earnings realized prior to or during such period from such New Contracts and without giving any benefit for any period after the termination of such New Contract; </w:t>
      </w:r>
      <w:r>
        <w:rPr>
          <w:rFonts w:ascii="Times New Roman;serif" w:hAnsi="Times New Roman;serif"/>
          <w:b w:val="false"/>
          <w:sz w:val="22"/>
          <w:u w:val="single"/>
        </w:rPr>
        <w:t>plus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the amount of reasonably identifiable and factually supportable “run</w:t>
        <w:noBreakHyphen/>
        <w:t>rate” Consolidated EBITDA (calculated on a pre-tax basis) that is projected by Bidco in good faith to be derived from any anticipated revenue enhancements from the launch of new satellites (calculated on a Pro Forma Basis as though such revenue enhancements had been realized on the first day of such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decreased (without duplication) by the following, in each case, to the extent included in determining Consolidated Net Income of such Person for such period: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non-cash gains increasing Consolidated Net Income of such Person for such period, excluding any non-cash gains to the extent they represent the reversal of an accrual or reserve for a potential cash item that reduced Consolidated EBITDA in any prior period;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amount of any non-controlling interest consisting of loss attributable to non-controlling interests of third parties in any Non-Wholly Owned Subsidiaries; </w:t>
      </w:r>
      <w:r>
        <w:rPr>
          <w:rFonts w:ascii="Times New Roman;serif" w:hAnsi="Times New Roman;serif"/>
          <w:b w:val="false"/>
          <w:sz w:val="22"/>
          <w:u w:val="single"/>
        </w:rPr>
        <w:t>plus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any gain relating to amounts received in cash prior to the stated settlement date of any hedging obligation that has been reflected in Consolidated Net Income in such period;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any loss relating to hedging obligations associated with transactions realized in the current period that has been reflected in Consolidated Net Income in prior periods and excluded from Consolidated EBITDA pursuant to clauses (1)(p) and (1)(q) above;</w:t>
      </w:r>
    </w:p>
    <w:p>
      <w:pPr>
        <w:pStyle w:val="TextBody"/>
        <w:bidi w:val="0"/>
        <w:spacing w:before="0" w:after="240"/>
        <w:jc w:val="both"/>
        <w:rPr>
          <w:rFonts w:ascii="Times New Roman" w:hAnsi="Times New Roman"/>
          <w:sz w:val="20"/>
        </w:rPr>
      </w:pPr>
      <w:bookmarkStart w:id="212" w:name="docxtextref2371"/>
      <w:bookmarkEnd w:id="212"/>
      <w:r>
        <w:rPr>
          <w:rFonts w:ascii="Times New Roman;serif" w:hAnsi="Times New Roman;serif"/>
          <w:b w:val="false"/>
          <w:sz w:val="22"/>
        </w:rPr>
        <w:t>(4) 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(3)</w:t>
      </w:r>
      <w:r>
        <w:rPr>
          <w:rFonts w:ascii="Times New Roman" w:hAnsi="Times New Roman"/>
          <w:sz w:val="20"/>
        </w:rPr>
        <w:t xml:space="preserve"> </w:t>
      </w:r>
      <w:r>
        <w:rPr>
          <w:rFonts w:ascii="Times New Roman;serif" w:hAnsi="Times New Roman;serif"/>
          <w:b w:val="false"/>
          <w:sz w:val="22"/>
        </w:rPr>
        <w:t>above if it were income of Bidco or any of its Restricted Subsidiaries;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213" w:name="docxtextref2381"/>
      <w:bookmarkEnd w:id="213"/>
      <w:r>
        <w:rPr>
          <w:rFonts w:ascii="Times New Roman;serif" w:hAnsi="Times New Roman;serif"/>
          <w:b w:val="false"/>
          <w:sz w:val="22"/>
        </w:rPr>
        <w:t>(5) 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w:t>
      </w:r>
      <w:r>
        <w:rPr>
          <w:rFonts w:ascii="Times New Roman" w:hAnsi="Times New Roman"/>
          <w:sz w:val="20"/>
        </w:rPr>
        <w:t xml:space="preserve"> </w:t>
      </w:r>
      <w:r>
        <w:rPr>
          <w:rFonts w:ascii="Times New Roman;serif" w:hAnsi="Times New Roman;serif"/>
          <w:b w:val="false"/>
          <w:sz w:val="22"/>
        </w:rPr>
        <w:t>above if it were a loss of Bidco or any of its Restricted Subsidiaries;</w:t>
      </w:r>
    </w:p>
    <w:p>
      <w:pPr>
        <w:pStyle w:val="TextBody"/>
        <w:bidi w:val="0"/>
        <w:spacing w:before="0" w:after="240"/>
        <w:jc w:val="both"/>
        <w:rPr>
          <w:rFonts w:ascii="Times New Roman" w:hAnsi="Times New Roman"/>
          <w:sz w:val="20"/>
        </w:rPr>
      </w:pPr>
      <w:bookmarkStart w:id="214" w:name="docxtextref2391"/>
      <w:bookmarkEnd w:id="214"/>
      <w:r>
        <w:rPr>
          <w:rFonts w:ascii="Times New Roman;serif" w:hAnsi="Times New Roman;serif"/>
          <w:b w:val="false"/>
          <w:sz w:val="22"/>
        </w:rPr>
        <w:t>(6) increased by an amount, with respect to investments recorded using the equity method of accounting or the cost method of accounting and without duplication of any amounts added pursuant to clause (4)</w:t>
      </w:r>
      <w:r>
        <w:rPr>
          <w:rFonts w:ascii="Times New Roman" w:hAnsi="Times New Roman"/>
          <w:sz w:val="20"/>
        </w:rPr>
        <w:t xml:space="preserve"> </w:t>
      </w:r>
      <w:r>
        <w:rPr>
          <w:rFonts w:ascii="Times New Roman;serif" w:hAnsi="Times New Roman;serif"/>
          <w:b w:val="false"/>
          <w:sz w:val="22"/>
        </w:rPr>
        <w:t xml:space="preserve">above, equal to the amount attributable to each such investment that would be added to Consolidated EBITDA pursuant to clause </w:t>
      </w:r>
      <w:bookmarkStart w:id="215" w:name="docxtextref2401"/>
      <w:bookmarkEnd w:id="215"/>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above if instead attributable to Bidco or a Subsidiary, pro-rated according to Bidco’s or the applicable Subsidiary’s percentage ownership in such investment;</w:t>
      </w:r>
    </w:p>
    <w:p>
      <w:pPr>
        <w:pStyle w:val="TextBody"/>
        <w:bidi w:val="0"/>
        <w:spacing w:before="0" w:after="240"/>
        <w:jc w:val="both"/>
        <w:rPr>
          <w:rFonts w:ascii="Times New Roman" w:hAnsi="Times New Roman"/>
          <w:sz w:val="20"/>
        </w:rPr>
      </w:pPr>
      <w:bookmarkStart w:id="216" w:name="docxtextref2411"/>
      <w:bookmarkEnd w:id="216"/>
      <w:r>
        <w:rPr>
          <w:rFonts w:ascii="Times New Roman;serif" w:hAnsi="Times New Roman;serif"/>
          <w:b w:val="false"/>
          <w:sz w:val="22"/>
        </w:rPr>
        <w:t>(7) decreased by an amount, with respect to investments recorded using the equity method of accounting or the cost method of accounting and without duplication of any amounts deducted pursuant to clause (5)</w:t>
      </w:r>
      <w:r>
        <w:rPr>
          <w:rFonts w:ascii="Times New Roman" w:hAnsi="Times New Roman"/>
          <w:sz w:val="20"/>
        </w:rPr>
        <w:t xml:space="preserve"> </w:t>
      </w:r>
      <w:r>
        <w:rPr>
          <w:rFonts w:ascii="Times New Roman;serif" w:hAnsi="Times New Roman;serif"/>
          <w:b w:val="false"/>
          <w:sz w:val="22"/>
        </w:rPr>
        <w:t xml:space="preserve">above, equal to the amount attributable to each such investment that would be deducted from Consolidated EBITDA pursuant to clause </w:t>
      </w:r>
      <w:bookmarkStart w:id="217" w:name="docxtextref2421"/>
      <w:bookmarkEnd w:id="217"/>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above if instead attributable to Bidco or a Subsidiary, pro-rated according to Bidco’s or the applicable Subsidiary’s percentage ownership in such investment;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in each case, as determined on a consolidated basis for such Person in accordance with IFRS;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to the extent included in Consolidated Net Income, there shall be excluded in determining Consolidated EBITDA for any period any adjustments resulting from the application of IFRS 9,</w:t>
      </w:r>
    </w:p>
    <w:p>
      <w:pPr>
        <w:pStyle w:val="TextBody"/>
        <w:bidi w:val="0"/>
        <w:spacing w:before="0" w:after="240"/>
        <w:jc w:val="both"/>
        <w:rPr>
          <w:rFonts w:ascii="Times New Roman" w:hAnsi="Times New Roman"/>
          <w:sz w:val="20"/>
        </w:rPr>
      </w:pPr>
      <w:bookmarkStart w:id="218" w:name="docxtextref2431"/>
      <w:bookmarkEnd w:id="218"/>
      <w:r>
        <w:rPr>
          <w:rFonts w:ascii="Times New Roman;serif" w:hAnsi="Times New Roman;serif"/>
          <w:b w:val="false"/>
          <w:sz w:val="22"/>
        </w:rPr>
        <w:t>(III) there shall be included in determining Consolidated EBITDA for any period, without duplication, (A)</w:t>
      </w:r>
      <w:r>
        <w:rPr>
          <w:rFonts w:ascii="Times New Roman" w:hAnsi="Times New Roman"/>
          <w:sz w:val="20"/>
        </w:rPr>
        <w:t xml:space="preserve"> </w:t>
      </w:r>
      <w:r>
        <w:rPr>
          <w:rFonts w:ascii="Times New Roman;serif" w:hAnsi="Times New Roman;serif"/>
          <w:b w:val="false"/>
          <w:sz w:val="22"/>
        </w:rPr>
        <w:t>to the extent not included in Consolidated Net Income, the Acquired EBITDA of any Person, property, business or asset or attributable to any Person, property, business or asset acquired by Bidco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serif" w:hAnsi="Times New Roman;serif"/>
          <w:b w:val="false"/>
          <w:sz w:val="22"/>
          <w:u w:val="single"/>
        </w:rPr>
        <w:t>Acquired Entity or Business</w:t>
      </w:r>
      <w:r>
        <w:rPr>
          <w:rFonts w:ascii="Times New Roman" w:hAnsi="Times New Roman"/>
          <w:sz w:val="20"/>
        </w:rPr>
        <w:t>”</w:t>
      </w:r>
      <w:r>
        <w:rPr>
          <w:rFonts w:ascii="Times New Roman;serif" w:hAnsi="Times New Roman;serif"/>
          <w:b w:val="false"/>
          <w:sz w:val="22"/>
        </w:rPr>
        <w:t>), and the Acquired EBITDA of any Unrestricted Subsidiary that is converted into a Restricted Subsidiary during such period (each, a “</w:t>
      </w:r>
      <w:r>
        <w:rPr>
          <w:rFonts w:ascii="Times New Roman;serif" w:hAnsi="Times New Roman;serif"/>
          <w:b w:val="false"/>
          <w:sz w:val="22"/>
          <w:u w:val="single"/>
        </w:rPr>
        <w:t>Converted Restricted Subsidiary</w:t>
      </w:r>
      <w:r>
        <w:rPr>
          <w:rFonts w:ascii="Times New Roman" w:hAnsi="Times New Roman"/>
          <w:sz w:val="20"/>
        </w:rPr>
        <w:t>”</w:t>
      </w:r>
      <w:r>
        <w:rPr>
          <w:rFonts w:ascii="Times New Roman;serif" w:hAnsi="Times New Roman;serif"/>
          <w:b w:val="false"/>
          <w:sz w:val="22"/>
        </w:rPr>
        <w:t xml:space="preserve">), in each case based on the Acquired EBITDA of such Pro Forma Entity for such period (including the portion thereof occurring prior to such acquisition or conversion) determined on a historical Pro Forma Basis and </w:t>
      </w:r>
      <w:bookmarkStart w:id="219" w:name="docxtextref2441"/>
      <w:bookmarkEnd w:id="21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Administrative Agent (for further delivery to the Lenders);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with respect to any determination to be made on a Pro Forma Basis, at the election of Bidco, such Acquired EBITDA or such adjustment shall not be required to be included for any Pro Forma Entity to the extent the aggregate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consideration paid in connection with the acquisition of such Acquired Entity or Business or the fair market value of such Converted Restricted Subsidiary, in the aggregate, is less than $375,000,000;</w:t>
      </w:r>
    </w:p>
    <w:p>
      <w:pPr>
        <w:pStyle w:val="TextBody"/>
        <w:bidi w:val="0"/>
        <w:spacing w:before="0" w:after="240"/>
        <w:jc w:val="both"/>
        <w:rPr>
          <w:rFonts w:ascii="Times New Roman" w:hAnsi="Times New Roman"/>
          <w:sz w:val="20"/>
        </w:rPr>
      </w:pPr>
      <w:bookmarkStart w:id="220" w:name="docxtextref2451"/>
      <w:bookmarkEnd w:id="220"/>
      <w:r>
        <w:rPr>
          <w:rFonts w:ascii="Times New Roman;serif" w:hAnsi="Times New Roman;serif"/>
          <w:b w:val="false"/>
          <w:sz w:val="22"/>
        </w:rPr>
        <w:t>(IV) there shall be (A)</w:t>
      </w:r>
      <w:r>
        <w:rPr>
          <w:rFonts w:ascii="Times New Roman" w:hAnsi="Times New Roman"/>
          <w:sz w:val="20"/>
        </w:rPr>
        <w:t xml:space="preserve"> </w:t>
      </w:r>
      <w:r>
        <w:rPr>
          <w:rFonts w:ascii="Times New Roman;serif" w:hAnsi="Times New Roman;serif"/>
          <w:b w:val="false"/>
          <w:sz w:val="22"/>
        </w:rPr>
        <w:t xml:space="preserve">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IFRS (other than </w:t>
      </w:r>
      <w:bookmarkStart w:id="221" w:name="docxtextref2461"/>
      <w:bookmarkEnd w:id="221"/>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if so classified on the basis that it is being held for sale unless such sale has actually occurred during such period and </w:t>
      </w:r>
      <w:bookmarkStart w:id="222" w:name="docxtextref2471"/>
      <w:bookmarkEnd w:id="222"/>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for periods prior to the applicable sale, transfer or other disposition, if the Disposed EBITDA of such Person, property, business or asset is positive (</w:t>
      </w:r>
      <w:r>
        <w:rPr>
          <w:rFonts w:ascii="Times New Roman;serif" w:hAnsi="Times New Roman;serif"/>
          <w:b w:val="false"/>
          <w:sz w:val="22"/>
          <w:u w:val="single"/>
        </w:rPr>
        <w:t>i.e.</w:t>
      </w:r>
      <w:r>
        <w:rPr>
          <w:rFonts w:ascii="Times New Roman;serif" w:hAnsi="Times New Roman;serif"/>
          <w:b w:val="false"/>
          <w:sz w:val="22"/>
        </w:rPr>
        <w:t>, if such Disposed EBITDA is negative, it shall be added back in determining Consolidated EBITDA for any period)) by Bidco or any Restricted Subsidiary during such period (each such Person, property, business or asset so sold, transferred or otherwise disposed of, closed or classified, a “</w:t>
      </w:r>
      <w:r>
        <w:rPr>
          <w:rFonts w:ascii="Times New Roman;serif" w:hAnsi="Times New Roman;serif"/>
          <w:b w:val="false"/>
          <w:sz w:val="22"/>
          <w:u w:val="single"/>
        </w:rPr>
        <w:t>Sold Entity or Business</w:t>
      </w:r>
      <w:r>
        <w:rPr>
          <w:rFonts w:ascii="Times New Roman" w:hAnsi="Times New Roman"/>
          <w:sz w:val="20"/>
        </w:rPr>
        <w:t>”</w:t>
      </w:r>
      <w:r>
        <w:rPr>
          <w:rFonts w:ascii="Times New Roman;serif" w:hAnsi="Times New Roman;serif"/>
          <w:b w:val="false"/>
          <w:sz w:val="22"/>
        </w:rPr>
        <w:t>), and the Disposed EBITDA of any Restricted Subsidiary that is converted into an Unrestricted Subsidiary during such period (each, a “</w:t>
      </w:r>
      <w:r>
        <w:rPr>
          <w:rFonts w:ascii="Times New Roman;serif" w:hAnsi="Times New Roman;serif"/>
          <w:b w:val="false"/>
          <w:sz w:val="22"/>
          <w:u w:val="single"/>
        </w:rPr>
        <w:t>Converted Unrestricted Subsidiary</w:t>
      </w:r>
      <w:r>
        <w:rPr>
          <w:rFonts w:ascii="Times New Roman" w:hAnsi="Times New Roman"/>
          <w:sz w:val="20"/>
        </w:rPr>
        <w:t>”</w:t>
      </w:r>
      <w:r>
        <w:rPr>
          <w:rFonts w:ascii="Times New Roman;serif" w:hAnsi="Times New Roman;serif"/>
          <w:b w:val="false"/>
          <w:sz w:val="22"/>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w:t>
      </w:r>
      <w:bookmarkStart w:id="223" w:name="docxtextref2481"/>
      <w:bookmarkEnd w:id="22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to the extent included in Consolidated Net Income, there shall be excluded in determining Consolidated EBITDA any expense (or income) as a result of adjustments recorded to contingent consideration liabilities relating to the Transactions or any Permitted Acquisition (or other Investment not prohibited under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Notwithstanding the foregoing, Consolidated EBITDA shall be deemed to equal (a) $189.95 million for the fiscal quarter ended September 30, 2018, (b) $174.05 million for the fiscal quarter ended December 31, 2018, (c) $188.85 million for the fiscal quarter ended March 31, 2019 and (d) $200.60 million for the fiscal quarter ended June 30, 2019 (it being understood that such amounts are subject to adjustments, as and to the extent otherwise contemplated in this Agreement, in connection with any Pro Forma Adjustment or any calculation on a Pro Forma Basis);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amounts of Consolidated EBITDA for any such fiscal quarter shall be adjusted to include, without duplication, any cost savings that would otherwise be included pursuant to clause (1)(i) of this definition.</w:t>
      </w:r>
    </w:p>
    <w:p>
      <w:pPr>
        <w:pStyle w:val="TextBody"/>
        <w:bidi w:val="0"/>
        <w:spacing w:before="0" w:after="240"/>
        <w:jc w:val="both"/>
        <w:rPr/>
      </w:pPr>
      <w:r>
        <w:rPr/>
        <w:t>“</w:t>
      </w:r>
      <w:r>
        <w:rPr>
          <w:rFonts w:ascii="Times New Roman;serif" w:hAnsi="Times New Roman;serif"/>
          <w:b w:val="false"/>
          <w:sz w:val="22"/>
          <w:u w:val="single"/>
        </w:rPr>
        <w:t>Consolidated Interest Expense</w:t>
      </w:r>
      <w:r>
        <w:rPr>
          <w:rFonts w:ascii="Times New Roman" w:hAnsi="Times New Roman"/>
          <w:sz w:val="20"/>
        </w:rPr>
        <w:t xml:space="preserve">” </w:t>
      </w:r>
      <w:r>
        <w:rPr>
          <w:rFonts w:ascii="Times New Roman;serif" w:hAnsi="Times New Roman;serif"/>
          <w:b w:val="false"/>
          <w:sz w:val="22"/>
        </w:rPr>
        <w:t>means, with respect to any Person for any period, without duplication:</w:t>
      </w:r>
    </w:p>
    <w:p>
      <w:pPr>
        <w:pStyle w:val="TextBody"/>
        <w:bidi w:val="0"/>
        <w:spacing w:before="0" w:after="240"/>
        <w:jc w:val="both"/>
        <w:rPr>
          <w:rFonts w:ascii="Times New Roman" w:hAnsi="Times New Roman"/>
          <w:sz w:val="20"/>
        </w:rPr>
      </w:pPr>
      <w:bookmarkStart w:id="224" w:name="docxtextref253"/>
      <w:bookmarkEnd w:id="224"/>
      <w:r>
        <w:rPr>
          <w:rFonts w:ascii="Times New Roman;serif" w:hAnsi="Times New Roman;serif"/>
          <w:b w:val="false"/>
          <w:sz w:val="22"/>
        </w:rPr>
        <w:t>(1) consolidated interest expense of such Person and its Restricted Subsidiaries for such period, to the extent such expense was deducted (and not added back) in computing Consolidated Net Income (including (i)</w:t>
      </w:r>
      <w:r>
        <w:rPr>
          <w:rFonts w:ascii="Times New Roman" w:hAnsi="Times New Roman"/>
          <w:sz w:val="20"/>
        </w:rPr>
        <w:t xml:space="preserve"> </w:t>
      </w:r>
      <w:r>
        <w:rPr>
          <w:rFonts w:ascii="Times New Roman;serif" w:hAnsi="Times New Roman;serif"/>
          <w:b w:val="false"/>
          <w:sz w:val="22"/>
        </w:rPr>
        <w:t xml:space="preserve">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IFRS), (iv) the interest component of Capitalized Lease Obligations, and </w:t>
      </w:r>
      <w:bookmarkStart w:id="225" w:name="docxtextref254"/>
      <w:bookmarkEnd w:id="225"/>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net payments, if any, pursuant to interest rate Hedging Obligations with respect to Indebtedness, and excluding </w:t>
      </w:r>
      <w:bookmarkStart w:id="226" w:name="docxtextref255"/>
      <w:bookmarkEnd w:id="226"/>
      <w:r>
        <w:rPr>
          <w:rFonts w:ascii="Times New Roman;serif" w:hAnsi="Times New Roman;serif"/>
          <w:b w:val="false"/>
          <w:sz w:val="22"/>
        </w:rPr>
        <w:t>(o)</w:t>
      </w:r>
      <w:r>
        <w:rPr>
          <w:rFonts w:ascii="Times New Roman" w:hAnsi="Times New Roman"/>
          <w:sz w:val="20"/>
        </w:rPr>
        <w:t xml:space="preserve"> </w:t>
      </w:r>
      <w:r>
        <w:rPr>
          <w:rFonts w:ascii="Times New Roman;serif" w:hAnsi="Times New Roman;serif"/>
          <w:b w:val="false"/>
          <w:sz w:val="22"/>
        </w:rPr>
        <w:t>all non-recurring cash interest expense consisting of liquidated damages for failure to timely comply with registration rights obligations,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227" w:name="docxtextref256"/>
      <w:bookmarkEnd w:id="227"/>
      <w:r>
        <w:rPr>
          <w:rFonts w:ascii="Times New Roman;serif" w:hAnsi="Times New Roman;serif"/>
          <w:b w:val="false"/>
          <w:sz w:val="22"/>
        </w:rPr>
        <w:t>(p)</w:t>
      </w:r>
      <w:r>
        <w:rPr>
          <w:rFonts w:ascii="Times New Roman" w:hAnsi="Times New Roman"/>
          <w:sz w:val="20"/>
        </w:rPr>
        <w:t xml:space="preserve"> </w:t>
      </w:r>
      <w:r>
        <w:rPr>
          <w:rFonts w:ascii="Times New Roman;serif" w:hAnsi="Times New Roman;serif"/>
          <w:b w:val="false"/>
          <w:sz w:val="22"/>
        </w:rPr>
        <w:t xml:space="preserve">any interest expense attributable to the exercise of appraisal rights and the settlement of any claims or actions (whether actual, contingent or potential) with respect thereto and with respect to any Investment, </w:t>
      </w:r>
      <w:bookmarkStart w:id="228" w:name="docxtextref257"/>
      <w:bookmarkEnd w:id="228"/>
      <w:r>
        <w:rPr>
          <w:rFonts w:ascii="Times New Roman;serif" w:hAnsi="Times New Roman;serif"/>
          <w:b w:val="false"/>
          <w:sz w:val="22"/>
        </w:rPr>
        <w:t>(q)</w:t>
      </w:r>
      <w:r>
        <w:rPr>
          <w:rFonts w:ascii="Times New Roman" w:hAnsi="Times New Roman"/>
          <w:sz w:val="20"/>
        </w:rPr>
        <w:t xml:space="preserve"> </w:t>
      </w:r>
      <w:r>
        <w:rPr>
          <w:rFonts w:ascii="Times New Roman;serif" w:hAnsi="Times New Roman;serif"/>
          <w:b w:val="false"/>
          <w:sz w:val="22"/>
        </w:rPr>
        <w:t xml:space="preserve">any prepayment premium or penalty, </w:t>
      </w:r>
      <w:bookmarkStart w:id="229" w:name="docxtextref258"/>
      <w:bookmarkEnd w:id="229"/>
      <w:r>
        <w:rPr>
          <w:rFonts w:ascii="Times New Roman;serif" w:hAnsi="Times New Roman;serif"/>
          <w:b w:val="false"/>
          <w:sz w:val="22"/>
        </w:rPr>
        <w:t>(r)</w:t>
      </w:r>
      <w:r>
        <w:rPr>
          <w:rFonts w:ascii="Times New Roman" w:hAnsi="Times New Roman"/>
          <w:sz w:val="20"/>
        </w:rPr>
        <w:t xml:space="preserve"> </w:t>
      </w:r>
      <w:r>
        <w:rPr>
          <w:rFonts w:ascii="Times New Roman;serif" w:hAnsi="Times New Roman;serif"/>
          <w:b w:val="false"/>
          <w:sz w:val="22"/>
        </w:rPr>
        <w:t xml:space="preserve">costs associated with obtaining Hedging Obligations and breakage costs in respect of Hedging Obligations related to interest rates, </w:t>
      </w:r>
      <w:bookmarkStart w:id="230" w:name="docxtextref259"/>
      <w:bookmarkEnd w:id="230"/>
      <w:r>
        <w:rPr>
          <w:rFonts w:ascii="Times New Roman;serif" w:hAnsi="Times New Roman;serif"/>
          <w:b w:val="false"/>
          <w:sz w:val="22"/>
        </w:rPr>
        <w:t>(s)</w:t>
      </w:r>
      <w:r>
        <w:rPr>
          <w:rFonts w:ascii="Times New Roman" w:hAnsi="Times New Roman"/>
          <w:sz w:val="20"/>
        </w:rPr>
        <w:t xml:space="preserve"> </w:t>
      </w:r>
      <w:r>
        <w:rPr>
          <w:rFonts w:ascii="Times New Roman;serif" w:hAnsi="Times New Roman;serif"/>
          <w:b w:val="false"/>
          <w:sz w:val="22"/>
        </w:rPr>
        <w:t xml:space="preserve">any accretion of accrued interest on discounted liabilities (other than Indebtedness except to the extent arising from the application of purchase accounting), </w:t>
      </w:r>
      <w:bookmarkStart w:id="231" w:name="docxtextref260"/>
      <w:bookmarkEnd w:id="231"/>
      <w:r>
        <w:rPr>
          <w:rFonts w:ascii="Times New Roman;serif" w:hAnsi="Times New Roman;serif"/>
          <w:b w:val="false"/>
          <w:sz w:val="22"/>
        </w:rPr>
        <w:t>(t)</w:t>
      </w:r>
      <w:r>
        <w:rPr>
          <w:rFonts w:ascii="Times New Roman" w:hAnsi="Times New Roman"/>
          <w:sz w:val="20"/>
        </w:rPr>
        <w:t xml:space="preserve"> </w:t>
      </w:r>
      <w:r>
        <w:rPr>
          <w:rFonts w:ascii="Times New Roman;serif" w:hAnsi="Times New Roman;serif"/>
          <w:b w:val="false"/>
          <w:sz w:val="22"/>
        </w:rPr>
        <w:t xml:space="preserve">penalties and interest relating to Taxes, </w:t>
      </w:r>
      <w:bookmarkStart w:id="232" w:name="docxtextref261"/>
      <w:bookmarkEnd w:id="232"/>
      <w:r>
        <w:rPr>
          <w:rFonts w:ascii="Times New Roman;serif" w:hAnsi="Times New Roman;serif"/>
          <w:b w:val="false"/>
          <w:sz w:val="22"/>
        </w:rPr>
        <w:t>(u)</w:t>
      </w:r>
      <w:r>
        <w:rPr>
          <w:rFonts w:ascii="Times New Roman" w:hAnsi="Times New Roman"/>
          <w:sz w:val="20"/>
        </w:rPr>
        <w:t xml:space="preserve"> </w:t>
      </w:r>
      <w:r>
        <w:rPr>
          <w:rFonts w:ascii="Times New Roman;serif" w:hAnsi="Times New Roman;serif"/>
          <w:b w:val="false"/>
          <w:sz w:val="22"/>
        </w:rPr>
        <w:t xml:space="preserve">accretion or accrual of discounted liabilities not constituting Indebtedness, </w:t>
      </w:r>
      <w:bookmarkStart w:id="233" w:name="docxtextref262"/>
      <w:bookmarkEnd w:id="233"/>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any expense resulting from the discounting of Indebtedness in connection with the application of recapitalization or purchase accounting, </w:t>
      </w:r>
      <w:bookmarkStart w:id="234" w:name="docxtextref263"/>
      <w:bookmarkEnd w:id="234"/>
      <w:r>
        <w:rPr>
          <w:rFonts w:ascii="Times New Roman;serif" w:hAnsi="Times New Roman;serif"/>
          <w:b w:val="false"/>
          <w:sz w:val="22"/>
        </w:rPr>
        <w:t>(w)</w:t>
      </w:r>
      <w:r>
        <w:rPr>
          <w:rFonts w:ascii="Times New Roman" w:hAnsi="Times New Roman"/>
          <w:sz w:val="20"/>
        </w:rPr>
        <w:t xml:space="preserve"> </w:t>
      </w:r>
      <w:r>
        <w:rPr>
          <w:rFonts w:ascii="Times New Roman;serif" w:hAnsi="Times New Roman;serif"/>
          <w:b w:val="false"/>
          <w:sz w:val="22"/>
        </w:rPr>
        <w:t xml:space="preserve">any “additional interest” with respect to debt securities, </w:t>
      </w:r>
      <w:bookmarkStart w:id="235" w:name="docxtextref264"/>
      <w:bookmarkEnd w:id="23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[reserved], </w:t>
      </w:r>
      <w:bookmarkStart w:id="236" w:name="docxtextref265"/>
      <w:bookmarkEnd w:id="23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any amortization or expensing of bridge, commitment and other financing fees and </w:t>
      </w:r>
      <w:bookmarkStart w:id="237" w:name="docxtextref266"/>
      <w:bookmarkEnd w:id="237"/>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commissions, discounts, yield and other fees and charges (including any interest expense) related to any Receivables Facility;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(2) consolidated capitalized interest of such Person and its Restricted Subsidiaries for such period, whether paid or accrued; </w:t>
      </w:r>
      <w:r>
        <w:rPr>
          <w:rFonts w:ascii="Times New Roman;serif" w:hAnsi="Times New Roman;serif"/>
          <w:b w:val="false"/>
          <w:sz w:val="22"/>
          <w:u w:val="single"/>
        </w:rPr>
        <w:t>less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interest income for such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For purposes of this definition, interest on a Capitalized Lease Obligation shall be deemed to accrue at an interest rate reasonably determined by such Person to be the rate of interest implicit in such Capitalized Lease Obligation in accordance with IFRS.</w:t>
      </w:r>
    </w:p>
    <w:p>
      <w:pPr>
        <w:pStyle w:val="TextBody"/>
        <w:bidi w:val="0"/>
        <w:spacing w:before="0" w:after="240"/>
        <w:jc w:val="both"/>
        <w:rPr/>
      </w:pPr>
      <w:r>
        <w:rPr/>
        <w:t>“</w:t>
      </w:r>
      <w:r>
        <w:rPr>
          <w:rFonts w:ascii="Times New Roman;serif" w:hAnsi="Times New Roman;serif"/>
          <w:b w:val="false"/>
          <w:sz w:val="22"/>
          <w:u w:val="single"/>
        </w:rPr>
        <w:t>Consolidated Net Income</w:t>
      </w:r>
      <w:r>
        <w:rPr>
          <w:rFonts w:ascii="Times New Roman" w:hAnsi="Times New Roman"/>
          <w:sz w:val="20"/>
        </w:rPr>
        <w:t xml:space="preserve">” </w:t>
      </w:r>
      <w:r>
        <w:rPr>
          <w:rFonts w:ascii="Times New Roman;serif" w:hAnsi="Times New Roman;serif"/>
          <w:b w:val="false"/>
          <w:sz w:val="22"/>
        </w:rPr>
        <w:t xml:space="preserve">means, with respect to any Person for any period, the aggregate of the Net Income, of such Person and its Restricted Subsidiaries for such period, on a consolidated basis, and otherwise determined in accordance with IFRS;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without duplication,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any extraordinary, non-recurring or unusual gains or losses (less all fees and expenses relating thereto) or expenses (including the Transaction Costs or any multi-year strategic cost-saving initiatives, any unusual or non-recurring operating expenses directly attributable to the implementation of cost savings initiatives and any accruals or reserves in respect of any extraordinary, non-recurring or unusual items), severance, relocation costs, integration and facilities’ opening costs and other business optimization expenses (including related to new product introductions), recruiting fees, restructuring charges, accruals or reserves (including restructuring and integration costs related to acquisitions after the Effective Date and adjustments to existing reserves), whether or not classified as restructuring expense on the consolidated financial statements,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the cumulative effect of a change in accounting principles during such period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any income (loss) from disposed, abandoned or discontinued operations and any gains or losses on disposal of disposed, abandoned or discontinued operations shall be excluded (but if such operations are classified as discontinued due to the fact that they are subject to an agreement to dispose of such operations, only when and to the extent such operations are actually disposed 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(4) any gains or losses (less all fees and expenses relating thereto) attributable to asset dispositions, disposals or abandonments other than in the ordinary course of business, as determined in good faith by Bidco, shall be excluded;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(5) the Net Income for such period of any Person that is an Unrestricted Subsidiary, or any Person that is not a Subsidiary or that is accounted for by the equity method of accounting, shall be excluded;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w:t>
      </w:r>
    </w:p>
    <w:p>
      <w:pPr>
        <w:pStyle w:val="TextBody"/>
        <w:bidi w:val="0"/>
        <w:spacing w:before="0" w:after="240"/>
        <w:jc w:val="both"/>
        <w:rPr>
          <w:rFonts w:ascii="Times New Roman" w:hAnsi="Times New Roman"/>
          <w:sz w:val="20"/>
        </w:rPr>
      </w:pPr>
      <w:bookmarkStart w:id="238" w:name="docxtextref269"/>
      <w:bookmarkEnd w:id="238"/>
      <w:r>
        <w:rPr>
          <w:rFonts w:ascii="Times New Roman;serif" w:hAnsi="Times New Roman;serif"/>
          <w:b w:val="false"/>
          <w:sz w:val="22"/>
        </w:rPr>
        <w:t xml:space="preserve">(6) solely for the purpose of determining the amount available for Restricted Payments under </w:t>
      </w:r>
      <w:r>
        <w:rPr>
          <w:rFonts w:ascii="Times New Roman;serif" w:hAnsi="Times New Roman;serif"/>
          <w:b w:val="false"/>
          <w:sz w:val="22"/>
          <w:u w:val="single"/>
        </w:rPr>
        <w:t>Section 6.05(a)(A)(1)</w:t>
      </w:r>
      <w:r>
        <w:rPr>
          <w:rFonts w:ascii="Times New Roman" w:hAnsi="Times New Roman"/>
          <w:sz w:val="20"/>
        </w:rPr>
        <w:t xml:space="preserve"> </w:t>
      </w:r>
      <w:r>
        <w:rPr>
          <w:rFonts w:ascii="Times New Roman;serif" w:hAnsi="Times New Roman;serif"/>
          <w:b w:val="false"/>
          <w:sz w:val="22"/>
        </w:rPr>
        <w:t>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w:t>
      </w:r>
      <w:r>
        <w:rPr>
          <w:rFonts w:ascii="Times New Roman" w:hAnsi="Times New Roman"/>
          <w:sz w:val="20"/>
        </w:rPr>
        <w:t xml:space="preserve"> </w:t>
      </w:r>
      <w:r>
        <w:rPr>
          <w:rFonts w:ascii="Times New Roman;serif" w:hAnsi="Times New Roman;serif"/>
          <w:b w:val="false"/>
          <w:sz w:val="22"/>
        </w:rPr>
        <w:t xml:space="preserve">restrictions that have been waived or otherwise released, </w:t>
      </w:r>
      <w:bookmarkStart w:id="239" w:name="docxtextref270"/>
      <w:bookmarkEnd w:id="23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restrictions pursuant to the Loan Documents or this Agreement and </w:t>
      </w:r>
      <w:bookmarkStart w:id="240" w:name="docxtextref271"/>
      <w:bookmarkEnd w:id="24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restrictions specified in clause (xviii) of </w:t>
      </w:r>
      <w:r>
        <w:rPr>
          <w:rFonts w:ascii="Times New Roman;serif" w:hAnsi="Times New Roman;serif"/>
          <w:b w:val="false"/>
          <w:sz w:val="22"/>
          <w:u w:val="single"/>
        </w:rPr>
        <w:t>Section 6.06(b)</w:t>
      </w:r>
      <w:r>
        <w:rPr>
          <w:rFonts w:ascii="Times New Roman" w:hAnsi="Times New Roman"/>
          <w:sz w:val="20"/>
        </w:rPr>
        <w:t xml:space="preserve"> </w:t>
      </w:r>
      <w:r>
        <w:rPr>
          <w:rFonts w:ascii="Times New Roman;serif" w:hAnsi="Times New Roman;serif"/>
          <w:b w:val="false"/>
          <w:sz w:val="22"/>
        </w:rPr>
        <w:t xml:space="preserve">hereof,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Consolidated Net Income of Bidco shall be increased by the amount of dividends or other distributions or other payments actually paid in cash (or to the extent converted into cash) or Cash Equivalents to Bidco or a Restricted Subsidiary thereof in respect of such period, to the extent not already included therein;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(7) effects of adjustments (including the effects of such adjustments pushed down to Bidco and its Restricted Subsidiaries) in the inventory, property and equipment, software, goodwill, other intangible assets, in-process research and development, deferred revenue, debt line items and other non-cash charges in such Person’s consolidated financial statements pursuant to IFRS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w:t>
      </w:r>
    </w:p>
    <w:p>
      <w:pPr>
        <w:pStyle w:val="TextBody"/>
        <w:bidi w:val="0"/>
        <w:spacing w:before="0" w:after="240"/>
        <w:jc w:val="both"/>
        <w:rPr>
          <w:rFonts w:ascii="Times New Roman" w:hAnsi="Times New Roman"/>
          <w:sz w:val="20"/>
        </w:rPr>
      </w:pPr>
      <w:bookmarkStart w:id="241" w:name="docxtextref272"/>
      <w:bookmarkEnd w:id="241"/>
      <w:r>
        <w:rPr>
          <w:rFonts w:ascii="Times New Roman;serif" w:hAnsi="Times New Roman;serif"/>
          <w:b w:val="false"/>
          <w:sz w:val="22"/>
        </w:rPr>
        <w:t>(8) any income (loss) from the early extinguishment or conversion of (a)</w:t>
      </w:r>
      <w:r>
        <w:rPr>
          <w:rFonts w:ascii="Times New Roman" w:hAnsi="Times New Roman"/>
          <w:sz w:val="20"/>
        </w:rPr>
        <w:t xml:space="preserve"> </w:t>
      </w:r>
      <w:r>
        <w:rPr>
          <w:rFonts w:ascii="Times New Roman;serif" w:hAnsi="Times New Roman;serif"/>
          <w:b w:val="false"/>
          <w:sz w:val="22"/>
        </w:rPr>
        <w:t xml:space="preserve">Indebtedness, </w:t>
      </w:r>
      <w:bookmarkStart w:id="242" w:name="docxtextref273"/>
      <w:bookmarkEnd w:id="24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Hedging Obligations or </w:t>
      </w:r>
      <w:bookmarkStart w:id="243" w:name="docxtextref274"/>
      <w:bookmarkEnd w:id="24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other derivative instruments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(9)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IFRS, and the amortization of intangibles arising pursuant to IFRS shall be excluded;</w:t>
      </w:r>
    </w:p>
    <w:p>
      <w:pPr>
        <w:pStyle w:val="TextBody"/>
        <w:bidi w:val="0"/>
        <w:spacing w:before="0" w:after="240"/>
        <w:jc w:val="both"/>
        <w:rPr>
          <w:rFonts w:ascii="Times New Roman" w:hAnsi="Times New Roman"/>
          <w:sz w:val="20"/>
        </w:rPr>
      </w:pPr>
      <w:bookmarkStart w:id="244" w:name="docxtextref275"/>
      <w:bookmarkEnd w:id="244"/>
      <w:r>
        <w:rPr>
          <w:rFonts w:ascii="Times New Roman;serif" w:hAnsi="Times New Roman;serif"/>
          <w:b w:val="false"/>
          <w:sz w:val="22"/>
        </w:rPr>
        <w:t>(10) (i)</w:t>
      </w:r>
      <w:r>
        <w:rPr>
          <w:rFonts w:ascii="Times New Roman" w:hAnsi="Times New Roman"/>
          <w:sz w:val="20"/>
        </w:rPr>
        <w:t xml:space="preserve"> </w:t>
      </w:r>
      <w:r>
        <w:rPr>
          <w:rFonts w:ascii="Times New Roman;serif" w:hAnsi="Times New Roman;serif"/>
          <w:b w:val="false"/>
          <w:sz w:val="22"/>
        </w:rPr>
        <w:t>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any cash charges associated with the rollover, acceleration or payout of Equity Interests by management of Bidco or any of its direct or indirect parent companies in connection with the Transactions and (iv) the amount of any expense required to be recorded as compensation expense related to contingent transaction consideration shall be excluded;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(11) any fees, expenses (including any transaction or retention bonus or similar payment) or charges incurred during such period, or any amortization thereof for such period, in connection with any acquisition, non-recurring costs to acquire equipment to the extent not capitalized in accordance with IFRS, Investment (including Investments in the form of Recruitment Notes and associated fees and expenses paid to recruiters in connection therewith), recapitalization, asset disposition, non-competition agreement, issuance, incurrence or repayment of Indebtedness (including such fees, expenses or charges related to the offering of the Loans) issuance of Equity Interests, refinancing transaction or amendment or modification of or waiver or consent relating to any debt instrument (including the obligations under this Agreement and the other Loan Documents) and including, in each case, without limitation,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IFRS),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(12) accruals and reserves that are established or adjusted as a result of the Transactions or an Investment permitted under this Agreement in accordance with IFRS (including any adjustment of estimated payouts on earn-outs), or changes as a result of the adoption or modification of accounting policies during such period shall be excluded;</w:t>
      </w:r>
    </w:p>
    <w:p>
      <w:pPr>
        <w:pStyle w:val="TextBody"/>
        <w:bidi w:val="0"/>
        <w:spacing w:before="0" w:after="240"/>
        <w:jc w:val="both"/>
        <w:rPr>
          <w:rFonts w:ascii="Times New Roman" w:hAnsi="Times New Roman"/>
          <w:sz w:val="20"/>
        </w:rPr>
      </w:pPr>
      <w:bookmarkStart w:id="245" w:name="docxtextref276"/>
      <w:bookmarkEnd w:id="245"/>
      <w:r>
        <w:rPr>
          <w:rFonts w:ascii="Times New Roman;serif" w:hAnsi="Times New Roman;serif"/>
          <w:b w:val="false"/>
          <w:sz w:val="22"/>
        </w:rPr>
        <w:t>(13) any expenses, charges, lost profits or losses that are covered by indemnification, insurance or other reimbursement provisions in connection with the Transactions, any investment, acquisition or any sale, conveyance, transfer or other disposition of assets permitted under this Agreement, to the extent actually reimbursed, or, so long as Bidco has made a determination that a reasonable basis exists for indemnification, insurance or reimbursement and only to the extent that such amount is (i)</w:t>
      </w:r>
      <w:r>
        <w:rPr>
          <w:rFonts w:ascii="Times New Roman" w:hAnsi="Times New Roman"/>
          <w:sz w:val="20"/>
        </w:rPr>
        <w:t xml:space="preserve"> </w:t>
      </w:r>
      <w:r>
        <w:rPr>
          <w:rFonts w:ascii="Times New Roman;serif" w:hAnsi="Times New Roman;serif"/>
          <w:b w:val="false"/>
          <w:sz w:val="22"/>
        </w:rPr>
        <w:t>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(14) to the extent covered by insurance and actually reimbursed, or, so long as Bidco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(15) any net pension costs or other post</w:t>
        <w:noBreakHyphen/>
        <w:t>employment benefit costs representing amortization of unrecognized prior service costs, actuarial losses, including amortization of such amounts arising in prior periods, amortization of the unrecognized net obligation (and loss or cost), and any other non</w:t>
        <w:noBreakHyphen/>
        <w:t>cash items of a similar nature,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(16) any Transaction Costs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(17) any income (loss) from Investments recorded using the equity method of accounting (but including any cash dividends or distributions actually received by Bidco or any Restricted Subsidiary in respect of such investment)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(18) the following items shall be excluded: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any non-cash gain or loss (after any offset) attributable to the mark to market movement in the valuation of Hedging Obligations or other derivative instruments pursuant to IFRS 9 or mark to market movement of other financial instruments pursuant to IFRS 9 shall be excluded;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cash payments or receipts relating to transactions realized in a given period shall be taken into account in such period,</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any non-cash gain or loss (after any offset) from currency translation and transaction gains or losses including those related to currency remeasurements of Indebtedness (including any net gain or loss resulting from hedging agreements for currency exchange risk and revaluations of intercompany balances) any other monetary assets and liabilities; and</w:t>
      </w:r>
    </w:p>
    <w:p>
      <w:pPr>
        <w:pStyle w:val="TextBody"/>
        <w:bidi w:val="0"/>
        <w:spacing w:before="0" w:after="240"/>
        <w:jc w:val="both"/>
        <w:rPr>
          <w:rFonts w:ascii="Times New Roman" w:hAnsi="Times New Roman"/>
          <w:sz w:val="20"/>
        </w:rPr>
      </w:pPr>
      <w:r>
        <w:rPr>
          <w:rFonts w:ascii="Times New Roman;serif" w:hAnsi="Times New Roman;serif"/>
          <w:b w:val="false"/>
          <w:sz w:val="22"/>
        </w:rPr>
        <w:t>(19) any non-cash expenses, accruals or reserves related to adjustments to historical tax exposures (</w:t>
      </w:r>
      <w:r>
        <w:rPr>
          <w:rFonts w:ascii="Times New Roman;serif" w:hAnsi="Times New Roman;serif"/>
          <w:b w:val="false"/>
          <w:sz w:val="22"/>
          <w:u w:val="single"/>
        </w:rPr>
        <w:t>provided</w:t>
      </w:r>
      <w:r>
        <w:rPr>
          <w:rFonts w:ascii="Times New Roman;serif" w:hAnsi="Times New Roman;serif"/>
          <w:b w:val="false"/>
          <w:sz w:val="22"/>
        </w:rPr>
        <w:t>, in each case, that the cash payment in respect thereof in such future period shall be subtracted from Consolidated Net Income for the period in which such cash payment was made) shall be excluded.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Notwithstanding the foregoing, for the purpose of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hereof only (other than clause (A)(4) of </w:t>
      </w:r>
      <w:r>
        <w:rPr>
          <w:rFonts w:ascii="Times New Roman;serif" w:hAnsi="Times New Roman;serif"/>
          <w:b w:val="false"/>
          <w:sz w:val="22"/>
          <w:u w:val="single"/>
        </w:rPr>
        <w:t>Section 6.05(a)</w:t>
      </w:r>
      <w:r>
        <w:rPr>
          <w:rFonts w:ascii="Times New Roman;serif" w:hAnsi="Times New Roman;serif"/>
          <w:b w:val="false"/>
          <w:sz w:val="22"/>
        </w:rPr>
        <w:t xml:space="preserve">), there shall be excluded from Consolidated Net Income any income arising from any sale or other disposition of Restricted Investments made by Bidco and its Restricted Subsidiaries, any repurchases and redemptions of Restricted Investments from Bidco and its Restricted Subsidiaries, any repayments of loans and advances which constitute Restricted Investments by Bidco or any of its Restricted Subsidiaries, any sale or other disposition of the stock of an Unrestricted Subsidiary or any distribution or dividend from an Unrestricted Subsidiary, in each case only to the extent such amounts increase the amount of Restricted Payments permitted under </w:t>
      </w:r>
      <w:r>
        <w:rPr>
          <w:rFonts w:ascii="Times New Roman;serif" w:hAnsi="Times New Roman;serif"/>
          <w:b w:val="false"/>
          <w:sz w:val="22"/>
          <w:u w:val="single"/>
        </w:rPr>
        <w:t>Section 6.05(a)(A)(4)</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pPr>
      <w:r>
        <w:rPr/>
        <w:t>“</w:t>
      </w:r>
      <w:r>
        <w:rPr>
          <w:rFonts w:ascii="Times New Roman;serif" w:hAnsi="Times New Roman;serif"/>
          <w:b w:val="false"/>
          <w:sz w:val="22"/>
          <w:u w:val="single"/>
        </w:rPr>
        <w:t>Consolidated Senior Secured First Lien Indebtedness</w:t>
      </w:r>
      <w:r>
        <w:rPr>
          <w:rFonts w:ascii="Times New Roman" w:hAnsi="Times New Roman"/>
          <w:sz w:val="20"/>
        </w:rPr>
        <w:t xml:space="preserve">” </w:t>
      </w:r>
      <w:r>
        <w:rPr>
          <w:rFonts w:ascii="Times New Roman;serif" w:hAnsi="Times New Roman;serif"/>
          <w:b w:val="false"/>
          <w:sz w:val="22"/>
        </w:rPr>
        <w:t>means, as of any date of determination, the aggregate amount of Consolidated Total Indebtedness of Bidco and the Loan Parties outstanding on such date that is not subordinated in right of payment to the Loan Document Obligations and that is secured by a Lien on the Collateral on an equal priority basis with Liens on the Collateral securing the Loan Document Obligations (including, for avoidance of doubt, the Loan Document Obligations), determined on a consolidated basis in accordance with IFRS.</w:t>
      </w:r>
    </w:p>
    <w:p>
      <w:pPr>
        <w:pStyle w:val="TextBody"/>
        <w:bidi w:val="0"/>
        <w:spacing w:before="0" w:after="240"/>
        <w:jc w:val="both"/>
        <w:rPr/>
      </w:pPr>
      <w:r>
        <w:rPr/>
        <w:t>“</w:t>
      </w:r>
      <w:r>
        <w:rPr>
          <w:rFonts w:ascii="Times New Roman;serif" w:hAnsi="Times New Roman;serif"/>
          <w:b w:val="false"/>
          <w:sz w:val="22"/>
          <w:u w:val="single"/>
        </w:rPr>
        <w:t>Consolidated Senior Secured Indebtedness</w:t>
      </w:r>
      <w:r>
        <w:rPr>
          <w:rFonts w:ascii="Times New Roman" w:hAnsi="Times New Roman"/>
          <w:sz w:val="20"/>
        </w:rPr>
        <w:t xml:space="preserve">” </w:t>
      </w:r>
      <w:r>
        <w:rPr>
          <w:rFonts w:ascii="Times New Roman;serif" w:hAnsi="Times New Roman;serif"/>
          <w:b w:val="false"/>
          <w:sz w:val="22"/>
        </w:rPr>
        <w:t>means, as of any date of determination, the aggregate amount of Consolidated Total Indebtedness of Bidco and the Loan Parties outstanding on such date that is not subordinated in right of payment to the Loan Document Obligations and that is secured by a Lien on the Collateral, determined on a consolidated basis in accordance with IFRS.</w:t>
      </w:r>
    </w:p>
    <w:p>
      <w:pPr>
        <w:pStyle w:val="TextBody"/>
        <w:bidi w:val="0"/>
        <w:spacing w:before="0" w:after="240"/>
        <w:jc w:val="both"/>
        <w:rPr/>
      </w:pPr>
      <w:r>
        <w:rPr/>
        <w:t>“</w:t>
      </w:r>
      <w:r>
        <w:rPr>
          <w:rFonts w:ascii="Times New Roman;serif" w:hAnsi="Times New Roman;serif"/>
          <w:b w:val="false"/>
          <w:sz w:val="22"/>
          <w:u w:val="single"/>
        </w:rPr>
        <w:t>Consolidated Total Indebtedness</w:t>
      </w:r>
      <w:r>
        <w:rPr>
          <w:rFonts w:ascii="Times New Roman" w:hAnsi="Times New Roman"/>
          <w:sz w:val="20"/>
        </w:rPr>
        <w:t xml:space="preserve">” </w:t>
      </w:r>
      <w:r>
        <w:rPr>
          <w:rFonts w:ascii="Times New Roman;serif" w:hAnsi="Times New Roman;serif"/>
          <w:b w:val="false"/>
          <w:sz w:val="22"/>
        </w:rPr>
        <w:t>means, as of any date of determination, the aggregate amount of Indebtedness of Bidco and the Restricted Subsidiaries outstanding on such date, determined on a consolidated basis in accordance with IFRS (but excluding the effects of any discounting of Indebtedness resulting from the application of the acquisition method accounting in connection with the Transactions or any Permitted Acquisition (or other Investment not prohibited hereunder)) and consisting only of Indebtedness for borrowed money, drawn obligations under letters of credit that have not been reimbursed after two (2) Business Days, Capitalized Lease Obligations and debt obligations evidenced by promissory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notes or similar instruments, but excluding any obligations under or in respect of Receivables Facilities and excluding outstanding Revolving Loans used to finance seasonal working capital needs of Bidco and its Subsidiaries (as reasonably determined by Bidco in its reasonable discretion), </w:t>
      </w:r>
      <w:r>
        <w:rPr>
          <w:rFonts w:ascii="Times New Roman;serif" w:hAnsi="Times New Roman;serif"/>
          <w:b w:val="false"/>
          <w:sz w:val="22"/>
          <w:u w:val="single"/>
        </w:rPr>
        <w:t>minus</w:t>
      </w:r>
      <w:r>
        <w:rPr>
          <w:rFonts w:ascii="Times New Roman" w:hAnsi="Times New Roman"/>
          <w:sz w:val="20"/>
        </w:rPr>
        <w:t xml:space="preserve"> </w:t>
      </w:r>
      <w:r>
        <w:rPr>
          <w:rFonts w:ascii="Times New Roman;serif" w:hAnsi="Times New Roman;serif"/>
          <w:b w:val="false"/>
          <w:sz w:val="22"/>
        </w:rPr>
        <w:t xml:space="preserve">the aggregate amount of cash and Cash Equivalents (in each case, free and clear of all liens, other than Liens permitted pursuant to </w:t>
      </w:r>
      <w:r>
        <w:rPr>
          <w:rFonts w:ascii="Times New Roman;serif" w:hAnsi="Times New Roman;serif"/>
          <w:b w:val="false"/>
          <w:sz w:val="22"/>
          <w:u w:val="single"/>
        </w:rPr>
        <w:t>Section 6.02</w:t>
      </w:r>
      <w:r>
        <w:rPr>
          <w:rFonts w:ascii="Times New Roman;serif" w:hAnsi="Times New Roman;serif"/>
          <w:b w:val="false"/>
          <w:sz w:val="22"/>
        </w:rPr>
        <w:t xml:space="preserve">), excluding cash and Cash Equivalents that are listed as “restricted” on the consolidated balance sheet of Bidco and the Restricted Subsidiaries as of such date, but including cash and Cash Equivalents subject to a Permitted Lien (which may also secure other Indebtedness secured by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or junior lien on the Collateral along with the Secured Obligations).</w:t>
      </w:r>
    </w:p>
    <w:p>
      <w:pPr>
        <w:pStyle w:val="TextBody"/>
        <w:bidi w:val="0"/>
        <w:spacing w:before="0" w:after="240"/>
        <w:jc w:val="both"/>
        <w:rPr/>
      </w:pPr>
      <w:bookmarkStart w:id="246" w:name="docxtextref284"/>
      <w:bookmarkEnd w:id="246"/>
      <w:r>
        <w:rPr/>
        <w:t>“</w:t>
      </w:r>
      <w:r>
        <w:rPr>
          <w:rFonts w:ascii="Times New Roman;serif" w:hAnsi="Times New Roman;serif"/>
          <w:b w:val="false"/>
          <w:sz w:val="22"/>
          <w:u w:val="single"/>
        </w:rPr>
        <w:t>Consolidated Working Capital</w:t>
      </w:r>
      <w:r>
        <w:rPr>
          <w:rFonts w:ascii="Times New Roman" w:hAnsi="Times New Roman"/>
          <w:sz w:val="20"/>
        </w:rPr>
        <w:t xml:space="preserve">” </w:t>
      </w:r>
      <w:r>
        <w:rPr>
          <w:rFonts w:ascii="Times New Roman;serif" w:hAnsi="Times New Roman;serif"/>
          <w:b w:val="false"/>
          <w:sz w:val="22"/>
        </w:rPr>
        <w:t>means, at any date, the excess of (a)</w:t>
      </w:r>
      <w:r>
        <w:rPr>
          <w:rFonts w:ascii="Times New Roman" w:hAnsi="Times New Roman"/>
          <w:sz w:val="20"/>
        </w:rPr>
        <w:t xml:space="preserve"> </w:t>
      </w:r>
      <w:r>
        <w:rPr>
          <w:rFonts w:ascii="Times New Roman;serif" w:hAnsi="Times New Roman;serif"/>
          <w:b w:val="false"/>
          <w:sz w:val="22"/>
        </w:rPr>
        <w:t xml:space="preserve">the sum of all amounts (other than cash and Cash Equivalents) that would, in conformity with IFRS, be set forth opposite the caption “total current assets” (or any like caption) on a consolidated balance sheet of Bidco and the Restricted Subsidiaries at such date, excluding the current portion of deferred income taxes </w:t>
      </w:r>
      <w:r>
        <w:rPr>
          <w:rFonts w:ascii="Times New Roman;serif" w:hAnsi="Times New Roman;serif"/>
          <w:b w:val="false"/>
          <w:sz w:val="22"/>
          <w:u w:val="single"/>
        </w:rPr>
        <w:t>over</w:t>
      </w:r>
      <w:r>
        <w:rPr>
          <w:rFonts w:ascii="Times New Roman" w:hAnsi="Times New Roman"/>
          <w:sz w:val="20"/>
        </w:rPr>
        <w:t xml:space="preserve"> </w:t>
      </w:r>
      <w:bookmarkStart w:id="247" w:name="docxtextref285"/>
      <w:bookmarkEnd w:id="24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sum of all amounts that would, in conformity with IFRS, be set forth opposite the caption “total current liabilities” (or any like caption) on a consolidated balance sheet of Bidco and the Restricted Subsidiaries on such date, including deferred revenue but excluding, without duplication, </w:t>
      </w:r>
      <w:bookmarkStart w:id="248" w:name="docxtextref286"/>
      <w:bookmarkEnd w:id="24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current portion of any Funded Debt, (ii) all Indebtedness consisting of Loans, Senior Secured Notes and obligations under Letters of Credit to the extent otherwise included therein, (iii) the current portion of interest and (iv) the current portion of current and deferred income taxes;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for purposes of calculating Excess Cash Flow, increases or decreases in working capital </w:t>
      </w:r>
      <w:bookmarkStart w:id="249" w:name="docxtextref287"/>
      <w:bookmarkEnd w:id="249"/>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arising from acquisitions or dispositions by Bidco and the Restricted Subsidiaries shall be measured from the date on which such acquisition or disposition occurred until the first anniversary of such acquisition or disposition with respect to the Person subject to such acquisition or disposition and </w:t>
      </w:r>
      <w:bookmarkStart w:id="250" w:name="docxtextref288"/>
      <w:bookmarkEnd w:id="25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shall exclude </w:t>
      </w:r>
      <w:bookmarkStart w:id="251" w:name="docxtextref289"/>
      <w:bookmarkEnd w:id="25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impact of non-cash adjustments contemplated in the Excess Cash Flow calculation, (II) the impact of adjusting items in the definition of “Consolidated Net Income” and (III) any changes in current assets or current liabilities as a result of </w:t>
      </w:r>
      <w:bookmarkStart w:id="252" w:name="docxtextref290"/>
      <w:bookmarkEnd w:id="25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the effect of fluctuations in the amount of accrued or contingent obligations, assets or liabilities under hedging agreements or other derivative obligations, </w:t>
      </w:r>
      <w:bookmarkStart w:id="253" w:name="docxtextref291"/>
      <w:bookmarkEnd w:id="25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any reclassification in accordance with IFRS of assets or liabilities, as applicable, between current and noncurrent or </w:t>
      </w:r>
      <w:bookmarkStart w:id="254" w:name="docxtextref292"/>
      <w:bookmarkEnd w:id="254"/>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the effects of acquisition method accounting.</w:t>
      </w:r>
    </w:p>
    <w:p>
      <w:pPr>
        <w:pStyle w:val="TextBody"/>
        <w:bidi w:val="0"/>
        <w:spacing w:before="0" w:after="240"/>
        <w:jc w:val="both"/>
        <w:rPr/>
      </w:pPr>
      <w:r>
        <w:rPr/>
        <w:t>“</w:t>
      </w:r>
      <w:r>
        <w:rPr>
          <w:rFonts w:ascii="Times New Roman;serif" w:hAnsi="Times New Roman;serif"/>
          <w:b w:val="false"/>
          <w:sz w:val="22"/>
          <w:u w:val="single"/>
        </w:rPr>
        <w:t>Contingent Obligations</w:t>
      </w:r>
      <w:r>
        <w:rPr>
          <w:rFonts w:ascii="Times New Roman" w:hAnsi="Times New Roman"/>
          <w:sz w:val="20"/>
        </w:rPr>
        <w:t xml:space="preserve">” </w:t>
      </w:r>
      <w:r>
        <w:rPr>
          <w:rFonts w:ascii="Times New Roman;serif" w:hAnsi="Times New Roman;serif"/>
          <w:b w:val="false"/>
          <w:sz w:val="22"/>
        </w:rPr>
        <w:t>means, with respect to any Person, any obligation of such Person guaranteeing any leases, dividends or other obligations that do not constitute Indebtedness (“primary obligations”) of any other Person (the “primary obligor”) in any manner, whether directly or indirectly, including, without limitation, any obligation of such Person, whether or not contingent,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to purchase any such primary obligation or any property constituting direct or indirect security therefor,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to advance or supply funds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for the purchase or payment of any such primary obligation,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to maintain working capital or equity capital of the primary obligor or otherwise to maintain the net worth or solvency of the primary obligor,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240"/>
        <w:jc w:val="both"/>
        <w:rPr/>
      </w:pPr>
      <w:r>
        <w:rPr/>
        <w:t>“</w:t>
      </w:r>
      <w:r>
        <w:rPr>
          <w:rFonts w:ascii="Times New Roman;serif" w:hAnsi="Times New Roman;serif"/>
          <w:b w:val="false"/>
          <w:sz w:val="22"/>
          <w:u w:val="single"/>
        </w:rPr>
        <w:t>Contract Consideration</w:t>
      </w:r>
      <w:r>
        <w:rPr>
          <w:rFonts w:ascii="Times New Roman" w:hAnsi="Times New Roman"/>
          <w:sz w:val="20"/>
        </w:rPr>
        <w:t xml:space="preserve">” </w:t>
      </w:r>
      <w:r>
        <w:rPr>
          <w:rFonts w:ascii="Times New Roman;serif" w:hAnsi="Times New Roman;serif"/>
          <w:b w:val="false"/>
          <w:sz w:val="22"/>
        </w:rPr>
        <w:t>has the meaning assigned to such term in the definition of “Excess Cash Flow”.</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Contributed Holdings Investments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6.05(b)(xv)(I)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Control</w:t>
      </w:r>
      <w:r>
        <w:rPr>
          <w:rFonts w:ascii="Times New Roman" w:hAnsi="Times New Roman"/>
          <w:sz w:val="20"/>
        </w:rPr>
        <w:t xml:space="preserve">” </w:t>
      </w:r>
      <w:r>
        <w:rPr>
          <w:rFonts w:ascii="Times New Roman;serif" w:hAnsi="Times New Roman;serif"/>
          <w:b w:val="false"/>
          <w:sz w:val="22"/>
        </w:rPr>
        <w:t>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serif" w:hAnsi="Times New Roman;serif"/>
          <w:b w:val="false"/>
          <w:sz w:val="22"/>
          <w:u w:val="single"/>
        </w:rPr>
        <w:t>Controlled</w:t>
      </w:r>
      <w:r>
        <w:rPr>
          <w:rFonts w:ascii="Times New Roman" w:hAnsi="Times New Roman"/>
          <w:sz w:val="20"/>
        </w:rPr>
        <w:t xml:space="preserve">” </w:t>
      </w:r>
      <w:r>
        <w:rPr>
          <w:rFonts w:ascii="Times New Roman;serif" w:hAnsi="Times New Roman;serif"/>
          <w:b w:val="false"/>
          <w:sz w:val="22"/>
        </w:rPr>
        <w:t>has the meaning correlative thereto.</w:t>
      </w:r>
    </w:p>
    <w:p>
      <w:pPr>
        <w:pStyle w:val="TextBody"/>
        <w:bidi w:val="0"/>
        <w:spacing w:before="0" w:after="240"/>
        <w:jc w:val="both"/>
        <w:rPr/>
      </w:pPr>
      <w:r>
        <w:rPr/>
        <w:t>“</w:t>
      </w:r>
      <w:r>
        <w:rPr>
          <w:rFonts w:ascii="Times New Roman;serif" w:hAnsi="Times New Roman;serif"/>
          <w:b w:val="false"/>
          <w:sz w:val="22"/>
          <w:u w:val="single"/>
        </w:rPr>
        <w:t>Controlled Investment Affiliate</w:t>
      </w:r>
      <w:r>
        <w:rPr>
          <w:rFonts w:ascii="Times New Roman" w:hAnsi="Times New Roman"/>
          <w:sz w:val="20"/>
        </w:rPr>
        <w:t xml:space="preserve">” </w:t>
      </w:r>
      <w:r>
        <w:rPr>
          <w:rFonts w:ascii="Times New Roman;serif" w:hAnsi="Times New Roman;serif"/>
          <w:b w:val="false"/>
          <w:sz w:val="22"/>
        </w:rPr>
        <w:t>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Bidco and/or other companies.</w:t>
      </w:r>
    </w:p>
    <w:p>
      <w:pPr>
        <w:pStyle w:val="TextBody"/>
        <w:bidi w:val="0"/>
        <w:spacing w:before="0" w:after="240"/>
        <w:jc w:val="both"/>
        <w:rPr/>
      </w:pPr>
      <w:r>
        <w:rPr/>
        <w:t>“</w:t>
      </w:r>
      <w:r>
        <w:rPr>
          <w:rFonts w:ascii="Times New Roman;serif" w:hAnsi="Times New Roman;serif"/>
          <w:b w:val="false"/>
          <w:sz w:val="22"/>
          <w:u w:val="single"/>
        </w:rPr>
        <w:t>Converted Restricted Subsidiary</w:t>
      </w:r>
      <w:r>
        <w:rPr>
          <w:rFonts w:ascii="Times New Roman" w:hAnsi="Times New Roman"/>
          <w:sz w:val="20"/>
        </w:rPr>
        <w:t xml:space="preserve">” </w:t>
      </w:r>
      <w:r>
        <w:rPr>
          <w:rFonts w:ascii="Times New Roman;serif" w:hAnsi="Times New Roman;serif"/>
          <w:b w:val="false"/>
          <w:sz w:val="22"/>
        </w:rPr>
        <w:t>has the meaning given such term in the definition of “Consolidated EBITDA.”</w:t>
      </w:r>
    </w:p>
    <w:p>
      <w:pPr>
        <w:pStyle w:val="TextBody"/>
        <w:bidi w:val="0"/>
        <w:spacing w:before="0" w:after="240"/>
        <w:jc w:val="both"/>
        <w:rPr/>
      </w:pPr>
      <w:r>
        <w:rPr/>
        <w:t>“</w:t>
      </w:r>
      <w:r>
        <w:rPr>
          <w:rFonts w:ascii="Times New Roman;serif" w:hAnsi="Times New Roman;serif"/>
          <w:b w:val="false"/>
          <w:sz w:val="22"/>
          <w:u w:val="single"/>
        </w:rPr>
        <w:t>Converted Unrestricted Subsidiary</w:t>
      </w:r>
      <w:r>
        <w:rPr>
          <w:rFonts w:ascii="Times New Roman" w:hAnsi="Times New Roman"/>
          <w:sz w:val="20"/>
        </w:rPr>
        <w:t xml:space="preserve">” </w:t>
      </w:r>
      <w:r>
        <w:rPr>
          <w:rFonts w:ascii="Times New Roman;serif" w:hAnsi="Times New Roman;serif"/>
          <w:b w:val="false"/>
          <w:sz w:val="22"/>
        </w:rPr>
        <w:t>has the meaning given such term in the definition of “Consolidated EBITDA.”</w:t>
      </w:r>
    </w:p>
    <w:p>
      <w:pPr>
        <w:pStyle w:val="TextBody"/>
        <w:bidi w:val="0"/>
        <w:spacing w:before="0" w:after="240"/>
        <w:jc w:val="both"/>
        <w:rPr/>
      </w:pPr>
      <w:r>
        <w:rPr/>
        <w:t>“</w:t>
      </w:r>
      <w:r>
        <w:rPr>
          <w:rFonts w:ascii="Times New Roman;serif" w:hAnsi="Times New Roman;serif"/>
          <w:b w:val="false"/>
          <w:sz w:val="22"/>
          <w:u w:val="single"/>
        </w:rPr>
        <w:t>Convertible Bonds</w:t>
      </w:r>
      <w:r>
        <w:rPr>
          <w:rFonts w:ascii="Times New Roman" w:hAnsi="Times New Roman"/>
          <w:sz w:val="20"/>
        </w:rPr>
        <w:t xml:space="preserve">” </w:t>
      </w:r>
      <w:r>
        <w:rPr>
          <w:rFonts w:ascii="Times New Roman;serif" w:hAnsi="Times New Roman;serif"/>
          <w:b w:val="false"/>
          <w:sz w:val="22"/>
        </w:rPr>
        <w:t>means the $650,000,000 3.875% convertible bonds due 2023 issued by Inmarsat Group Holdings Limited (f/k/a Inmarsat plc).</w:t>
      </w:r>
    </w:p>
    <w:p>
      <w:pPr>
        <w:pStyle w:val="TextBody"/>
        <w:bidi w:val="0"/>
        <w:spacing w:before="0" w:after="240"/>
        <w:jc w:val="both"/>
        <w:rPr/>
      </w:pPr>
      <w:r>
        <w:rPr/>
        <w:t>“</w:t>
      </w:r>
      <w:r>
        <w:rPr>
          <w:rFonts w:ascii="Times New Roman;serif" w:hAnsi="Times New Roman;serif"/>
          <w:b w:val="false"/>
          <w:sz w:val="22"/>
          <w:u w:val="single"/>
        </w:rPr>
        <w:t>Court Order</w:t>
      </w:r>
      <w:r>
        <w:rPr>
          <w:rFonts w:ascii="Times New Roman" w:hAnsi="Times New Roman"/>
          <w:sz w:val="20"/>
        </w:rPr>
        <w:t xml:space="preserve">” </w:t>
      </w:r>
      <w:r>
        <w:rPr>
          <w:rFonts w:ascii="Times New Roman;serif" w:hAnsi="Times New Roman;serif"/>
          <w:b w:val="false"/>
          <w:sz w:val="22"/>
        </w:rPr>
        <w:t>means the order of the High Court of Justice of England and Wales sanctioning the Scheme.</w:t>
      </w:r>
    </w:p>
    <w:p>
      <w:pPr>
        <w:pStyle w:val="TextBody"/>
        <w:bidi w:val="0"/>
        <w:spacing w:before="0" w:after="240"/>
        <w:jc w:val="both"/>
        <w:rPr/>
      </w:pPr>
      <w:r>
        <w:rPr/>
        <w:t>“</w:t>
      </w:r>
      <w:r>
        <w:rPr>
          <w:rFonts w:ascii="Times New Roman;serif" w:hAnsi="Times New Roman;serif"/>
          <w:b w:val="false"/>
          <w:sz w:val="22"/>
          <w:u w:val="single"/>
        </w:rPr>
        <w:t>Co-operation Agreement</w:t>
      </w:r>
      <w:r>
        <w:rPr>
          <w:rFonts w:ascii="Times New Roman" w:hAnsi="Times New Roman"/>
          <w:sz w:val="20"/>
        </w:rPr>
        <w:t xml:space="preserve">” </w:t>
      </w:r>
      <w:r>
        <w:rPr>
          <w:rFonts w:ascii="Times New Roman;serif" w:hAnsi="Times New Roman;serif"/>
          <w:b w:val="false"/>
          <w:sz w:val="22"/>
        </w:rPr>
        <w:t>means the co-operation agreement, dated as of March 25, 2019, entered into between Bidco and the Company in respect of the Acquisition.</w:t>
      </w:r>
    </w:p>
    <w:p>
      <w:pPr>
        <w:pStyle w:val="TextBody"/>
        <w:bidi w:val="0"/>
        <w:spacing w:before="0" w:after="240"/>
        <w:jc w:val="both"/>
        <w:rPr/>
      </w:pPr>
      <w:bookmarkStart w:id="255" w:name="docxtextref294"/>
      <w:bookmarkEnd w:id="255"/>
      <w:r>
        <w:rPr/>
        <w:t>“</w:t>
      </w:r>
      <w:r>
        <w:rPr>
          <w:rFonts w:ascii="Times New Roman;serif" w:hAnsi="Times New Roman;serif"/>
          <w:b w:val="false"/>
          <w:sz w:val="22"/>
          <w:u w:val="single"/>
        </w:rPr>
        <w:t>Credit Agreement Refinancing Indebtedness</w:t>
      </w:r>
      <w:r>
        <w:rPr>
          <w:rFonts w:ascii="Times New Roman" w:hAnsi="Times New Roman"/>
          <w:sz w:val="20"/>
        </w:rPr>
        <w:t xml:space="preserve">” </w:t>
      </w:r>
      <w:r>
        <w:rPr>
          <w:rFonts w:ascii="Times New Roman;serif" w:hAnsi="Times New Roman;serif"/>
          <w:b w:val="false"/>
          <w:sz w:val="22"/>
        </w:rPr>
        <w:t>means Indebtedness issued, incurred or otherwise obtained (including by means of the extension or renewal of existing Indebtedness) in exchange for, or to extend, renew, replace or refinance, in whole or part, existing Term Loans, Revolving Loans (or unused Revolving Commitments) or Incremental Equivalent Debt (“</w:t>
      </w:r>
      <w:r>
        <w:rPr>
          <w:rFonts w:ascii="Times New Roman;serif" w:hAnsi="Times New Roman;serif"/>
          <w:b w:val="false"/>
          <w:sz w:val="22"/>
          <w:u w:val="single"/>
        </w:rPr>
        <w:t>Refinanced Debt</w:t>
      </w:r>
      <w:r>
        <w:rPr>
          <w:rFonts w:ascii="Times New Roman" w:hAnsi="Times New Roman"/>
          <w:sz w:val="20"/>
        </w:rPr>
        <w:t>”</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exchanging, extending, renewing, replacing or refinancing Indebtedness (a)</w:t>
      </w:r>
      <w:r>
        <w:rPr>
          <w:rFonts w:ascii="Times New Roman" w:hAnsi="Times New Roman"/>
          <w:sz w:val="20"/>
        </w:rPr>
        <w:t xml:space="preserve"> </w:t>
      </w:r>
      <w:r>
        <w:rPr>
          <w:rFonts w:ascii="Times New Roman;serif" w:hAnsi="Times New Roman;serif"/>
          <w:b w:val="false"/>
          <w:sz w:val="22"/>
        </w:rPr>
        <w:t xml:space="preserve">is in an original aggregate principal amount not greater than the aggregate principal amount of the Refinanced Debt (plus any premium, accrued interest and fees and expenses incurred in connection with such exchange, extension, renewal, replacement or refinancing), </w:t>
      </w:r>
      <w:bookmarkStart w:id="256" w:name="docxtextref295"/>
      <w:bookmarkEnd w:id="25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except in the case of any Designated Earlier Maturing Debt,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and does not have a shorter Weighted Average Life to Maturity than the Refinanced Debt), </w:t>
      </w:r>
      <w:bookmarkStart w:id="257" w:name="docxtextref296"/>
      <w:bookmarkEnd w:id="25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shall not be guaranteed by any entity that is not a Loan Party, </w:t>
      </w:r>
      <w:bookmarkStart w:id="258" w:name="docxtextref297"/>
      <w:bookmarkEnd w:id="258"/>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in the case of any secured Indebtedness </w:t>
      </w:r>
      <w:bookmarkStart w:id="259" w:name="docxtextref298"/>
      <w:bookmarkEnd w:id="259"/>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is not secured by any assets not securing the Secured Obligations and (ii) if not comprising Other Term Loans or Other Revolving Commitments hereunder that are secured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the other Secured Obligations, is subject to a Customary Intercreditor Agreement(s) and </w:t>
      </w:r>
      <w:bookmarkStart w:id="260" w:name="docxtextref299"/>
      <w:bookmarkEnd w:id="260"/>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otherwise has terms and conditions that shall be reasonably satisfactory to Bidco and the lenders providing such Credit Agreement Refinancing Indebtedness. Notwithstanding anything to the contrary, no Credit Agreement Refinancing Indebtedness shall be subject to any “most favored nation” pricing adjustments set forth in this Agreement.</w:t>
      </w:r>
    </w:p>
    <w:p>
      <w:pPr>
        <w:pStyle w:val="TextBody"/>
        <w:bidi w:val="0"/>
        <w:spacing w:before="0" w:after="240"/>
        <w:jc w:val="both"/>
        <w:rPr/>
      </w:pPr>
      <w:r>
        <w:rPr/>
        <w:t>“</w:t>
      </w:r>
      <w:r>
        <w:rPr>
          <w:rFonts w:ascii="Times New Roman;serif" w:hAnsi="Times New Roman;serif"/>
          <w:b w:val="false"/>
          <w:sz w:val="22"/>
          <w:u w:val="single"/>
        </w:rPr>
        <w:t>Cure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7.02(a)</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Cure Right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7.02(a)</w:t>
      </w:r>
      <w:r>
        <w:rPr>
          <w:rFonts w:ascii="Times New Roman;serif" w:hAnsi="Times New Roman;serif"/>
          <w:b w:val="false"/>
          <w:sz w:val="22"/>
        </w:rPr>
        <w:t>.</w:t>
      </w:r>
    </w:p>
    <w:p>
      <w:pPr>
        <w:pStyle w:val="TextBody"/>
        <w:bidi w:val="0"/>
        <w:spacing w:before="0" w:after="240"/>
        <w:jc w:val="both"/>
        <w:rPr/>
      </w:pPr>
      <w:bookmarkStart w:id="261" w:name="docxtextref302"/>
      <w:bookmarkEnd w:id="261"/>
      <w:r>
        <w:rPr/>
        <w:t>“</w:t>
      </w:r>
      <w:r>
        <w:rPr>
          <w:rFonts w:ascii="Times New Roman;serif" w:hAnsi="Times New Roman;serif"/>
          <w:b w:val="false"/>
          <w:sz w:val="22"/>
          <w:u w:val="single"/>
        </w:rPr>
        <w:t>Customary Intercreditor Agreement</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to the extent executed in connection with the incurrence of Indebtedness secured by Liens on the Collateral which are intended to rank equal in priority to the Liens on the Collateral securing the Secured Obligations, at the option of Bidco, either </w:t>
      </w:r>
      <w:bookmarkStart w:id="262" w:name="docxtextref303"/>
      <w:bookmarkEnd w:id="26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an intercreditor agreement substantially in the form of the Pari Passu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equal in priority to the Liens on the Collateral securing the Secured Obligations and </w:t>
      </w:r>
      <w:bookmarkStart w:id="263" w:name="docxtextref304"/>
      <w:bookmarkEnd w:id="26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to the extent executed in connection with the incurrence of Indebtedness secured by Liens on the Collateral which are intended to rank junior to the Liens on the Collateral securing the Secured Obligations, at the option of Bidco, either </w:t>
      </w:r>
      <w:bookmarkStart w:id="264" w:name="docxtextref305"/>
      <w:bookmarkEnd w:id="26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an intercreditor agreement substantially in the form of the Second Lien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junior to the Liens on the Collateral securing the Secured Obligations. With regard to any changes in light of prevailing market conditions as set forth above in clause (a)(i) or (b)(i) or with regard to clause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Administrative Agent’s entry into such intercreditor agreement (including with such changes) is reasonable and to have consented to such intercreditor agreement (including with such changes) and to the Administrative Agent’s execution thereof.</w:t>
      </w:r>
    </w:p>
    <w:p>
      <w:pPr>
        <w:pStyle w:val="TextBody"/>
        <w:bidi w:val="0"/>
        <w:spacing w:before="0" w:after="240"/>
        <w:jc w:val="both"/>
        <w:rPr/>
      </w:pPr>
      <w:r>
        <w:rPr/>
        <w:t>“</w:t>
      </w:r>
      <w:r>
        <w:rPr>
          <w:rFonts w:ascii="Times New Roman;serif" w:hAnsi="Times New Roman;serif"/>
          <w:b w:val="false"/>
          <w:sz w:val="22"/>
          <w:u w:val="single"/>
        </w:rPr>
        <w:t>Debtor Relief Laws</w:t>
      </w:r>
      <w:r>
        <w:rPr>
          <w:rFonts w:ascii="Times New Roman" w:hAnsi="Times New Roman"/>
          <w:sz w:val="20"/>
        </w:rPr>
        <w:t xml:space="preserve">” </w:t>
      </w:r>
      <w:r>
        <w:rPr>
          <w:rFonts w:ascii="Times New Roman;serif" w:hAnsi="Times New Roman;serif"/>
          <w:b w:val="false"/>
          <w:sz w:val="22"/>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jc w:val="both"/>
        <w:rPr/>
      </w:pPr>
      <w:r>
        <w:rPr/>
        <w:t>“</w:t>
      </w:r>
      <w:r>
        <w:rPr>
          <w:rFonts w:ascii="Times New Roman;serif" w:hAnsi="Times New Roman;serif"/>
          <w:b w:val="false"/>
          <w:sz w:val="22"/>
          <w:u w:val="single"/>
        </w:rPr>
        <w:t>Default</w:t>
      </w:r>
      <w:r>
        <w:rPr>
          <w:rFonts w:ascii="Times New Roman" w:hAnsi="Times New Roman"/>
          <w:sz w:val="20"/>
        </w:rPr>
        <w:t xml:space="preserve">” </w:t>
      </w:r>
      <w:r>
        <w:rPr>
          <w:rFonts w:ascii="Times New Roman;serif" w:hAnsi="Times New Roman;serif"/>
          <w:b w:val="false"/>
          <w:sz w:val="22"/>
        </w:rPr>
        <w:t>means any event or condition that constitutes an Event of Default or that upon notice, lapse of time or both would, unless cured or waived, become an Event of Default.</w:t>
      </w:r>
    </w:p>
    <w:p>
      <w:pPr>
        <w:pStyle w:val="TextBody"/>
        <w:bidi w:val="0"/>
        <w:spacing w:before="0" w:after="240"/>
        <w:jc w:val="both"/>
        <w:rPr/>
      </w:pPr>
      <w:bookmarkStart w:id="265" w:name="docxtextref307"/>
      <w:bookmarkEnd w:id="265"/>
      <w:r>
        <w:rPr/>
        <w:t>“</w:t>
      </w:r>
      <w:r>
        <w:rPr>
          <w:rFonts w:ascii="Times New Roman;serif" w:hAnsi="Times New Roman;serif"/>
          <w:b w:val="false"/>
          <w:sz w:val="22"/>
          <w:u w:val="single"/>
        </w:rPr>
        <w:t>Defaulting Lender</w:t>
      </w:r>
      <w:r>
        <w:rPr>
          <w:rFonts w:ascii="Times New Roman" w:hAnsi="Times New Roman"/>
          <w:sz w:val="20"/>
        </w:rPr>
        <w:t xml:space="preserve">” </w:t>
      </w:r>
      <w:r>
        <w:rPr>
          <w:rFonts w:ascii="Times New Roman;serif" w:hAnsi="Times New Roman;serif"/>
          <w:b w:val="false"/>
          <w:sz w:val="22"/>
        </w:rPr>
        <w:t xml:space="preserve">means, subject to </w:t>
      </w:r>
      <w:r>
        <w:rPr>
          <w:rFonts w:ascii="Times New Roman;serif" w:hAnsi="Times New Roman;serif"/>
          <w:b w:val="false"/>
          <w:sz w:val="22"/>
          <w:u w:val="single"/>
        </w:rPr>
        <w:t>Section 2.21(b)</w:t>
      </w:r>
      <w:r>
        <w:rPr>
          <w:rFonts w:ascii="Times New Roman;serif" w:hAnsi="Times New Roman;serif"/>
          <w:b w:val="false"/>
          <w:sz w:val="22"/>
        </w:rPr>
        <w:t>, any Lender that (a)</w:t>
      </w:r>
      <w:r>
        <w:rPr>
          <w:rFonts w:ascii="Times New Roman" w:hAnsi="Times New Roman"/>
          <w:sz w:val="20"/>
        </w:rPr>
        <w:t xml:space="preserve"> </w:t>
      </w:r>
      <w:r>
        <w:rPr>
          <w:rFonts w:ascii="Times New Roman;serif" w:hAnsi="Times New Roman;serif"/>
          <w:b w:val="false"/>
          <w:sz w:val="22"/>
        </w:rPr>
        <w:t xml:space="preserve">has failed to perform any of its funding obligations hereunder, including in respect of its Loans or participations in respect of Letters of Credit or Swingline Loans, within two (2) Business Days of the date required to be funded by it hereunder, </w:t>
      </w:r>
      <w:bookmarkStart w:id="266" w:name="docxtextref308"/>
      <w:bookmarkEnd w:id="26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has notified Bidco, the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w:t>
      </w:r>
      <w:bookmarkStart w:id="267" w:name="docxtextref309"/>
      <w:bookmarkEnd w:id="26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has failed, within three (3) Business Days after request by the Administrative Agent (whether acting on its own behalf or at the reasonable request of Bidco (it being understood that the Administrative Agent shall comply with any such reasonable request)) or any Issuing Bank, to confirm in a manner satisfactory to the Administrative Agent, such Issuing Bank and Bidco that it will comply with its funding obligations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Lender shall cease to be a Defaulting Lender pursuant to this clause (c) upon receipt of such written confirmation by the Administrative Agent and Bidco), or </w:t>
      </w:r>
      <w:bookmarkStart w:id="268" w:name="docxtextref310"/>
      <w:bookmarkEnd w:id="268"/>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has, or has a direct or indirect parent company that, other than via an Undisclosed Administration, </w:t>
      </w:r>
      <w:bookmarkStart w:id="269" w:name="docxtextref311"/>
      <w:bookmarkEnd w:id="269"/>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has become or is insolvent, (ii) has become the subject of a proceeding under any Debtor Relief Law, (iii) had a receiver, conservator, trustee, administrator, assignee for the benefit of creditors or similar Person charged with reorganization or liquidation of its business or a custodian appointed for it, (iv) has taken any action in furtherance of,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270" w:name="docxtextref312"/>
      <w:bookmarkEnd w:id="270"/>
      <w:r>
        <w:rPr>
          <w:rFonts w:ascii="Times New Roman;serif" w:hAnsi="Times New Roman;serif"/>
          <w:b w:val="false"/>
          <w:sz w:val="22"/>
        </w:rPr>
        <w:t>indicated its consent to, approval of or acquiescence in any such proceeding or appointment or (v)</w:t>
      </w:r>
      <w:r>
        <w:rPr>
          <w:rFonts w:ascii="Times New Roman" w:hAnsi="Times New Roman"/>
          <w:sz w:val="20"/>
        </w:rPr>
        <w:t xml:space="preserve"> </w:t>
      </w:r>
      <w:r>
        <w:rPr>
          <w:rFonts w:ascii="Times New Roman;serif" w:hAnsi="Times New Roman;serif"/>
          <w:b w:val="false"/>
          <w:sz w:val="22"/>
        </w:rPr>
        <w:t xml:space="preserve">has become the subject of a Bail-In Action;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pStyle w:val="TextBody"/>
        <w:bidi w:val="0"/>
        <w:spacing w:before="0" w:after="240"/>
        <w:jc w:val="both"/>
        <w:rPr/>
      </w:pPr>
      <w:r>
        <w:rPr/>
        <w:t>“</w:t>
      </w:r>
      <w:r>
        <w:rPr>
          <w:rFonts w:ascii="Times New Roman;serif" w:hAnsi="Times New Roman;serif"/>
          <w:b w:val="false"/>
          <w:sz w:val="22"/>
          <w:u w:val="single"/>
        </w:rPr>
        <w:t>Defaulting Lender Fronting Exposure</w:t>
      </w:r>
      <w:r>
        <w:rPr>
          <w:rFonts w:ascii="Times New Roman" w:hAnsi="Times New Roman"/>
          <w:sz w:val="20"/>
        </w:rPr>
        <w:t xml:space="preserve">” </w:t>
      </w:r>
      <w:r>
        <w:rPr>
          <w:rFonts w:ascii="Times New Roman;serif" w:hAnsi="Times New Roman;serif"/>
          <w:b w:val="false"/>
          <w:sz w:val="22"/>
        </w:rPr>
        <w:t>means, at any time there is a Revolving Lender that is a Defaulting Lender, (a) with respect to any Issuing Bank, such Defaulting Lender’s Applicable Percentage of the LC Exposure with respect to the Letters of Credit issued by such Issuing Bank, other than LC Exposure as to which such Defaulting Lender’s participation obligation has been reallocated to other Lenders or cash collateralized in accordance with the terms of this Agreement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of this Agreement.</w:t>
      </w:r>
    </w:p>
    <w:p>
      <w:pPr>
        <w:pStyle w:val="TextBody"/>
        <w:bidi w:val="0"/>
        <w:spacing w:before="0" w:after="240"/>
        <w:jc w:val="both"/>
        <w:rPr/>
      </w:pPr>
      <w:bookmarkStart w:id="271" w:name="docxtextref313"/>
      <w:bookmarkEnd w:id="271"/>
      <w:r>
        <w:rPr/>
        <w:t>“</w:t>
      </w:r>
      <w:r>
        <w:rPr>
          <w:rFonts w:ascii="Times New Roman;serif" w:hAnsi="Times New Roman;serif"/>
          <w:b w:val="false"/>
          <w:sz w:val="22"/>
          <w:u w:val="single"/>
        </w:rPr>
        <w:t>Designated Earlier Maturing Debt</w:t>
      </w:r>
      <w:r>
        <w:rPr>
          <w:rFonts w:ascii="Times New Roman" w:hAnsi="Times New Roman"/>
          <w:sz w:val="20"/>
        </w:rPr>
        <w:t xml:space="preserve">” </w:t>
      </w:r>
      <w:r>
        <w:rPr>
          <w:rFonts w:ascii="Times New Roman;serif" w:hAnsi="Times New Roman;serif"/>
          <w:b w:val="false"/>
          <w:sz w:val="22"/>
        </w:rPr>
        <w:t>means (x)</w:t>
      </w:r>
      <w:r>
        <w:rPr>
          <w:rFonts w:ascii="Times New Roman" w:hAnsi="Times New Roman"/>
          <w:sz w:val="20"/>
        </w:rPr>
        <w:t xml:space="preserve"> </w:t>
      </w:r>
      <w:r>
        <w:rPr>
          <w:rFonts w:ascii="Times New Roman;serif" w:hAnsi="Times New Roman;serif"/>
          <w:b w:val="false"/>
          <w:sz w:val="22"/>
        </w:rPr>
        <w:t xml:space="preserve">any </w:t>
      </w:r>
      <w:bookmarkStart w:id="272" w:name="docxtextref314"/>
      <w:bookmarkEnd w:id="27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Incremental Term Loans, (ii) Incremental Equivalent Debt, (iii) Credit Agreement Refinancing Indebtedness (other than Other Revolving Commitments) and/or (iv) other Indebtedness, in each case, incurred to consummate a Permitted Acquisition or other Investment not prohibited by this Agreement and </w:t>
      </w:r>
      <w:bookmarkStart w:id="273" w:name="docxtextref315"/>
      <w:bookmarkEnd w:id="27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any </w:t>
      </w:r>
      <w:bookmarkStart w:id="274" w:name="docxtextref316"/>
      <w:bookmarkEnd w:id="27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Incremental Term Loans, (ii) Incremental Equivalent Debt, (iii) Credit Agreement Refinancing Indebtedness (other than Other Revolving Commitments) and/or (iv) other Indebtedness designated by Bidco to the Administrative Agent that has a maturity date earlier than the Term Maturity Date and/or a shorter Weighted Average Life to Maturity than the remaining Initial Term Loans;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at the time of any incurrence of such Indebtedness pursuant to this clause (y), the aggregate principal amount of all such Indebtedness shall not exceed the greater of </w:t>
      </w:r>
      <w:bookmarkStart w:id="275" w:name="docxtextref317"/>
      <w:bookmarkEnd w:id="27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$750,000,000 and </w:t>
      </w:r>
      <w:bookmarkStart w:id="276" w:name="docxtextref318"/>
      <w:bookmarkEnd w:id="27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Consolidated EBITDA for the most recently ended Test Period as of such date, calculated on a Pro Forma Basis.</w:t>
      </w:r>
    </w:p>
    <w:p>
      <w:pPr>
        <w:pStyle w:val="TextBody"/>
        <w:bidi w:val="0"/>
        <w:spacing w:before="0" w:after="240"/>
        <w:jc w:val="both"/>
        <w:rPr/>
      </w:pPr>
      <w:r>
        <w:rPr/>
        <w:t>“</w:t>
      </w:r>
      <w:r>
        <w:rPr>
          <w:rFonts w:ascii="Times New Roman;serif" w:hAnsi="Times New Roman;serif"/>
          <w:b w:val="false"/>
          <w:sz w:val="22"/>
          <w:u w:val="single"/>
        </w:rPr>
        <w:t>Designated Non-cash Consideration</w:t>
      </w:r>
      <w:r>
        <w:rPr>
          <w:rFonts w:ascii="Times New Roman" w:hAnsi="Times New Roman"/>
          <w:sz w:val="20"/>
        </w:rPr>
        <w:t xml:space="preserve">” </w:t>
      </w:r>
      <w:r>
        <w:rPr>
          <w:rFonts w:ascii="Times New Roman;serif" w:hAnsi="Times New Roman;serif"/>
          <w:b w:val="false"/>
          <w:sz w:val="22"/>
        </w:rPr>
        <w:t>means the fair market value of non-cash consideration received by Bidco or a Restricted Subsidiary in connection with an Asset Sale that is so designated as Designated Non-cash Consideration pursuant to an officer’s certificate, setting forth the basis of such valuation, executed by a Financial Officer of Bidco or a Restricted Subsidiary, less the amount of cash or Cash Equivalents received in connection with a subsequent sale, redemption or repurchase of or collection or payment on such Designated Non-cash Consideration.</w:t>
      </w:r>
    </w:p>
    <w:p>
      <w:pPr>
        <w:pStyle w:val="TextBody"/>
        <w:bidi w:val="0"/>
        <w:spacing w:before="0" w:after="240"/>
        <w:jc w:val="both"/>
        <w:rPr/>
      </w:pPr>
      <w:r>
        <w:rPr/>
        <w:t>“</w:t>
      </w:r>
      <w:r>
        <w:rPr>
          <w:rFonts w:ascii="Times New Roman;serif" w:hAnsi="Times New Roman;serif"/>
          <w:b w:val="false"/>
          <w:sz w:val="22"/>
          <w:u w:val="single"/>
        </w:rPr>
        <w:t>Designated Alternative Security Debt</w:t>
      </w:r>
      <w:r>
        <w:rPr>
          <w:rFonts w:ascii="Times New Roman" w:hAnsi="Times New Roman"/>
          <w:sz w:val="20"/>
        </w:rPr>
        <w:t xml:space="preserve">” </w:t>
      </w:r>
      <w:r>
        <w:rPr>
          <w:rFonts w:ascii="Times New Roman;serif" w:hAnsi="Times New Roman;serif"/>
          <w:b w:val="false"/>
          <w:sz w:val="22"/>
        </w:rPr>
        <w:t xml:space="preserve">means any (i) Incremental Term Loans, (ii) Incremental Equivalent Debt, (iii) Credit Agreement Refinancing Indebtedness and/or (iv) other Indebtedness designated by Bidco to the Administrative Agent that is guaranteed by any entity that is not a Loan Party or secured by any assets other than Collateral;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at the time of any incurrence of such Indebtedness, the aggregate principal amount of all such Indebtedness shall not exceed the greater of (x) $375,000,000 and (y) 50% of Consolidated EBITDA for the most recently ended Test Period as of such date, calculated on a Pro Forma Basis.</w:t>
      </w:r>
    </w:p>
    <w:p>
      <w:pPr>
        <w:pStyle w:val="TextBody"/>
        <w:bidi w:val="0"/>
        <w:spacing w:before="0" w:after="240"/>
        <w:jc w:val="both"/>
        <w:rPr/>
      </w:pPr>
      <w:r>
        <w:rPr/>
        <w:t>“</w:t>
      </w:r>
      <w:r>
        <w:rPr>
          <w:rFonts w:ascii="Times New Roman;serif" w:hAnsi="Times New Roman;serif"/>
          <w:b w:val="false"/>
          <w:sz w:val="22"/>
          <w:u w:val="single"/>
        </w:rPr>
        <w:t>Designated Preferred Stock</w:t>
      </w:r>
      <w:r>
        <w:rPr>
          <w:rFonts w:ascii="Times New Roman" w:hAnsi="Times New Roman"/>
          <w:sz w:val="20"/>
        </w:rPr>
        <w:t xml:space="preserve">” </w:t>
      </w:r>
      <w:r>
        <w:rPr>
          <w:rFonts w:ascii="Times New Roman;serif" w:hAnsi="Times New Roman;serif"/>
          <w:b w:val="false"/>
          <w:sz w:val="22"/>
        </w:rPr>
        <w:t>means Preferred Stock of Bidco or any direct or indirect parent company thereof (in each case other than Disqualified Equity Interests) that is issued for cash (other than to a Restricted Subsidiary or an employee stock ownership plan or trust established by Bidco or any of its Subsidiaries) and is so designated as Designated Preferred Stock, pursuant to an officer’s certificate executed by a Financial Officer of Bidco, a Restricted Subsidiary or the applicable parent corporation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thereof, as the case may be, on the issuance date thereof, the cash proceeds of which are excluded from the calculation set forth in clause (A) of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pPr>
      <w:r>
        <w:rPr/>
        <w:t>“</w:t>
      </w:r>
      <w:r>
        <w:rPr>
          <w:rFonts w:ascii="Times New Roman;serif" w:hAnsi="Times New Roman;serif"/>
          <w:b w:val="false"/>
          <w:sz w:val="22"/>
          <w:u w:val="single"/>
        </w:rPr>
        <w:t>Discount Prepayment Accepting Lender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2.10(a)(ii)(B)(2)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 Range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 Range Prepayment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 Range Prepayment Notice</w:t>
      </w:r>
      <w:r>
        <w:rPr>
          <w:rFonts w:ascii="Times New Roman" w:hAnsi="Times New Roman"/>
          <w:sz w:val="20"/>
        </w:rPr>
        <w:t xml:space="preserve">” </w:t>
      </w:r>
      <w:r>
        <w:rPr>
          <w:rFonts w:ascii="Times New Roman;serif" w:hAnsi="Times New Roman;serif"/>
          <w:b w:val="false"/>
          <w:sz w:val="22"/>
        </w:rPr>
        <w:t xml:space="preserve">means a written notice of a Borrower Solicitation of Discount Range Prepayment Offers made pursuant to </w:t>
      </w:r>
      <w:r>
        <w:rPr>
          <w:rFonts w:ascii="Times New Roman;serif" w:hAnsi="Times New Roman;serif"/>
          <w:b w:val="false"/>
          <w:sz w:val="22"/>
          <w:u w:val="single"/>
        </w:rPr>
        <w:t>Section 2.10(a)(ii)(C)</w:t>
      </w:r>
      <w:r>
        <w:rPr>
          <w:rFonts w:ascii="Times New Roman" w:hAnsi="Times New Roman"/>
          <w:sz w:val="20"/>
        </w:rPr>
        <w:t xml:space="preserve"> </w:t>
      </w:r>
      <w:r>
        <w:rPr>
          <w:rFonts w:ascii="Times New Roman;serif" w:hAnsi="Times New Roman;serif"/>
          <w:b w:val="false"/>
          <w:sz w:val="22"/>
        </w:rPr>
        <w:t xml:space="preserve">substantially in the form of </w:t>
      </w:r>
      <w:r>
        <w:rPr>
          <w:rFonts w:ascii="Times New Roman;serif" w:hAnsi="Times New Roman;serif"/>
          <w:b w:val="false"/>
          <w:sz w:val="22"/>
          <w:u w:val="single"/>
        </w:rPr>
        <w:t>Exhibit L</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 Range Prepayment Offer</w:t>
      </w:r>
      <w:r>
        <w:rPr>
          <w:rFonts w:ascii="Times New Roman" w:hAnsi="Times New Roman"/>
          <w:sz w:val="20"/>
        </w:rPr>
        <w:t xml:space="preserve">” </w:t>
      </w:r>
      <w:r>
        <w:rPr>
          <w:rFonts w:ascii="Times New Roman;serif" w:hAnsi="Times New Roman;serif"/>
          <w:b w:val="false"/>
          <w:sz w:val="22"/>
        </w:rPr>
        <w:t xml:space="preserve">means the irrevocable written offer by a Term Lender, substantially in the form of </w:t>
      </w:r>
      <w:r>
        <w:rPr>
          <w:rFonts w:ascii="Times New Roman;serif" w:hAnsi="Times New Roman;serif"/>
          <w:b w:val="false"/>
          <w:sz w:val="22"/>
          <w:u w:val="single"/>
        </w:rPr>
        <w:t>Exhibit M</w:t>
      </w:r>
      <w:r>
        <w:rPr>
          <w:rFonts w:ascii="Times New Roman;serif" w:hAnsi="Times New Roman;serif"/>
          <w:b w:val="false"/>
          <w:sz w:val="22"/>
        </w:rPr>
        <w:t>, submitted in response to an invitation to submit offers following the Auction Agent’s receipt of a Discount Range Prepayment Notice.</w:t>
      </w:r>
    </w:p>
    <w:p>
      <w:pPr>
        <w:pStyle w:val="TextBody"/>
        <w:bidi w:val="0"/>
        <w:spacing w:before="0" w:after="240"/>
        <w:jc w:val="both"/>
        <w:rPr/>
      </w:pPr>
      <w:r>
        <w:rPr/>
        <w:t>“</w:t>
      </w:r>
      <w:r>
        <w:rPr>
          <w:rFonts w:ascii="Times New Roman;serif" w:hAnsi="Times New Roman;serif"/>
          <w:b w:val="false"/>
          <w:sz w:val="22"/>
          <w:u w:val="single"/>
        </w:rPr>
        <w:t>Discount Range Prepayment Response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 Range Proration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Discounted Prepayment Determination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Discounted Prepayment Effective Date</w:t>
      </w:r>
      <w:r>
        <w:rPr>
          <w:rFonts w:ascii="Times New Roman" w:hAnsi="Times New Roman"/>
          <w:sz w:val="20"/>
        </w:rPr>
        <w:t xml:space="preserve">” </w:t>
      </w:r>
      <w:r>
        <w:rPr>
          <w:rFonts w:ascii="Times New Roman;serif" w:hAnsi="Times New Roman;serif"/>
          <w:b w:val="false"/>
          <w:sz w:val="22"/>
        </w:rPr>
        <w:t xml:space="preserve">means in the case of a Borrower Offer of Specified Discount Prepayment or Borrower Solicitation of Discount Range Prepayment Offer, five (5) Business Days following the receipt by each relevant Term Lender of notice from the Auction Agent in accordance with </w:t>
      </w:r>
      <w:r>
        <w:rPr>
          <w:rFonts w:ascii="Times New Roman;serif" w:hAnsi="Times New Roman;serif"/>
          <w:b w:val="false"/>
          <w:sz w:val="22"/>
          <w:u w:val="single"/>
        </w:rPr>
        <w:t>Section 2.10(a)(ii)(B)</w:t>
      </w:r>
      <w:r>
        <w:rPr>
          <w:rFonts w:ascii="Times New Roman;serif" w:hAnsi="Times New Roman;serif"/>
          <w:b w:val="false"/>
          <w:sz w:val="22"/>
        </w:rPr>
        <w:t xml:space="preserve">, </w:t>
      </w:r>
      <w:r>
        <w:rPr>
          <w:rFonts w:ascii="Times New Roman;serif" w:hAnsi="Times New Roman;serif"/>
          <w:b w:val="false"/>
          <w:sz w:val="22"/>
          <w:u w:val="single"/>
        </w:rPr>
        <w:t>Section 2.10(a)(ii)(C)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2.10(a)(ii)(D)</w:t>
      </w:r>
      <w:r>
        <w:rPr>
          <w:rFonts w:ascii="Times New Roman;serif" w:hAnsi="Times New Roman;serif"/>
          <w:b w:val="false"/>
          <w:sz w:val="22"/>
        </w:rPr>
        <w:t>, as applicable unless a shorter period is agreed to between the Borrower and the Auction Agent.</w:t>
      </w:r>
    </w:p>
    <w:p>
      <w:pPr>
        <w:pStyle w:val="TextBody"/>
        <w:bidi w:val="0"/>
        <w:spacing w:before="0" w:after="240"/>
        <w:jc w:val="both"/>
        <w:rPr/>
      </w:pPr>
      <w:r>
        <w:rPr/>
        <w:t>“</w:t>
      </w:r>
      <w:r>
        <w:rPr>
          <w:rFonts w:ascii="Times New Roman;serif" w:hAnsi="Times New Roman;serif"/>
          <w:b w:val="false"/>
          <w:sz w:val="22"/>
          <w:u w:val="single"/>
        </w:rPr>
        <w:t>Discounted Term Loan Prepayment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Disposed EBITDA</w:t>
      </w:r>
      <w:r>
        <w:rPr>
          <w:rFonts w:ascii="Times New Roman" w:hAnsi="Times New Roman"/>
          <w:sz w:val="20"/>
        </w:rPr>
        <w:t xml:space="preserve">” </w:t>
      </w:r>
      <w:r>
        <w:rPr>
          <w:rFonts w:ascii="Times New Roman;serif" w:hAnsi="Times New Roman;serif"/>
          <w:b w:val="false"/>
          <w:sz w:val="22"/>
        </w:rPr>
        <w:t>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Bidco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pStyle w:val="TextBody"/>
        <w:bidi w:val="0"/>
        <w:spacing w:before="0" w:after="240"/>
        <w:jc w:val="both"/>
        <w:rPr/>
      </w:pPr>
      <w:bookmarkStart w:id="277" w:name="docxtextref331"/>
      <w:bookmarkEnd w:id="277"/>
      <w:r>
        <w:rPr/>
        <w:t>“</w:t>
      </w:r>
      <w:r>
        <w:rPr>
          <w:rFonts w:ascii="Times New Roman;serif" w:hAnsi="Times New Roman;serif"/>
          <w:b w:val="false"/>
          <w:sz w:val="22"/>
          <w:u w:val="single"/>
        </w:rPr>
        <w:t>disposition</w:t>
      </w:r>
      <w:r>
        <w:rPr>
          <w:rFonts w:ascii="Times New Roman" w:hAnsi="Times New Roman"/>
          <w:sz w:val="20"/>
        </w:rPr>
        <w:t xml:space="preserve">” </w:t>
      </w:r>
      <w:r>
        <w:rPr>
          <w:rFonts w:ascii="Times New Roman;serif" w:hAnsi="Times New Roman;serif"/>
          <w:b w:val="false"/>
          <w:sz w:val="22"/>
        </w:rPr>
        <w:t>has the meaning assigned to such term in clause (1)</w:t>
      </w:r>
      <w:r>
        <w:rPr>
          <w:rFonts w:ascii="Times New Roman" w:hAnsi="Times New Roman"/>
          <w:sz w:val="20"/>
        </w:rPr>
        <w:t xml:space="preserve"> </w:t>
      </w:r>
      <w:r>
        <w:rPr>
          <w:rFonts w:ascii="Times New Roman;serif" w:hAnsi="Times New Roman;serif"/>
          <w:b w:val="false"/>
          <w:sz w:val="22"/>
        </w:rPr>
        <w:t>of the definition of “Asset Sale”.</w:t>
      </w:r>
    </w:p>
    <w:p>
      <w:pPr>
        <w:pStyle w:val="TextBody"/>
        <w:bidi w:val="0"/>
        <w:spacing w:before="0" w:after="240"/>
        <w:jc w:val="both"/>
        <w:rPr/>
      </w:pPr>
      <w:r>
        <w:rPr/>
        <w:t>“</w:t>
      </w:r>
      <w:r>
        <w:rPr>
          <w:rFonts w:ascii="Times New Roman;serif" w:hAnsi="Times New Roman;serif"/>
          <w:b w:val="false"/>
          <w:sz w:val="22"/>
          <w:u w:val="single"/>
        </w:rPr>
        <w:t>Disqualified Equity Interests</w:t>
      </w:r>
      <w:r>
        <w:rPr>
          <w:rFonts w:ascii="Times New Roman" w:hAnsi="Times New Roman"/>
          <w:sz w:val="20"/>
        </w:rPr>
        <w:t xml:space="preserve">” </w:t>
      </w:r>
      <w:r>
        <w:rPr>
          <w:rFonts w:ascii="Times New Roman;serif" w:hAnsi="Times New Roman;serif"/>
          <w:b w:val="false"/>
          <w:sz w:val="22"/>
        </w:rPr>
        <w:t>means, with respect to any Person, any Equity Interests of such Person which, by its terms, or by the terms of any security into which it is convertible or for which it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Loans or the date the Loans are no longer outstanding;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any Equity Interests held by any future, current or former employee, director, officer, manager or consultant (or their respective Controlled Investment Affiliates (excluding the Investors (but not excluding any future, current or former employee, director, officer, manager or consultant)) or Immediate Family Members), of Bidco, any of its Subsidiaries, any of its direct or indirect parent companies or any other entity in which Bidco or a Restricted Subsidiary has an Investment and is designated in good faith as an “affiliate” by the board of directors of Bidco or a Restricted Subsidiary (or the compensation committee thereof), in each case pursuant to any stock subscription or shareholders’ agreement, management equity plan or stock option plan or any other management or employee benefit plan or agreement shall not constitute Disqualified Equity Interests solely because it may be required to be repurchased by Bidco or its Subsidiaries or in order to satisfy applicable statutory or regulatory obligations. Notwithstanding the preceding sentence, any Equity Interests that would constitute Disqualified Equity Interests solely because the holders of the Equity Interests have the right to require Bidco or a Subsidiary to repurchase such Equity Interests upon the occurrence of a change of control or an asset sale shall not constitute Disqualified Equity Interests if the terms of such Equity Interests (and all such securities into which it is convertible or for which it is ratable or exchangeable) provide that Bidco or such Subsidiary may not repurchase or redeem any such Equity Interests (and all such securities into which it is convertible or for which it is ratable or exchangeable) pursuant to such provisions unless such repurchase or redemption complies with the terms of this Agreement. The amount of Disqualified Equity Interests deemed to be outstanding at any time for purposes of this Agreement shall be the maximum amount that Bidco and its Restricted Subsidiaries may become obligated to pay upon the maturity of, or pursuant to any mandatory redemption provisions of, such Disqualified Equity Interests, exclusive of accrued dividends.</w:t>
      </w:r>
    </w:p>
    <w:p>
      <w:pPr>
        <w:pStyle w:val="TextBody"/>
        <w:bidi w:val="0"/>
        <w:spacing w:before="0" w:after="240"/>
        <w:jc w:val="both"/>
        <w:rPr/>
      </w:pPr>
      <w:bookmarkStart w:id="278" w:name="docxtextref332"/>
      <w:bookmarkEnd w:id="278"/>
      <w:r>
        <w:rPr/>
        <w:t>“</w:t>
      </w:r>
      <w:r>
        <w:rPr>
          <w:rFonts w:ascii="Times New Roman;serif" w:hAnsi="Times New Roman;serif"/>
          <w:b w:val="false"/>
          <w:sz w:val="22"/>
          <w:u w:val="single"/>
        </w:rPr>
        <w:t>Disqualified Lenders</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 xml:space="preserve">those Persons identified by Bidco or a Restricted Subsidiary to the Administrative Agent in writing prior to March 23, 2019 as being “Disqualified Lenders,” (ii) those Persons who are competitors of Bidco and its Subsidiaries (other than any bona fide diversified debt investment fund) identified by the Investors, Bidco or a Restricted Subsidiary to the Administrative Agent from time to time in writing (including by email) which designation shall become effective two (2) days after delivery of each such written designation to the Administrative Agent, but which shall not apply retroactively to disqualify any persons that have previously acquired an assignment or participation interest in any Loan, (iii) Excluded Affiliates and (iv) in the case of each Person identified pursuant to clause (ii) above, any of their Affiliates that are either </w:t>
      </w:r>
      <w:bookmarkStart w:id="279" w:name="docxtextref333"/>
      <w:bookmarkEnd w:id="279"/>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identified in writing by the Investors, Bidco or a Restricted Subsidiary to the Administrative Agent from time to time or </w:t>
      </w:r>
      <w:bookmarkStart w:id="280" w:name="docxtextref334"/>
      <w:bookmarkEnd w:id="28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are known or reasonably identifiable as an Affiliate of such Person (other than Affiliates that are bona fide diversified debt investment funds).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w:t>
      </w:r>
    </w:p>
    <w:p>
      <w:pPr>
        <w:pStyle w:val="TextBody"/>
        <w:bidi w:val="0"/>
        <w:spacing w:before="0" w:after="240"/>
        <w:jc w:val="both"/>
        <w:rPr/>
      </w:pPr>
      <w:r>
        <w:rPr/>
        <w:t>“</w:t>
      </w:r>
      <w:r>
        <w:rPr>
          <w:rFonts w:ascii="Times New Roman;serif" w:hAnsi="Times New Roman;serif"/>
          <w:b w:val="false"/>
          <w:sz w:val="22"/>
          <w:u w:val="single"/>
        </w:rPr>
        <w:t>Division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1.10</w:t>
      </w:r>
      <w:r>
        <w:rPr>
          <w:rFonts w:ascii="Times New Roman;serif" w:hAnsi="Times New Roman;serif"/>
          <w:b w:val="false"/>
          <w:sz w:val="22"/>
        </w:rPr>
        <w:t>.</w:t>
      </w:r>
    </w:p>
    <w:p>
      <w:pPr>
        <w:pStyle w:val="TextBody"/>
        <w:bidi w:val="0"/>
        <w:spacing w:before="0" w:after="240"/>
        <w:jc w:val="both"/>
        <w:rPr/>
      </w:pPr>
      <w:bookmarkStart w:id="281" w:name="docxtextref337"/>
      <w:bookmarkEnd w:id="281"/>
      <w:r>
        <w:rPr/>
        <w:t>“</w:t>
      </w:r>
      <w:r>
        <w:rPr>
          <w:rFonts w:ascii="Times New Roman;serif" w:hAnsi="Times New Roman;serif"/>
          <w:b w:val="false"/>
          <w:sz w:val="22"/>
          <w:u w:val="single"/>
        </w:rPr>
        <w:t>Dollar Equivalent</w:t>
      </w:r>
      <w:r>
        <w:rPr>
          <w:rFonts w:ascii="Times New Roman" w:hAnsi="Times New Roman"/>
          <w:sz w:val="20"/>
        </w:rPr>
        <w:t xml:space="preserve">” </w:t>
      </w:r>
      <w:r>
        <w:rPr>
          <w:rFonts w:ascii="Times New Roman;serif" w:hAnsi="Times New Roman;serif"/>
          <w:b w:val="false"/>
          <w:sz w:val="22"/>
        </w:rPr>
        <w:t>means, on any date of determination, (a)</w:t>
      </w:r>
      <w:r>
        <w:rPr>
          <w:rFonts w:ascii="Times New Roman" w:hAnsi="Times New Roman"/>
          <w:sz w:val="20"/>
        </w:rPr>
        <w:t xml:space="preserve"> </w:t>
      </w:r>
      <w:r>
        <w:rPr>
          <w:rFonts w:ascii="Times New Roman;serif" w:hAnsi="Times New Roman;serif"/>
          <w:b w:val="false"/>
          <w:sz w:val="22"/>
        </w:rPr>
        <w:t xml:space="preserve">with respect to any amount denominated in dollars, such amount, and </w:t>
      </w:r>
      <w:bookmarkStart w:id="282" w:name="docxtextref338"/>
      <w:bookmarkEnd w:id="28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with respect to any amount in any Alternative Currency or any other currency, the equivalent in dollars of such amount, as determined by the Administrative Agent or the applicable Issuing Bank, as applicable, pursuant to </w:t>
      </w:r>
      <w:r>
        <w:rPr>
          <w:rFonts w:ascii="Times New Roman;serif" w:hAnsi="Times New Roman;serif"/>
          <w:b w:val="false"/>
          <w:sz w:val="22"/>
          <w:u w:val="single"/>
        </w:rPr>
        <w:t>Section 1.09</w:t>
      </w:r>
      <w:r>
        <w:rPr>
          <w:rFonts w:ascii="Times New Roman" w:hAnsi="Times New Roman"/>
          <w:sz w:val="20"/>
        </w:rPr>
        <w:t xml:space="preserve"> </w:t>
      </w:r>
      <w:r>
        <w:rPr>
          <w:rFonts w:ascii="Times New Roman;serif" w:hAnsi="Times New Roman;serif"/>
          <w:b w:val="false"/>
          <w:sz w:val="22"/>
        </w:rPr>
        <w:t>using the Spot Rate with respect to such currency at the time in effect under the provisions of such Section.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dollars</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w:t>
      </w:r>
      <w:r>
        <w:rPr>
          <w:rFonts w:ascii="Times New Roman" w:hAnsi="Times New Roman"/>
          <w:sz w:val="20"/>
        </w:rPr>
        <w:t xml:space="preserve">” </w:t>
      </w:r>
      <w:r>
        <w:rPr>
          <w:rFonts w:ascii="Times New Roman;serif" w:hAnsi="Times New Roman;serif"/>
          <w:b w:val="false"/>
          <w:sz w:val="22"/>
        </w:rPr>
        <w:t>refers to lawful money of the United States of America.</w:t>
      </w:r>
    </w:p>
    <w:p>
      <w:pPr>
        <w:pStyle w:val="TextBody"/>
        <w:bidi w:val="0"/>
        <w:spacing w:before="0" w:after="240"/>
        <w:jc w:val="both"/>
        <w:rPr/>
      </w:pPr>
      <w:r>
        <w:rPr/>
        <w:t>“</w:t>
      </w:r>
      <w:r>
        <w:rPr>
          <w:rFonts w:ascii="Times New Roman;serif" w:hAnsi="Times New Roman;serif"/>
          <w:b w:val="false"/>
          <w:sz w:val="22"/>
          <w:u w:val="single"/>
        </w:rPr>
        <w:t>Domestic Foreign Holdco</w:t>
      </w:r>
      <w:r>
        <w:rPr>
          <w:rFonts w:ascii="Times New Roman" w:hAnsi="Times New Roman"/>
          <w:sz w:val="20"/>
        </w:rPr>
        <w:t xml:space="preserve">” </w:t>
      </w:r>
      <w:r>
        <w:rPr>
          <w:rFonts w:ascii="Times New Roman;serif" w:hAnsi="Times New Roman;serif"/>
          <w:b w:val="false"/>
          <w:sz w:val="22"/>
        </w:rPr>
        <w:t>means any Subsidiary that is not a CFC, substantially all of whose assets (directly and/or indirectly through one or more Subsidiaries) are capital stock (and, if applicable, debt) of one or more Subsidiaries that are (1) CFCs that are direct or indirect Subsidiaries of a Domestic Subsidiary and/or (2) other Domestic Foreign Holdcos.</w:t>
      </w:r>
    </w:p>
    <w:p>
      <w:pPr>
        <w:pStyle w:val="TextBody"/>
        <w:bidi w:val="0"/>
        <w:spacing w:before="0" w:after="240"/>
        <w:jc w:val="both"/>
        <w:rPr/>
      </w:pPr>
      <w:r>
        <w:rPr/>
        <w:t>“</w:t>
      </w:r>
      <w:r>
        <w:rPr>
          <w:rFonts w:ascii="Times New Roman;serif" w:hAnsi="Times New Roman;serif"/>
          <w:b w:val="false"/>
          <w:sz w:val="22"/>
          <w:u w:val="single"/>
        </w:rPr>
        <w:t>Domestic Subsidiary</w:t>
      </w:r>
      <w:r>
        <w:rPr>
          <w:rFonts w:ascii="Times New Roman" w:hAnsi="Times New Roman"/>
          <w:sz w:val="20"/>
        </w:rPr>
        <w:t xml:space="preserve">” </w:t>
      </w:r>
      <w:r>
        <w:rPr>
          <w:rFonts w:ascii="Times New Roman;serif" w:hAnsi="Times New Roman;serif"/>
          <w:b w:val="false"/>
          <w:sz w:val="22"/>
        </w:rPr>
        <w:t>means any Subsidiary that is organized under the law of the United States, any state thereof or the District of Columbia.</w:t>
      </w:r>
    </w:p>
    <w:p>
      <w:pPr>
        <w:pStyle w:val="TextBody"/>
        <w:bidi w:val="0"/>
        <w:spacing w:before="0" w:after="240"/>
        <w:jc w:val="both"/>
        <w:rPr/>
      </w:pPr>
      <w:bookmarkStart w:id="283" w:name="docxtextref345"/>
      <w:bookmarkEnd w:id="283"/>
      <w:r>
        <w:rPr/>
        <w:t>“</w:t>
      </w:r>
      <w:r>
        <w:rPr>
          <w:rFonts w:ascii="Times New Roman;serif" w:hAnsi="Times New Roman;serif"/>
          <w:b w:val="false"/>
          <w:sz w:val="22"/>
          <w:u w:val="single"/>
        </w:rPr>
        <w:t>ECF Percentage</w:t>
      </w:r>
      <w:r>
        <w:rPr>
          <w:rFonts w:ascii="Times New Roman" w:hAnsi="Times New Roman"/>
          <w:sz w:val="20"/>
        </w:rPr>
        <w:t xml:space="preserve">” </w:t>
      </w:r>
      <w:r>
        <w:rPr>
          <w:rFonts w:ascii="Times New Roman;serif" w:hAnsi="Times New Roman;serif"/>
          <w:b w:val="false"/>
          <w:sz w:val="22"/>
        </w:rPr>
        <w:t xml:space="preserve">means, with respect to the prepayment required by </w:t>
      </w:r>
      <w:r>
        <w:rPr>
          <w:rFonts w:ascii="Times New Roman;serif" w:hAnsi="Times New Roman;serif"/>
          <w:b w:val="false"/>
          <w:sz w:val="22"/>
          <w:u w:val="single"/>
        </w:rPr>
        <w:t>Section 2.10(d)</w:t>
      </w:r>
      <w:r>
        <w:rPr>
          <w:rFonts w:ascii="Times New Roman" w:hAnsi="Times New Roman"/>
          <w:sz w:val="20"/>
        </w:rPr>
        <w:t xml:space="preserve"> </w:t>
      </w:r>
      <w:r>
        <w:rPr>
          <w:rFonts w:ascii="Times New Roman;serif" w:hAnsi="Times New Roman;serif"/>
          <w:b w:val="false"/>
          <w:sz w:val="22"/>
        </w:rPr>
        <w:t xml:space="preserve">with respect to any fiscal year of Bidco, if the Senior Secured First Lien Net Leverage Ratio (prior to giving effect to the applicable prepayment pursuant to </w:t>
      </w:r>
      <w:r>
        <w:rPr>
          <w:rFonts w:ascii="Times New Roman;serif" w:hAnsi="Times New Roman;serif"/>
          <w:b w:val="false"/>
          <w:sz w:val="22"/>
          <w:u w:val="single"/>
        </w:rPr>
        <w:t>Section 2.10(d)</w:t>
      </w:r>
      <w:r>
        <w:rPr>
          <w:rFonts w:ascii="Times New Roman;serif" w:hAnsi="Times New Roman;serif"/>
          <w:b w:val="false"/>
          <w:sz w:val="22"/>
        </w:rPr>
        <w:t xml:space="preserve">, but after giving effect to any voluntary prepayments made pursuant to </w:t>
      </w:r>
      <w:r>
        <w:rPr>
          <w:rFonts w:ascii="Times New Roman;serif" w:hAnsi="Times New Roman;serif"/>
          <w:b w:val="false"/>
          <w:sz w:val="22"/>
          <w:u w:val="single"/>
        </w:rPr>
        <w:t>Section 2.10(a)</w:t>
      </w:r>
      <w:r>
        <w:rPr>
          <w:rFonts w:ascii="Times New Roman" w:hAnsi="Times New Roman"/>
          <w:sz w:val="20"/>
        </w:rPr>
        <w:t xml:space="preserve"> </w:t>
      </w:r>
      <w:r>
        <w:rPr>
          <w:rFonts w:ascii="Times New Roman;serif" w:hAnsi="Times New Roman;serif"/>
          <w:b w:val="false"/>
          <w:sz w:val="22"/>
        </w:rPr>
        <w:t xml:space="preserve">or otherwise in a manner not prohibited by </w:t>
      </w:r>
      <w:r>
        <w:rPr>
          <w:rFonts w:ascii="Times New Roman;serif" w:hAnsi="Times New Roman;serif"/>
          <w:b w:val="false"/>
          <w:sz w:val="22"/>
          <w:u w:val="single"/>
        </w:rPr>
        <w:t>Section 9.04(g)</w:t>
      </w:r>
      <w:r>
        <w:rPr>
          <w:rFonts w:ascii="Times New Roman" w:hAnsi="Times New Roman"/>
          <w:sz w:val="20"/>
        </w:rPr>
        <w:t xml:space="preserve"> </w:t>
      </w:r>
      <w:r>
        <w:rPr>
          <w:rFonts w:ascii="Times New Roman;serif" w:hAnsi="Times New Roman;serif"/>
          <w:b w:val="false"/>
          <w:sz w:val="22"/>
        </w:rPr>
        <w:t>prior to the date of such prepayment) as of the end of such fiscal year is (a)</w:t>
      </w:r>
      <w:r>
        <w:rPr>
          <w:rFonts w:ascii="Times New Roman" w:hAnsi="Times New Roman"/>
          <w:sz w:val="20"/>
        </w:rPr>
        <w:t xml:space="preserve"> </w:t>
      </w:r>
      <w:r>
        <w:rPr>
          <w:rFonts w:ascii="Times New Roman;serif" w:hAnsi="Times New Roman;serif"/>
          <w:b w:val="false"/>
          <w:sz w:val="22"/>
        </w:rPr>
        <w:t xml:space="preserve">greater than </w:t>
      </w:r>
      <w:bookmarkStart w:id="284" w:name="docxtextref343"/>
      <w:bookmarkEnd w:id="284"/>
      <w:r>
        <w:rPr>
          <w:rFonts w:ascii="Times New Roman;serif" w:hAnsi="Times New Roman;serif"/>
          <w:b w:val="false"/>
          <w:sz w:val="22"/>
        </w:rPr>
        <w:t xml:space="preserve">4.60 to </w:t>
      </w:r>
      <w:bookmarkStart w:id="285" w:name="docxtextref348"/>
      <w:bookmarkEnd w:id="285"/>
      <w:r>
        <w:rPr>
          <w:rFonts w:ascii="Times New Roman;serif" w:hAnsi="Times New Roman;serif"/>
          <w:b w:val="false"/>
          <w:sz w:val="22"/>
        </w:rPr>
        <w:t xml:space="preserve">1.00, 50% of Excess Cash Flow for such fiscal year, </w:t>
      </w:r>
      <w:bookmarkStart w:id="286" w:name="docxtextref346"/>
      <w:bookmarkEnd w:id="28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greater than </w:t>
      </w:r>
      <w:bookmarkStart w:id="287" w:name="docxtextref344"/>
      <w:bookmarkEnd w:id="287"/>
      <w:r>
        <w:rPr>
          <w:rFonts w:ascii="Times New Roman;serif" w:hAnsi="Times New Roman;serif"/>
          <w:b w:val="false"/>
          <w:sz w:val="22"/>
        </w:rPr>
        <w:t xml:space="preserve">4.10 to </w:t>
      </w:r>
      <w:bookmarkStart w:id="288" w:name="docxtextref349"/>
      <w:bookmarkEnd w:id="288"/>
      <w:r>
        <w:rPr>
          <w:rFonts w:ascii="Times New Roman;serif" w:hAnsi="Times New Roman;serif"/>
          <w:b w:val="false"/>
          <w:sz w:val="22"/>
        </w:rPr>
        <w:t>1.00</w:t>
      </w:r>
      <w:r>
        <w:rPr>
          <w:rFonts w:ascii="Times New Roman" w:hAnsi="Times New Roman"/>
          <w:sz w:val="20"/>
        </w:rPr>
        <w:t xml:space="preserve"> </w:t>
      </w:r>
      <w:r>
        <w:rPr>
          <w:rFonts w:ascii="Times New Roman;serif" w:hAnsi="Times New Roman;serif"/>
          <w:b w:val="false"/>
          <w:sz w:val="22"/>
        </w:rPr>
        <w:t xml:space="preserve">but less than or equal to </w:t>
      </w:r>
      <w:bookmarkStart w:id="289" w:name="docxtextref350"/>
      <w:bookmarkEnd w:id="289"/>
      <w:r>
        <w:rPr>
          <w:rFonts w:ascii="Times New Roman;serif" w:hAnsi="Times New Roman;serif"/>
          <w:b w:val="false"/>
          <w:sz w:val="22"/>
        </w:rPr>
        <w:t xml:space="preserve">4.60 to </w:t>
      </w:r>
      <w:bookmarkStart w:id="290" w:name="docxtextref351"/>
      <w:bookmarkEnd w:id="290"/>
      <w:r>
        <w:rPr>
          <w:rFonts w:ascii="Times New Roman;serif" w:hAnsi="Times New Roman;serif"/>
          <w:b w:val="false"/>
          <w:sz w:val="22"/>
        </w:rPr>
        <w:t xml:space="preserve">1.00, 25% of Excess Cash Flow for such fiscal year and </w:t>
      </w:r>
      <w:bookmarkStart w:id="291" w:name="docxtextref347"/>
      <w:bookmarkEnd w:id="29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less than or equal to </w:t>
      </w:r>
      <w:bookmarkStart w:id="292" w:name="docxtextref352"/>
      <w:bookmarkEnd w:id="292"/>
      <w:r>
        <w:rPr>
          <w:rFonts w:ascii="Times New Roman;serif" w:hAnsi="Times New Roman;serif"/>
          <w:b w:val="false"/>
          <w:sz w:val="22"/>
        </w:rPr>
        <w:t xml:space="preserve">4.10 to </w:t>
      </w:r>
      <w:bookmarkStart w:id="293" w:name="docxtextref353"/>
      <w:bookmarkEnd w:id="293"/>
      <w:r>
        <w:rPr>
          <w:rFonts w:ascii="Times New Roman;serif" w:hAnsi="Times New Roman;serif"/>
          <w:b w:val="false"/>
          <w:sz w:val="22"/>
        </w:rPr>
        <w:t>1.00, 0% of Excess Cash Flow for such fiscal year.</w:t>
      </w:r>
    </w:p>
    <w:p>
      <w:pPr>
        <w:pStyle w:val="TextBody"/>
        <w:bidi w:val="0"/>
        <w:spacing w:before="0" w:after="240"/>
        <w:jc w:val="both"/>
        <w:rPr/>
      </w:pPr>
      <w:bookmarkStart w:id="294" w:name="docxtextref354"/>
      <w:bookmarkEnd w:id="294"/>
      <w:r>
        <w:rPr/>
        <w:t>“</w:t>
      </w:r>
      <w:r>
        <w:rPr>
          <w:rFonts w:ascii="Times New Roman;serif" w:hAnsi="Times New Roman;serif"/>
          <w:b w:val="false"/>
          <w:sz w:val="22"/>
          <w:u w:val="single"/>
        </w:rPr>
        <w:t>EEA Financial Institution</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credit institution or investment firm established in any EEA Member Country which is subject to the supervision of an EEA Resolution Authority, </w:t>
      </w:r>
      <w:bookmarkStart w:id="295" w:name="docxtextref355"/>
      <w:bookmarkEnd w:id="29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entity established in an EEA Member Country which is a parent of an institution described in clause (a) of this definition, or </w:t>
      </w:r>
      <w:bookmarkStart w:id="296" w:name="docxtextref356"/>
      <w:bookmarkEnd w:id="29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financial institution established in an EEA Member Country which is a subsidiary of an institution described in clause (a) or </w:t>
      </w:r>
      <w:bookmarkStart w:id="297" w:name="docxtextref357"/>
      <w:bookmarkEnd w:id="29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of this definition and is subject to consolidated supervision with its parent.</w:t>
      </w:r>
    </w:p>
    <w:p>
      <w:pPr>
        <w:pStyle w:val="TextBody"/>
        <w:bidi w:val="0"/>
        <w:spacing w:before="0" w:after="240"/>
        <w:jc w:val="both"/>
        <w:rPr/>
      </w:pPr>
      <w:r>
        <w:rPr/>
        <w:t>“</w:t>
      </w:r>
      <w:r>
        <w:rPr>
          <w:rFonts w:ascii="Times New Roman;serif" w:hAnsi="Times New Roman;serif"/>
          <w:b w:val="false"/>
          <w:sz w:val="22"/>
          <w:u w:val="single"/>
        </w:rPr>
        <w:t>EEA Member Country</w:t>
      </w:r>
      <w:r>
        <w:rPr>
          <w:rFonts w:ascii="Times New Roman" w:hAnsi="Times New Roman"/>
          <w:sz w:val="20"/>
        </w:rPr>
        <w:t xml:space="preserve">” </w:t>
      </w:r>
      <w:r>
        <w:rPr>
          <w:rFonts w:ascii="Times New Roman;serif" w:hAnsi="Times New Roman;serif"/>
          <w:b w:val="false"/>
          <w:sz w:val="22"/>
        </w:rPr>
        <w:t>means any of the member states of the European Union, Iceland, Liechtenstein, and Norway.</w:t>
      </w:r>
    </w:p>
    <w:p>
      <w:pPr>
        <w:pStyle w:val="TextBody"/>
        <w:bidi w:val="0"/>
        <w:spacing w:before="0" w:after="240"/>
        <w:jc w:val="both"/>
        <w:rPr/>
      </w:pPr>
      <w:r>
        <w:rPr/>
        <w:t>“</w:t>
      </w:r>
      <w:r>
        <w:rPr>
          <w:rFonts w:ascii="Times New Roman;serif" w:hAnsi="Times New Roman;serif"/>
          <w:b w:val="false"/>
          <w:sz w:val="22"/>
          <w:u w:val="single"/>
        </w:rPr>
        <w:t>EEA Resolution Authority</w:t>
      </w:r>
      <w:r>
        <w:rPr>
          <w:rFonts w:ascii="Times New Roman" w:hAnsi="Times New Roman"/>
          <w:sz w:val="20"/>
        </w:rPr>
        <w:t xml:space="preserve">” </w:t>
      </w:r>
      <w:r>
        <w:rPr>
          <w:rFonts w:ascii="Times New Roman;serif" w:hAnsi="Times New Roman;serif"/>
          <w:b w:val="false"/>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t>“</w:t>
      </w:r>
      <w:r>
        <w:rPr>
          <w:rFonts w:ascii="Times New Roman;serif" w:hAnsi="Times New Roman;serif"/>
          <w:b w:val="false"/>
          <w:sz w:val="22"/>
          <w:u w:val="single"/>
        </w:rPr>
        <w:t>Effective Date</w:t>
      </w:r>
      <w:r>
        <w:rPr>
          <w:rFonts w:ascii="Times New Roman" w:hAnsi="Times New Roman"/>
          <w:sz w:val="20"/>
        </w:rPr>
        <w:t xml:space="preserve">” </w:t>
      </w:r>
      <w:r>
        <w:rPr>
          <w:rFonts w:ascii="Times New Roman;serif" w:hAnsi="Times New Roman;serif"/>
          <w:b w:val="false"/>
          <w:sz w:val="22"/>
        </w:rPr>
        <w:t>means December 12, 2019.</w:t>
      </w:r>
    </w:p>
    <w:p>
      <w:pPr>
        <w:pStyle w:val="TextBody"/>
        <w:bidi w:val="0"/>
        <w:spacing w:before="0" w:after="240"/>
        <w:jc w:val="both"/>
        <w:rPr/>
      </w:pPr>
      <w:bookmarkStart w:id="298" w:name="docxtextref359"/>
      <w:bookmarkEnd w:id="298"/>
      <w:r>
        <w:rPr/>
        <w:t>“</w:t>
      </w:r>
      <w:r>
        <w:rPr>
          <w:rFonts w:ascii="Times New Roman;serif" w:hAnsi="Times New Roman;serif"/>
          <w:b w:val="false"/>
          <w:sz w:val="22"/>
          <w:u w:val="single"/>
        </w:rPr>
        <w:t>Effective Yield</w:t>
      </w:r>
      <w:r>
        <w:rPr>
          <w:rFonts w:ascii="Times New Roman" w:hAnsi="Times New Roman"/>
          <w:sz w:val="20"/>
        </w:rPr>
        <w:t xml:space="preserve">” </w:t>
      </w:r>
      <w:r>
        <w:rPr>
          <w:rFonts w:ascii="Times New Roman;serif" w:hAnsi="Times New Roman;serif"/>
          <w:b w:val="false"/>
          <w:sz w:val="22"/>
        </w:rPr>
        <w:t>means, as to any Indebtedness, the effective yield on such Indebtedness in the reasonable determination of the Administrative Agent and Bidco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w:t>
      </w:r>
      <w:r>
        <w:rPr>
          <w:rFonts w:ascii="Times New Roman" w:hAnsi="Times New Roman"/>
          <w:sz w:val="20"/>
        </w:rPr>
        <w:t xml:space="preserve"> </w:t>
      </w:r>
      <w:r>
        <w:rPr>
          <w:rFonts w:ascii="Times New Roman;serif" w:hAnsi="Times New Roman;serif"/>
          <w:b w:val="false"/>
          <w:sz w:val="22"/>
        </w:rPr>
        <w:t xml:space="preserve">the remaining Weighted Average Life to Maturity of such Indebtedness and </w:t>
      </w:r>
      <w:bookmarkStart w:id="299" w:name="docxtextref360"/>
      <w:bookmarkEnd w:id="29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w:t>
      </w:r>
      <w:r>
        <w:rPr>
          <w:rFonts w:ascii="Times New Roman;serif" w:hAnsi="Times New Roman;serif"/>
          <w:b w:val="false"/>
          <w:sz w:val="22"/>
          <w:u w:val="single"/>
        </w:rPr>
        <w:t>Section 2.10(a)(i)</w:t>
      </w:r>
      <w:r>
        <w:rPr>
          <w:rFonts w:ascii="Times New Roman;serif" w:hAnsi="Times New Roman;serif"/>
          <w:b w:val="false"/>
          <w:sz w:val="22"/>
        </w:rPr>
        <w:t xml:space="preserve">, any original issue discount or upfront fees payable in connection with the Initial Term Loans issued on the Effective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with respect to any Indebtedness that includes a “LIBOR floor” or “Base Rate floor,” </w:t>
      </w:r>
      <w:bookmarkStart w:id="300" w:name="docxtextref361"/>
      <w:bookmarkEnd w:id="300"/>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to the extent that the LIBO Rate or Alternate Base Rate (without giving effect to any floors in such definitions), as applicable, on the date that the Effective Yield is being calculated is less than such floor, the amount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such difference shall be deemed added to the interest rate margin for such Indebtedness for the purpose of calculating the Effective Yield and (ii) to the extent that the LIBO Rate or Alternate Base Rate (without giving effect to any floors in such definitions), as applicable, on the date that the Effective Yield is being calculated is greater than such floor, then the floor shall be disregarded in calculating the Effective Yield.</w:t>
      </w:r>
    </w:p>
    <w:p>
      <w:pPr>
        <w:pStyle w:val="TextBody"/>
        <w:bidi w:val="0"/>
        <w:spacing w:before="0" w:after="240"/>
        <w:jc w:val="both"/>
        <w:rPr/>
      </w:pPr>
      <w:bookmarkStart w:id="301" w:name="docxtextref363"/>
      <w:bookmarkEnd w:id="301"/>
      <w:r>
        <w:rPr/>
        <w:t>“</w:t>
      </w:r>
      <w:r>
        <w:rPr>
          <w:rFonts w:ascii="Times New Roman;serif" w:hAnsi="Times New Roman;serif"/>
          <w:b w:val="false"/>
          <w:sz w:val="22"/>
          <w:u w:val="single"/>
        </w:rPr>
        <w:t>Eligible Assignee</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 Lender, </w:t>
      </w:r>
      <w:bookmarkStart w:id="302" w:name="docxtextref364"/>
      <w:bookmarkEnd w:id="30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Affiliate of a Lender, </w:t>
      </w:r>
      <w:bookmarkStart w:id="303" w:name="docxtextref365"/>
      <w:bookmarkEnd w:id="30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 Approved Fund and </w:t>
      </w:r>
      <w:bookmarkStart w:id="304" w:name="docxtextref366"/>
      <w:bookmarkEnd w:id="304"/>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any other Person (other than Holdings, any Intermediate Parent, Bidco or any of their respective Affiliates), other than, in each case, </w:t>
      </w:r>
      <w:bookmarkStart w:id="305" w:name="docxtextref367"/>
      <w:bookmarkEnd w:id="30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 natural person, (ii) a Defaulting Lender or (iii) a Disqualified Lender. Notwithstanding the foregoing, each Loan Party and each Lender acknowledges and agrees that the Administrative Agent shall have no liability with respect to any assignment made to a Disqualified Lender unless </w:t>
      </w:r>
      <w:bookmarkStart w:id="306" w:name="docxtextref368"/>
      <w:bookmarkEnd w:id="30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Administrative Agent has acted with gross negligence, bad faith or willful misconduct (as determined by a court of competent jurisdiction in a final and non-appealable judgment) and (ii) Bidco has not consented to such assignment or is not deemed to have consented to such assignment to the extent required by </w:t>
      </w:r>
      <w:r>
        <w:rPr>
          <w:rFonts w:ascii="Times New Roman;serif" w:hAnsi="Times New Roman;serif"/>
          <w:b w:val="false"/>
          <w:sz w:val="22"/>
          <w:u w:val="single"/>
        </w:rPr>
        <w:t>Section 9.04(b)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EMU Legislation</w:t>
      </w:r>
      <w:r>
        <w:rPr>
          <w:rFonts w:ascii="Times New Roman" w:hAnsi="Times New Roman"/>
          <w:sz w:val="20"/>
        </w:rPr>
        <w:t xml:space="preserve">” </w:t>
      </w:r>
      <w:r>
        <w:rPr>
          <w:rFonts w:ascii="Times New Roman;serif" w:hAnsi="Times New Roman;serif"/>
          <w:b w:val="false"/>
          <w:sz w:val="22"/>
        </w:rPr>
        <w:t>means the legislative measures of the European Council for the introduction of, changeover to or operation of a single or unified European currency.</w:t>
      </w:r>
    </w:p>
    <w:p>
      <w:pPr>
        <w:pStyle w:val="TextBody"/>
        <w:bidi w:val="0"/>
        <w:spacing w:before="0" w:after="240"/>
        <w:jc w:val="both"/>
        <w:rPr/>
      </w:pPr>
      <w:r>
        <w:rPr/>
        <w:t>“</w:t>
      </w:r>
      <w:r>
        <w:rPr>
          <w:rFonts w:ascii="Times New Roman;serif" w:hAnsi="Times New Roman;serif"/>
          <w:b w:val="false"/>
          <w:sz w:val="22"/>
          <w:u w:val="single"/>
        </w:rPr>
        <w:t>Environment</w:t>
      </w:r>
      <w:r>
        <w:rPr>
          <w:rFonts w:ascii="Times New Roman" w:hAnsi="Times New Roman"/>
          <w:sz w:val="20"/>
        </w:rPr>
        <w:t xml:space="preserve">” </w:t>
      </w:r>
      <w:r>
        <w:rPr>
          <w:rFonts w:ascii="Times New Roman;serif" w:hAnsi="Times New Roman;serif"/>
          <w:b w:val="false"/>
          <w:sz w:val="22"/>
        </w:rPr>
        <w:t>shall mean ambient air, indoor air, surface water, groundwater, drinking water, land surface, sediments, and subsurface strata and natural resources such as wetlands, flora and fauna.</w:t>
      </w:r>
    </w:p>
    <w:p>
      <w:pPr>
        <w:pStyle w:val="TextBody"/>
        <w:bidi w:val="0"/>
        <w:spacing w:before="0" w:after="240"/>
        <w:jc w:val="both"/>
        <w:rPr/>
      </w:pPr>
      <w:r>
        <w:rPr/>
        <w:t>“</w:t>
      </w:r>
      <w:r>
        <w:rPr>
          <w:rFonts w:ascii="Times New Roman;serif" w:hAnsi="Times New Roman;serif"/>
          <w:b w:val="false"/>
          <w:sz w:val="22"/>
          <w:u w:val="single"/>
        </w:rPr>
        <w:t>Environmental Laws</w:t>
      </w:r>
      <w:r>
        <w:rPr>
          <w:rFonts w:ascii="Times New Roman" w:hAnsi="Times New Roman"/>
          <w:sz w:val="20"/>
        </w:rPr>
        <w:t xml:space="preserve">” </w:t>
      </w:r>
      <w:r>
        <w:rPr>
          <w:rFonts w:ascii="Times New Roman;serif" w:hAnsi="Times New Roman;serif"/>
          <w:b w:val="false"/>
          <w:sz w:val="22"/>
        </w:rPr>
        <w:t>means all applicable Requirements of Law relating to the protection of the environment, to preservation or reclamation of natural resources, to the Release or threatened Release of any Hazardous Material, or (to the extent relating to exposure to Hazardous Materials) to health or safety matters.</w:t>
      </w:r>
    </w:p>
    <w:p>
      <w:pPr>
        <w:pStyle w:val="TextBody"/>
        <w:bidi w:val="0"/>
        <w:spacing w:before="0" w:after="240"/>
        <w:jc w:val="both"/>
        <w:rPr/>
      </w:pPr>
      <w:bookmarkStart w:id="307" w:name="docxtextref369"/>
      <w:bookmarkEnd w:id="307"/>
      <w:r>
        <w:rPr/>
        <w:t>“</w:t>
      </w:r>
      <w:r>
        <w:rPr>
          <w:rFonts w:ascii="Times New Roman;serif" w:hAnsi="Times New Roman;serif"/>
          <w:b w:val="false"/>
          <w:sz w:val="22"/>
          <w:u w:val="single"/>
        </w:rPr>
        <w:t>Environmental Liability</w:t>
      </w:r>
      <w:r>
        <w:rPr>
          <w:rFonts w:ascii="Times New Roman" w:hAnsi="Times New Roman"/>
          <w:sz w:val="20"/>
        </w:rPr>
        <w:t xml:space="preserve">” </w:t>
      </w:r>
      <w:r>
        <w:rPr>
          <w:rFonts w:ascii="Times New Roman;serif" w:hAnsi="Times New Roman;serif"/>
          <w:b w:val="false"/>
          <w:sz w:val="22"/>
        </w:rPr>
        <w:t>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resulting from or based upon (a)</w:t>
      </w:r>
      <w:r>
        <w:rPr>
          <w:rFonts w:ascii="Times New Roman" w:hAnsi="Times New Roman"/>
          <w:sz w:val="20"/>
        </w:rPr>
        <w:t xml:space="preserve"> </w:t>
      </w:r>
      <w:r>
        <w:rPr>
          <w:rFonts w:ascii="Times New Roman;serif" w:hAnsi="Times New Roman;serif"/>
          <w:b w:val="false"/>
          <w:sz w:val="22"/>
        </w:rPr>
        <w:t xml:space="preserve">any actual or alleged violation of any Environmental Law or permit, license or approval issued thereunder, </w:t>
      </w:r>
      <w:bookmarkStart w:id="308" w:name="docxtextref370"/>
      <w:bookmarkEnd w:id="30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generation, use, handling, transportation, storage, or treatment of any Hazardous Materials, </w:t>
      </w:r>
      <w:bookmarkStart w:id="309" w:name="docxtextref371"/>
      <w:bookmarkEnd w:id="30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exposure to any Hazardous Materials or </w:t>
      </w:r>
      <w:bookmarkStart w:id="310" w:name="docxtextref372"/>
      <w:bookmarkEnd w:id="310"/>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the Release or threatened Release of any Hazardous Materials.</w:t>
      </w:r>
    </w:p>
    <w:p>
      <w:pPr>
        <w:pStyle w:val="TextBody"/>
        <w:bidi w:val="0"/>
        <w:spacing w:before="0" w:after="240"/>
        <w:jc w:val="both"/>
        <w:rPr/>
      </w:pPr>
      <w:r>
        <w:rPr/>
        <w:t>“</w:t>
      </w:r>
      <w:r>
        <w:rPr>
          <w:rFonts w:ascii="Times New Roman;serif" w:hAnsi="Times New Roman;serif"/>
          <w:b w:val="false"/>
          <w:sz w:val="22"/>
          <w:u w:val="single"/>
        </w:rPr>
        <w:t>Equity Contributions</w:t>
      </w:r>
      <w:r>
        <w:rPr>
          <w:rFonts w:ascii="Times New Roman" w:hAnsi="Times New Roman"/>
          <w:sz w:val="20"/>
        </w:rPr>
        <w:t xml:space="preserve">” </w:t>
      </w:r>
      <w:r>
        <w:rPr>
          <w:rFonts w:ascii="Times New Roman;serif" w:hAnsi="Times New Roman;serif"/>
          <w:b w:val="false"/>
          <w:sz w:val="22"/>
        </w:rPr>
        <w:t>means the aggregate amount of investments (made on or prior to the relevant date of determination) in cash or in kind in the form of equity interests (including share subscriptions, share premium and/or contribution to capital reserves) or Subordinated Shareholder Liabilities by the Investors and Holdings (or any of their parent entities) (directly or indirectly) to Bidco.</w:t>
      </w:r>
    </w:p>
    <w:p>
      <w:pPr>
        <w:pStyle w:val="TextBody"/>
        <w:bidi w:val="0"/>
        <w:spacing w:before="0" w:after="240"/>
        <w:jc w:val="both"/>
        <w:rPr/>
      </w:pPr>
      <w:r>
        <w:rPr/>
        <w:t>“</w:t>
      </w:r>
      <w:r>
        <w:rPr>
          <w:rFonts w:ascii="Times New Roman;serif" w:hAnsi="Times New Roman;serif"/>
          <w:b w:val="false"/>
          <w:sz w:val="22"/>
          <w:u w:val="single"/>
        </w:rPr>
        <w:t>Equity Interests</w:t>
      </w:r>
      <w:r>
        <w:rPr>
          <w:rFonts w:ascii="Times New Roman" w:hAnsi="Times New Roman"/>
          <w:sz w:val="20"/>
        </w:rPr>
        <w:t xml:space="preserve">” </w:t>
      </w:r>
      <w:r>
        <w:rPr>
          <w:rFonts w:ascii="Times New Roman;serif" w:hAnsi="Times New Roman;serif"/>
          <w:b w:val="false"/>
          <w:sz w:val="22"/>
        </w:rPr>
        <w:t>means shares of Capital Stock, partnership interests, membership interests in a limited liability company, beneficial interests in a trust or other equity ownership interests in a Person.</w:t>
      </w:r>
    </w:p>
    <w:p>
      <w:pPr>
        <w:pStyle w:val="TextBody"/>
        <w:bidi w:val="0"/>
        <w:spacing w:before="0" w:after="240"/>
        <w:jc w:val="both"/>
        <w:rPr/>
      </w:pPr>
      <w:r>
        <w:rPr/>
        <w:t>“</w:t>
      </w:r>
      <w:r>
        <w:rPr>
          <w:rFonts w:ascii="Times New Roman;serif" w:hAnsi="Times New Roman;serif"/>
          <w:b w:val="false"/>
          <w:sz w:val="22"/>
          <w:u w:val="single"/>
        </w:rPr>
        <w:t>Equity Offering</w:t>
      </w:r>
      <w:r>
        <w:rPr>
          <w:rFonts w:ascii="Times New Roman" w:hAnsi="Times New Roman"/>
          <w:sz w:val="20"/>
        </w:rPr>
        <w:t xml:space="preserve">” </w:t>
      </w:r>
      <w:r>
        <w:rPr>
          <w:rFonts w:ascii="Times New Roman;serif" w:hAnsi="Times New Roman;serif"/>
          <w:b w:val="false"/>
          <w:sz w:val="22"/>
        </w:rPr>
        <w:t>means any public or private sale of common stock or Preferred Stock of Bidco or any of its direct or indirect parent companies (excluding Disqualified Equity Interest), other than: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public offerings with respect to Bidco’s or any direct or indirect parent company’s common stock registered on Form S-8;</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issuances to any Subsidiary of Bidco;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any such public or private sale that constitutes an Excluded Contribution or a Contributed Holdings Investment.</w:t>
      </w:r>
    </w:p>
    <w:p>
      <w:pPr>
        <w:pStyle w:val="TextBody"/>
        <w:bidi w:val="0"/>
        <w:spacing w:before="0" w:after="240"/>
        <w:jc w:val="both"/>
        <w:rPr/>
      </w:pPr>
      <w:r>
        <w:rPr/>
        <w:t>“</w:t>
      </w:r>
      <w:r>
        <w:rPr>
          <w:rFonts w:ascii="Times New Roman;serif" w:hAnsi="Times New Roman;serif"/>
          <w:b w:val="false"/>
          <w:sz w:val="22"/>
          <w:u w:val="single"/>
        </w:rPr>
        <w:t>ERISA</w:t>
      </w:r>
      <w:r>
        <w:rPr>
          <w:rFonts w:ascii="Times New Roman" w:hAnsi="Times New Roman"/>
          <w:sz w:val="20"/>
        </w:rPr>
        <w:t xml:space="preserve">” </w:t>
      </w:r>
      <w:r>
        <w:rPr>
          <w:rFonts w:ascii="Times New Roman;serif" w:hAnsi="Times New Roman;serif"/>
          <w:b w:val="false"/>
          <w:sz w:val="22"/>
        </w:rPr>
        <w:t>means the Employee Retirement Income Security Act of 1974, as amended from time to time.</w:t>
      </w:r>
    </w:p>
    <w:p>
      <w:pPr>
        <w:pStyle w:val="TextBody"/>
        <w:bidi w:val="0"/>
        <w:spacing w:before="0" w:after="240"/>
        <w:jc w:val="both"/>
        <w:rPr/>
      </w:pPr>
      <w:bookmarkStart w:id="311" w:name="docxtextref377"/>
      <w:bookmarkEnd w:id="311"/>
      <w:r>
        <w:rPr/>
        <w:t>“</w:t>
      </w:r>
      <w:r>
        <w:rPr>
          <w:rFonts w:ascii="Times New Roman;serif" w:hAnsi="Times New Roman;serif"/>
          <w:b w:val="false"/>
          <w:sz w:val="22"/>
          <w:u w:val="single"/>
        </w:rPr>
        <w:t>ERISA Affiliate</w:t>
      </w:r>
      <w:r>
        <w:rPr>
          <w:rFonts w:ascii="Times New Roman" w:hAnsi="Times New Roman"/>
          <w:sz w:val="20"/>
        </w:rPr>
        <w:t xml:space="preserve">” </w:t>
      </w:r>
      <w:r>
        <w:rPr>
          <w:rFonts w:ascii="Times New Roman;serif" w:hAnsi="Times New Roman;serif"/>
          <w:b w:val="false"/>
          <w:sz w:val="22"/>
        </w:rPr>
        <w:t>means any trade or business (whether or not incorporated) that, together with any Loan Party, is treated as a single employer under Section 414(b)</w:t>
      </w:r>
      <w:r>
        <w:rPr>
          <w:rFonts w:ascii="Times New Roman" w:hAnsi="Times New Roman"/>
          <w:sz w:val="20"/>
        </w:rPr>
        <w:t xml:space="preserve"> </w:t>
      </w:r>
      <w:r>
        <w:rPr>
          <w:rFonts w:ascii="Times New Roman;serif" w:hAnsi="Times New Roman;serif"/>
          <w:b w:val="false"/>
          <w:sz w:val="22"/>
        </w:rPr>
        <w:t xml:space="preserve">or </w:t>
      </w:r>
      <w:bookmarkStart w:id="312" w:name="docxtextref373"/>
      <w:bookmarkEnd w:id="312"/>
      <w:r>
        <w:rPr>
          <w:rFonts w:ascii="Times New Roman;serif" w:hAnsi="Times New Roman;serif"/>
          <w:b w:val="false"/>
          <w:sz w:val="22"/>
        </w:rPr>
        <w:t>414(c)</w:t>
      </w:r>
      <w:r>
        <w:rPr>
          <w:rFonts w:ascii="Times New Roman" w:hAnsi="Times New Roman"/>
          <w:sz w:val="20"/>
        </w:rPr>
        <w:t xml:space="preserve"> </w:t>
      </w:r>
      <w:r>
        <w:rPr>
          <w:rFonts w:ascii="Times New Roman;serif" w:hAnsi="Times New Roman;serif"/>
          <w:b w:val="false"/>
          <w:sz w:val="22"/>
        </w:rPr>
        <w:t xml:space="preserve">of the Code or, solely for purposes of </w:t>
      </w:r>
      <w:bookmarkStart w:id="313" w:name="docxtextref374"/>
      <w:bookmarkEnd w:id="313"/>
      <w:r>
        <w:rPr>
          <w:rFonts w:ascii="Times New Roman;serif" w:hAnsi="Times New Roman;serif"/>
          <w:b w:val="false"/>
          <w:sz w:val="22"/>
        </w:rPr>
        <w:t>Section 302</w:t>
      </w:r>
      <w:r>
        <w:rPr>
          <w:rFonts w:ascii="Times New Roman" w:hAnsi="Times New Roman"/>
          <w:sz w:val="20"/>
        </w:rPr>
        <w:t xml:space="preserve"> </w:t>
      </w:r>
      <w:r>
        <w:rPr>
          <w:rFonts w:ascii="Times New Roman;serif" w:hAnsi="Times New Roman;serif"/>
          <w:b w:val="false"/>
          <w:sz w:val="22"/>
        </w:rPr>
        <w:t xml:space="preserve">of ERISA and </w:t>
      </w:r>
      <w:bookmarkStart w:id="314" w:name="docxtextref375"/>
      <w:bookmarkEnd w:id="314"/>
      <w:r>
        <w:rPr>
          <w:rFonts w:ascii="Times New Roman;serif" w:hAnsi="Times New Roman;serif"/>
          <w:b w:val="false"/>
          <w:sz w:val="22"/>
        </w:rPr>
        <w:t>Section 412</w:t>
      </w:r>
      <w:r>
        <w:rPr>
          <w:rFonts w:ascii="Times New Roman" w:hAnsi="Times New Roman"/>
          <w:sz w:val="20"/>
        </w:rPr>
        <w:t xml:space="preserve"> </w:t>
      </w:r>
      <w:r>
        <w:rPr>
          <w:rFonts w:ascii="Times New Roman;serif" w:hAnsi="Times New Roman;serif"/>
          <w:b w:val="false"/>
          <w:sz w:val="22"/>
        </w:rPr>
        <w:t xml:space="preserve">of the Code, is treated as a single employer under </w:t>
      </w:r>
      <w:bookmarkStart w:id="315" w:name="docxtextref376"/>
      <w:bookmarkEnd w:id="315"/>
      <w:r>
        <w:rPr>
          <w:rFonts w:ascii="Times New Roman;serif" w:hAnsi="Times New Roman;serif"/>
          <w:b w:val="false"/>
          <w:sz w:val="22"/>
        </w:rPr>
        <w:t>Section 414</w:t>
      </w:r>
      <w:r>
        <w:rPr>
          <w:rFonts w:ascii="Times New Roman" w:hAnsi="Times New Roman"/>
          <w:sz w:val="20"/>
        </w:rPr>
        <w:t xml:space="preserve"> </w:t>
      </w:r>
      <w:r>
        <w:rPr>
          <w:rFonts w:ascii="Times New Roman;serif" w:hAnsi="Times New Roman;serif"/>
          <w:b w:val="false"/>
          <w:sz w:val="22"/>
        </w:rPr>
        <w:t>of the Code.</w:t>
      </w:r>
    </w:p>
    <w:p>
      <w:pPr>
        <w:pStyle w:val="TextBody"/>
        <w:bidi w:val="0"/>
        <w:spacing w:before="0" w:after="240"/>
        <w:jc w:val="both"/>
        <w:rPr/>
      </w:pPr>
      <w:bookmarkStart w:id="316" w:name="docxtextref378"/>
      <w:bookmarkEnd w:id="316"/>
      <w:r>
        <w:rPr/>
        <w:t>“</w:t>
      </w:r>
      <w:r>
        <w:rPr>
          <w:rFonts w:ascii="Times New Roman;serif" w:hAnsi="Times New Roman;serif"/>
          <w:b w:val="false"/>
          <w:sz w:val="22"/>
          <w:u w:val="single"/>
        </w:rPr>
        <w:t>ERISA Event</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any “reportable event,” as defined in Section 4043(c) of ERISA or the regulations issued thereunder with respect to a Plan (other than an event for which the 30</w:t>
        <w:noBreakHyphen/>
        <w:t xml:space="preserve">day notice period is waived); </w:t>
      </w:r>
      <w:bookmarkStart w:id="317" w:name="docxtextref379"/>
      <w:bookmarkEnd w:id="31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failure by any Plan to satisfy the minimum funding standard (within the meaning of </w:t>
      </w:r>
      <w:bookmarkStart w:id="318" w:name="docxtextref388"/>
      <w:bookmarkEnd w:id="318"/>
      <w:r>
        <w:rPr>
          <w:rFonts w:ascii="Times New Roman;serif" w:hAnsi="Times New Roman;serif"/>
          <w:b w:val="false"/>
          <w:sz w:val="22"/>
        </w:rPr>
        <w:t>Section 412</w:t>
      </w:r>
      <w:r>
        <w:rPr>
          <w:rFonts w:ascii="Times New Roman" w:hAnsi="Times New Roman"/>
          <w:sz w:val="20"/>
        </w:rPr>
        <w:t xml:space="preserve"> </w:t>
      </w:r>
      <w:r>
        <w:rPr>
          <w:rFonts w:ascii="Times New Roman;serif" w:hAnsi="Times New Roman;serif"/>
          <w:b w:val="false"/>
          <w:sz w:val="22"/>
        </w:rPr>
        <w:t xml:space="preserve">of the Code or </w:t>
      </w:r>
      <w:bookmarkStart w:id="319" w:name="docxtextref389"/>
      <w:bookmarkEnd w:id="319"/>
      <w:r>
        <w:rPr>
          <w:rFonts w:ascii="Times New Roman;serif" w:hAnsi="Times New Roman;serif"/>
          <w:b w:val="false"/>
          <w:sz w:val="22"/>
        </w:rPr>
        <w:t>Section 302</w:t>
      </w:r>
      <w:r>
        <w:rPr>
          <w:rFonts w:ascii="Times New Roman" w:hAnsi="Times New Roman"/>
          <w:sz w:val="20"/>
        </w:rPr>
        <w:t xml:space="preserve"> </w:t>
      </w:r>
      <w:r>
        <w:rPr>
          <w:rFonts w:ascii="Times New Roman;serif" w:hAnsi="Times New Roman;serif"/>
          <w:b w:val="false"/>
          <w:sz w:val="22"/>
        </w:rPr>
        <w:t xml:space="preserve">of ERISA) applicable to such Plan, in each case whether or not waived; </w:t>
      </w:r>
      <w:bookmarkStart w:id="320" w:name="docxtextref380"/>
      <w:bookmarkEnd w:id="32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filing pursuant to </w:t>
      </w:r>
      <w:bookmarkStart w:id="321" w:name="docxtextref390"/>
      <w:bookmarkEnd w:id="321"/>
      <w:r>
        <w:rPr>
          <w:rFonts w:ascii="Times New Roman;serif" w:hAnsi="Times New Roman;serif"/>
          <w:b w:val="false"/>
          <w:sz w:val="22"/>
        </w:rPr>
        <w:t>Section 412(c)</w:t>
      </w:r>
      <w:r>
        <w:rPr>
          <w:rFonts w:ascii="Times New Roman" w:hAnsi="Times New Roman"/>
          <w:sz w:val="20"/>
        </w:rPr>
        <w:t xml:space="preserve"> </w:t>
      </w:r>
      <w:r>
        <w:rPr>
          <w:rFonts w:ascii="Times New Roman;serif" w:hAnsi="Times New Roman;serif"/>
          <w:b w:val="false"/>
          <w:sz w:val="22"/>
        </w:rPr>
        <w:t xml:space="preserve">of the Code or </w:t>
      </w:r>
      <w:bookmarkStart w:id="322" w:name="docxtextref391"/>
      <w:bookmarkEnd w:id="322"/>
      <w:r>
        <w:rPr>
          <w:rFonts w:ascii="Times New Roman;serif" w:hAnsi="Times New Roman;serif"/>
          <w:b w:val="false"/>
          <w:sz w:val="22"/>
        </w:rPr>
        <w:t>Section 302(c)</w:t>
      </w:r>
      <w:r>
        <w:rPr>
          <w:rFonts w:ascii="Times New Roman" w:hAnsi="Times New Roman"/>
          <w:sz w:val="20"/>
        </w:rPr>
        <w:t xml:space="preserve"> </w:t>
      </w:r>
      <w:r>
        <w:rPr>
          <w:rFonts w:ascii="Times New Roman;serif" w:hAnsi="Times New Roman;serif"/>
          <w:b w:val="false"/>
          <w:sz w:val="22"/>
        </w:rPr>
        <w:t xml:space="preserve">of ERISA of an application for a waiver of the minimum funding standard with respect to any Plan; </w:t>
      </w:r>
      <w:bookmarkStart w:id="323" w:name="docxtextref381"/>
      <w:bookmarkEnd w:id="323"/>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 determination that any Plan is, or is expected to be, in “at-risk” status (as defined in Section 303(i)(4) of ERISA or Section 430(i)(4) of the Code); </w:t>
      </w:r>
      <w:bookmarkStart w:id="324" w:name="docxtextref382"/>
      <w:bookmarkEnd w:id="324"/>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w:t>
      </w:r>
      <w:bookmarkStart w:id="325" w:name="docxtextref383"/>
      <w:bookmarkEnd w:id="325"/>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 xml:space="preserve">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w:t>
      </w:r>
      <w:bookmarkStart w:id="326" w:name="docxtextref384"/>
      <w:bookmarkEnd w:id="326"/>
      <w:r>
        <w:rPr>
          <w:rFonts w:ascii="Times New Roman;serif" w:hAnsi="Times New Roman;serif"/>
          <w:b w:val="false"/>
          <w:sz w:val="22"/>
        </w:rPr>
        <w:t>(g)</w:t>
      </w:r>
      <w:r>
        <w:rPr>
          <w:rFonts w:ascii="Times New Roman" w:hAnsi="Times New Roman"/>
          <w:sz w:val="20"/>
        </w:rPr>
        <w:t xml:space="preserve"> </w:t>
      </w:r>
      <w:r>
        <w:rPr>
          <w:rFonts w:ascii="Times New Roman;serif" w:hAnsi="Times New Roman;serif"/>
          <w:b w:val="false"/>
          <w:sz w:val="22"/>
        </w:rPr>
        <w:t xml:space="preserve">the incurrence by a Loan Party or any ERISA Affiliate of any liability with respect to its withdrawal or partial withdrawal from any Multiemployer Plan; </w:t>
      </w:r>
      <w:bookmarkStart w:id="327" w:name="docxtextref385"/>
      <w:bookmarkEnd w:id="327"/>
      <w:r>
        <w:rPr>
          <w:rFonts w:ascii="Times New Roman;serif" w:hAnsi="Times New Roman;serif"/>
          <w:b w:val="false"/>
          <w:sz w:val="22"/>
        </w:rPr>
        <w:t>(h)</w:t>
      </w:r>
      <w:r>
        <w:rPr>
          <w:rFonts w:ascii="Times New Roman" w:hAnsi="Times New Roman"/>
          <w:sz w:val="20"/>
        </w:rPr>
        <w:t xml:space="preserve"> </w:t>
      </w:r>
      <w:r>
        <w:rPr>
          <w:rFonts w:ascii="Times New Roman;serif" w:hAnsi="Times New Roman;serif"/>
          <w:b w:val="false"/>
          <w:sz w:val="22"/>
        </w:rPr>
        <w:t xml:space="preserve">the receipt by a Loan Party or any ERISA Affiliate from a Multiemployer Plan of any notice concerning the imposition of Withdrawal Liability on a Loan Party or ERISA Affiliate; </w:t>
      </w:r>
      <w:bookmarkStart w:id="328" w:name="docxtextref386"/>
      <w:bookmarkEnd w:id="32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failure of a Loan Party or any ERISA Affiliate to pay when due, after the expiration of any applicable grace period, any installment payment with respect to any Withdrawal Liability; or </w:t>
      </w:r>
      <w:bookmarkStart w:id="329" w:name="docxtextref387"/>
      <w:bookmarkEnd w:id="329"/>
      <w:r>
        <w:rPr>
          <w:rFonts w:ascii="Times New Roman;serif" w:hAnsi="Times New Roman;serif"/>
          <w:b w:val="false"/>
          <w:sz w:val="22"/>
        </w:rPr>
        <w:t>(j)</w:t>
      </w:r>
      <w:r>
        <w:rPr>
          <w:rFonts w:ascii="Times New Roman" w:hAnsi="Times New Roman"/>
          <w:sz w:val="20"/>
        </w:rPr>
        <w:t xml:space="preserve"> </w:t>
      </w:r>
      <w:r>
        <w:rPr>
          <w:rFonts w:ascii="Times New Roman;serif" w:hAnsi="Times New Roman;serif"/>
          <w:b w:val="false"/>
          <w:sz w:val="22"/>
        </w:rPr>
        <w:t>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pStyle w:val="TextBody"/>
        <w:bidi w:val="0"/>
        <w:spacing w:before="0" w:after="240"/>
        <w:jc w:val="both"/>
        <w:rPr/>
      </w:pPr>
      <w:r>
        <w:rPr/>
        <w:t>“</w:t>
      </w:r>
      <w:r>
        <w:rPr>
          <w:rFonts w:ascii="Times New Roman;serif" w:hAnsi="Times New Roman;serif"/>
          <w:b w:val="false"/>
          <w:sz w:val="22"/>
          <w:u w:val="single"/>
        </w:rPr>
        <w:t>EU Bail-In Legislation Schedule</w:t>
      </w:r>
      <w:r>
        <w:rPr>
          <w:rFonts w:ascii="Times New Roman" w:hAnsi="Times New Roman"/>
          <w:sz w:val="20"/>
        </w:rPr>
        <w:t xml:space="preserve">” </w:t>
      </w:r>
      <w:r>
        <w:rPr>
          <w:rFonts w:ascii="Times New Roman;serif" w:hAnsi="Times New Roman;serif"/>
          <w:b w:val="false"/>
          <w:sz w:val="22"/>
        </w:rPr>
        <w:t>means the EU Bail-In Legislation Schedule published by the Loan Market Association (or any successor person), as in effect from time to time.</w:t>
      </w:r>
    </w:p>
    <w:p>
      <w:pPr>
        <w:pStyle w:val="TextBody"/>
        <w:bidi w:val="0"/>
        <w:spacing w:before="0" w:after="240"/>
        <w:jc w:val="both"/>
        <w:rPr/>
      </w:pPr>
      <w:r>
        <w:rPr/>
        <w:t>“</w:t>
      </w:r>
      <w:r>
        <w:rPr>
          <w:rFonts w:ascii="Times New Roman;serif" w:hAnsi="Times New Roman;serif"/>
          <w:b w:val="false"/>
          <w:sz w:val="22"/>
          <w:u w:val="single"/>
        </w:rPr>
        <w:t>Euro</w:t>
      </w:r>
      <w:r>
        <w:rPr>
          <w:rFonts w:ascii="Times New Roman" w:hAnsi="Times New Roman"/>
          <w:sz w:val="20"/>
        </w:rPr>
        <w:t xml:space="preserve">” </w:t>
      </w:r>
      <w:r>
        <w:rPr>
          <w:rFonts w:ascii="Times New Roman;serif" w:hAnsi="Times New Roman;serif"/>
          <w:b w:val="false"/>
          <w:sz w:val="22"/>
        </w:rPr>
        <w:t>and “</w:t>
      </w:r>
      <w:r>
        <w:rPr>
          <w:rFonts w:ascii="Times New Roman" w:hAnsi="Times New Roman"/>
          <w:sz w:val="20"/>
          <w:u w:val="single"/>
        </w:rPr>
        <w:t>€</w:t>
      </w:r>
      <w:r>
        <w:rPr>
          <w:rFonts w:ascii="Times New Roman" w:hAnsi="Times New Roman"/>
          <w:sz w:val="20"/>
        </w:rPr>
        <w:t xml:space="preserve">” </w:t>
      </w:r>
      <w:r>
        <w:rPr>
          <w:rFonts w:ascii="Times New Roman;serif" w:hAnsi="Times New Roman;serif"/>
          <w:b w:val="false"/>
          <w:sz w:val="22"/>
        </w:rPr>
        <w:t>mean the lawful currency of the Participating Member States introduced in accordance with the EMU Legislation.</w:t>
      </w:r>
    </w:p>
    <w:p>
      <w:pPr>
        <w:pStyle w:val="TextBody"/>
        <w:bidi w:val="0"/>
        <w:spacing w:before="0" w:after="240"/>
        <w:jc w:val="both"/>
        <w:rPr/>
      </w:pPr>
      <w:r>
        <w:rPr/>
        <w:t>“</w:t>
      </w:r>
      <w:r>
        <w:rPr>
          <w:rFonts w:ascii="Times New Roman;serif" w:hAnsi="Times New Roman;serif"/>
          <w:b w:val="false"/>
          <w:sz w:val="22"/>
          <w:u w:val="single"/>
        </w:rPr>
        <w:t>Eurodollar</w:t>
      </w:r>
      <w:r>
        <w:rPr>
          <w:rFonts w:ascii="Times New Roman" w:hAnsi="Times New Roman"/>
          <w:sz w:val="20"/>
        </w:rPr>
        <w:t xml:space="preserve">” </w:t>
      </w:r>
      <w:r>
        <w:rPr>
          <w:rFonts w:ascii="Times New Roman;serif" w:hAnsi="Times New Roman;serif"/>
          <w:b w:val="false"/>
          <w:sz w:val="22"/>
        </w:rPr>
        <w:t>when used in reference to any Loan or Borrowing, refers to whether such Loan, or the Loans comprising such Borrowing, are bearing interest at a rate determined by reference to the Adjusted LIBO Rate.</w:t>
      </w:r>
    </w:p>
    <w:p>
      <w:pPr>
        <w:pStyle w:val="TextBody"/>
        <w:bidi w:val="0"/>
        <w:spacing w:before="0" w:after="240"/>
        <w:jc w:val="both"/>
        <w:rPr/>
      </w:pPr>
      <w:r>
        <w:rPr/>
        <w:t>“</w:t>
      </w:r>
      <w:r>
        <w:rPr>
          <w:rFonts w:ascii="Times New Roman;serif" w:hAnsi="Times New Roman;serif"/>
          <w:b w:val="false"/>
          <w:sz w:val="22"/>
          <w:u w:val="single"/>
        </w:rPr>
        <w:t>Event of Default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7.01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Excess Cash Flow</w:t>
      </w:r>
      <w:r>
        <w:rPr>
          <w:rFonts w:ascii="Times New Roman" w:hAnsi="Times New Roman"/>
          <w:sz w:val="20"/>
        </w:rPr>
        <w:t xml:space="preserve">” </w:t>
      </w:r>
      <w:r>
        <w:rPr>
          <w:rFonts w:ascii="Times New Roman;serif" w:hAnsi="Times New Roman;serif"/>
          <w:b w:val="false"/>
          <w:sz w:val="22"/>
        </w:rPr>
        <w:t>means, for any period, an amount equal to the excess 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the sum, without duplication, 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Consolidated Net Income for such period;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-39-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an amount equal to the amount of all non-cash charges to the extent deducted in arriving at such Consolidated Net Income;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decreases in Consolidated Working Capital and long-term accounts receivable for such period (other than decreases relating to dispositions permitted pursuant to clause (k) of the definition of “Asset Sale”;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(iv) an amount equal to the aggregate net non-cash loss on dispositions by Bidco and the Restricted Subsidiaries during such period (other than dispositions in the ordinary course of business) to the extent deducted in arriving at such Consolidated Net Income, </w:t>
      </w:r>
      <w:r>
        <w:rPr>
          <w:rFonts w:ascii="Times New Roman;serif" w:hAnsi="Times New Roman;serif"/>
          <w:b w:val="false"/>
          <w:sz w:val="22"/>
          <w:u w:val="single"/>
        </w:rPr>
        <w:t>less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sum, without duplication, of:</w:t>
      </w:r>
    </w:p>
    <w:p>
      <w:pPr>
        <w:pStyle w:val="TextBody"/>
        <w:bidi w:val="0"/>
        <w:spacing w:before="0" w:after="240"/>
        <w:jc w:val="both"/>
        <w:rPr>
          <w:rFonts w:ascii="Times New Roman" w:hAnsi="Times New Roman"/>
          <w:sz w:val="20"/>
        </w:rPr>
      </w:pPr>
      <w:bookmarkStart w:id="330" w:name="docxtextref393"/>
      <w:bookmarkEnd w:id="330"/>
      <w:r>
        <w:rPr>
          <w:rFonts w:ascii="Times New Roman;serif" w:hAnsi="Times New Roman;serif"/>
          <w:b w:val="false"/>
          <w:sz w:val="22"/>
        </w:rPr>
        <w:t xml:space="preserve">(i) 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(1), </w:t>
      </w:r>
      <w:bookmarkStart w:id="331" w:name="docxtextref394"/>
      <w:bookmarkEnd w:id="331"/>
      <w:r>
        <w:rPr>
          <w:rFonts w:ascii="Times New Roman;serif" w:hAnsi="Times New Roman;serif"/>
          <w:b w:val="false"/>
          <w:sz w:val="22"/>
        </w:rPr>
        <w:t xml:space="preserve">(2), </w:t>
      </w:r>
      <w:bookmarkStart w:id="332" w:name="docxtextref395"/>
      <w:bookmarkEnd w:id="332"/>
      <w:r>
        <w:rPr>
          <w:rFonts w:ascii="Times New Roman;serif" w:hAnsi="Times New Roman;serif"/>
          <w:b w:val="false"/>
          <w:sz w:val="22"/>
        </w:rPr>
        <w:t xml:space="preserve">(8), </w:t>
      </w:r>
      <w:bookmarkStart w:id="333" w:name="docxtextref396"/>
      <w:bookmarkEnd w:id="333"/>
      <w:r>
        <w:rPr>
          <w:rFonts w:ascii="Times New Roman;serif" w:hAnsi="Times New Roman;serif"/>
          <w:b w:val="false"/>
          <w:sz w:val="22"/>
        </w:rPr>
        <w:t xml:space="preserve">(10), </w:t>
      </w:r>
      <w:bookmarkStart w:id="334" w:name="docxtextref397"/>
      <w:bookmarkEnd w:id="334"/>
      <w:r>
        <w:rPr>
          <w:rFonts w:ascii="Times New Roman;serif" w:hAnsi="Times New Roman;serif"/>
          <w:b w:val="false"/>
          <w:sz w:val="22"/>
        </w:rPr>
        <w:t xml:space="preserve">(11), </w:t>
      </w:r>
      <w:bookmarkStart w:id="335" w:name="docxtextref398"/>
      <w:bookmarkEnd w:id="335"/>
      <w:r>
        <w:rPr>
          <w:rFonts w:ascii="Times New Roman;serif" w:hAnsi="Times New Roman;serif"/>
          <w:b w:val="false"/>
          <w:sz w:val="22"/>
        </w:rPr>
        <w:t xml:space="preserve">(12), </w:t>
      </w:r>
      <w:bookmarkStart w:id="336" w:name="docxtextref399"/>
      <w:bookmarkEnd w:id="336"/>
      <w:r>
        <w:rPr>
          <w:rFonts w:ascii="Times New Roman;serif" w:hAnsi="Times New Roman;serif"/>
          <w:b w:val="false"/>
          <w:sz w:val="22"/>
        </w:rPr>
        <w:t>(16)</w:t>
      </w:r>
      <w:r>
        <w:rPr>
          <w:rFonts w:ascii="Times New Roman" w:hAnsi="Times New Roman"/>
          <w:sz w:val="20"/>
        </w:rPr>
        <w:t xml:space="preserve"> </w:t>
      </w:r>
      <w:r>
        <w:rPr>
          <w:rFonts w:ascii="Times New Roman;serif" w:hAnsi="Times New Roman;serif"/>
          <w:b w:val="false"/>
          <w:sz w:val="22"/>
        </w:rPr>
        <w:t>and (17)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without duplication of amounts deducted pursuant to clause (xii) below in prior fiscal years, the amount of capital expenditures made in cash or accrued during such period, except to the extent that such capital expenditures were financed with the proceeds of long-term Indebtedness of Bidco or the Restricted Subsidiaries (other than the Revolving Loans);</w:t>
      </w:r>
    </w:p>
    <w:p>
      <w:pPr>
        <w:pStyle w:val="TextBody"/>
        <w:bidi w:val="0"/>
        <w:spacing w:before="0" w:after="240"/>
        <w:jc w:val="both"/>
        <w:rPr>
          <w:rFonts w:ascii="Times New Roman" w:hAnsi="Times New Roman"/>
          <w:sz w:val="20"/>
        </w:rPr>
      </w:pPr>
      <w:bookmarkStart w:id="337" w:name="docxtextref400"/>
      <w:bookmarkEnd w:id="337"/>
      <w:r>
        <w:rPr>
          <w:rFonts w:ascii="Times New Roman;serif" w:hAnsi="Times New Roman;serif"/>
          <w:b w:val="false"/>
          <w:sz w:val="22"/>
        </w:rPr>
        <w:t>(iii) the aggregate amount of all principal payments of Indebtedness (including (1)</w:t>
      </w:r>
      <w:r>
        <w:rPr>
          <w:rFonts w:ascii="Times New Roman" w:hAnsi="Times New Roman"/>
          <w:sz w:val="20"/>
        </w:rPr>
        <w:t xml:space="preserve"> </w:t>
      </w:r>
      <w:r>
        <w:rPr>
          <w:rFonts w:ascii="Times New Roman;serif" w:hAnsi="Times New Roman;serif"/>
          <w:b w:val="false"/>
          <w:sz w:val="22"/>
        </w:rPr>
        <w:t xml:space="preserve">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and all prepayments of revolving loans and swingline loans (including Revolving Loans and Swingline Loans)) made during such period, other than </w:t>
      </w:r>
      <w:bookmarkStart w:id="338" w:name="docxtextref401"/>
      <w:bookmarkEnd w:id="338"/>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in respect of any revolving credit facility or swingline facility except to the extent there is an equivalent permanent reduction in commitments thereunder and </w:t>
      </w:r>
      <w:bookmarkStart w:id="339" w:name="docxtextref402"/>
      <w:bookmarkEnd w:id="33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to the extent financed with the proceeds of other Indebtedness of Bidco or the Restricted Subsidiaries;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(iv) an amount equal to the aggregate net non-cash gain on dispositions by Bidco and the Restricted Subsidiaries during such period (other than dispositions in the ordinary course of business) to the extent included in arriving at such Consolidated Net Income;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increases in Consolidated Working Capital and long-term accounts receivable for such period;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 cash payments by Bidco and the Restricted Subsidiaries during such period in respect of long-term liabilities of Bidco and the Restricted Subsidiaries other than Indebtedness;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(vii) without duplication of amounts deducted pursuant to clause (xii) below in prior fiscal years, the amount of Investments (other than Investments in Cash Equivalents) and acquisitions not prohibited by this Agreement, except to the extent that such Investments and acquisitions were financed with the proceeds of long-term Indebtedness of Bidco or the Restricted Subsidiaries (other than the Revolving Loans);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(viii) the amount of dividends and other Restricted Payments (including the amount of Tax Distributions made by Bidco to the extent not deducted in arriving at Consolidated Net Income) paid in cash during such period, except to the extent that such dividends and Restricted Payments were financed with the proceeds of long-term Indebtedness of Bidco or the Restricted Subsidiaries (other than the Revolving Loans);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(ix) the aggregate amount of payments and expenditures actually made by Bidco and the Restricted Subsidiaries in cash during such period (including expenditures for the payment of financing fees) to the extent that such payments and expenditures are not expensed during such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 cash payments by Bidco and the Restricted Subsidiaries during such period in respect of non-cash charges included in the calculation of Consolidated Net Income in any prior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 the aggregate amount of any premium, make-whole or penalty payments actually paid in cash by Bidco and the Restricted Subsidiaries during such period that are required to be made in connection with any prepayment of Indebtedness;</w:t>
      </w:r>
    </w:p>
    <w:p>
      <w:pPr>
        <w:pStyle w:val="TextBody"/>
        <w:bidi w:val="0"/>
        <w:spacing w:before="0" w:after="240"/>
        <w:jc w:val="both"/>
        <w:rPr>
          <w:rFonts w:ascii="Times New Roman" w:hAnsi="Times New Roman"/>
          <w:sz w:val="20"/>
        </w:rPr>
      </w:pPr>
      <w:bookmarkStart w:id="340" w:name="docxtextref404"/>
      <w:bookmarkEnd w:id="340"/>
      <w:r>
        <w:rPr>
          <w:rFonts w:ascii="Times New Roman;serif" w:hAnsi="Times New Roman;serif"/>
          <w:b w:val="false"/>
          <w:sz w:val="22"/>
        </w:rPr>
        <w:t>(xii) at the option of Bidco, and without duplication of amounts deducted in prior periods, (A)</w:t>
      </w:r>
      <w:r>
        <w:rPr>
          <w:rFonts w:ascii="Times New Roman" w:hAnsi="Times New Roman"/>
          <w:sz w:val="20"/>
        </w:rPr>
        <w:t xml:space="preserve"> </w:t>
      </w:r>
      <w:r>
        <w:rPr>
          <w:rFonts w:ascii="Times New Roman;serif" w:hAnsi="Times New Roman;serif"/>
          <w:b w:val="false"/>
          <w:sz w:val="22"/>
        </w:rPr>
        <w:t>the aggregate consideration required to be paid in cash by Bidco or any of the Restricted Subsidiaries pursuant to binding contracts, commitments, letters of intent or purchase orders (the “</w:t>
      </w:r>
      <w:r>
        <w:rPr>
          <w:rFonts w:ascii="Times New Roman;serif" w:hAnsi="Times New Roman;serif"/>
          <w:b w:val="false"/>
          <w:sz w:val="22"/>
          <w:u w:val="single"/>
        </w:rPr>
        <w:t>Contract Consideration</w:t>
      </w:r>
      <w:r>
        <w:rPr>
          <w:rFonts w:ascii="Times New Roman" w:hAnsi="Times New Roman"/>
          <w:sz w:val="20"/>
        </w:rPr>
        <w:t>”</w:t>
      </w:r>
      <w:r>
        <w:rPr>
          <w:rFonts w:ascii="Times New Roman;serif" w:hAnsi="Times New Roman;serif"/>
          <w:b w:val="false"/>
          <w:sz w:val="22"/>
        </w:rPr>
        <w:t xml:space="preserve">), in each case, entered into prior to or during such period and </w:t>
      </w:r>
      <w:bookmarkStart w:id="341" w:name="docxtextref405"/>
      <w:bookmarkEnd w:id="34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to the extent set forth in a certificate of a Financial Officer delivered to the Administrative Agent at or before the time the Compliance Certificate for such period is required to be delivered pursuant to </w:t>
      </w:r>
      <w:r>
        <w:rPr>
          <w:rFonts w:ascii="Times New Roman;serif" w:hAnsi="Times New Roman;serif"/>
          <w:b w:val="false"/>
          <w:sz w:val="22"/>
          <w:u w:val="single"/>
        </w:rPr>
        <w:t>Section 5.01(d)</w:t>
      </w:r>
      <w:r>
        <w:rPr>
          <w:rFonts w:ascii="Times New Roman;serif" w:hAnsi="Times New Roman;serif"/>
          <w:b w:val="false"/>
          <w:sz w:val="22"/>
        </w:rPr>
        <w:t>, the aggregate amount of cash that is reasonably expected to be paid in respect of planned cash expenditures by Bidco or any of the Restricted Subsidiaries (the “</w:t>
      </w:r>
      <w:r>
        <w:rPr>
          <w:rFonts w:ascii="Times New Roman;serif" w:hAnsi="Times New Roman;serif"/>
          <w:b w:val="false"/>
          <w:sz w:val="22"/>
          <w:u w:val="single"/>
        </w:rPr>
        <w:t>Planned Expenditures</w:t>
      </w:r>
      <w:r>
        <w:rPr>
          <w:rFonts w:ascii="Times New Roman" w:hAnsi="Times New Roman"/>
          <w:sz w:val="20"/>
        </w:rPr>
        <w:t>”</w:t>
      </w:r>
      <w:r>
        <w:rPr>
          <w:rFonts w:ascii="Times New Roman;serif" w:hAnsi="Times New Roman;serif"/>
          <w:b w:val="false"/>
          <w:sz w:val="22"/>
        </w:rPr>
        <w:t xml:space="preserve">), in the case of each of clauses (A) and </w:t>
      </w:r>
      <w:bookmarkStart w:id="342" w:name="docxtextref406"/>
      <w:bookmarkEnd w:id="342"/>
      <w:r>
        <w:rPr>
          <w:rFonts w:ascii="Times New Roman;serif" w:hAnsi="Times New Roman;serif"/>
          <w:b w:val="false"/>
          <w:sz w:val="22"/>
        </w:rPr>
        <w:t xml:space="preserve">(B), relating to Permitted Acquisitions, other Investments (other than Investments in Cash Equivalents), capital expenditures (including Capitalized Software Expenditures or other purchases of Intellectual Property) or Restricted Payments to be consummated or made during a subsequent period; </w:t>
      </w:r>
      <w:r>
        <w:rPr>
          <w:rFonts w:ascii="Times New Roman;serif" w:hAnsi="Times New Roman;serif"/>
          <w:b w:val="false"/>
          <w:sz w:val="22"/>
          <w:u w:val="single"/>
        </w:rPr>
        <w:t>provided</w:t>
      </w:r>
      <w:r>
        <w:rPr>
          <w:rFonts w:ascii="Times New Roman;serif" w:hAnsi="Times New Roman;serif"/>
          <w:b w:val="false"/>
          <w:sz w:val="22"/>
        </w:rPr>
        <w:t>, that to the extent the aggregate amount of cash actually utilized to finance such Permitted Acquisitions, Investments, capital expenditures or Restricted Payments during such subsequent period (excluding any cash from the proceeds of long-term Indebtedness of Bidco or the Restricted Subsidiaries (other than the Revolving Loans)) is less than the Contract Consideration and Planned Expenditures, the amount of such shortfall shall be added to the calculation of Excess Cash Flow at the end of such subsequent period;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(xiii) the amount of cash payments made in such period to the extent they exceed the amount of rent payments deducted in determining Consolidated Net Income for such period;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(xiv) the amount of taxes (including penalties and interest) paid in cash and/or tax reserves set aside or payable (without duplication) in such period to the extent they exceed the amount of tax expense deducted in determining Consolidated Net Income for such period.</w:t>
      </w:r>
    </w:p>
    <w:p>
      <w:pPr>
        <w:pStyle w:val="TextBody"/>
        <w:bidi w:val="0"/>
        <w:spacing w:before="0" w:after="240"/>
        <w:jc w:val="both"/>
        <w:rPr/>
      </w:pPr>
      <w:r>
        <w:rPr/>
        <w:t>“</w:t>
      </w:r>
      <w:r>
        <w:rPr>
          <w:rFonts w:ascii="Times New Roman;serif" w:hAnsi="Times New Roman;serif"/>
          <w:b w:val="false"/>
          <w:sz w:val="22"/>
          <w:u w:val="single"/>
        </w:rPr>
        <w:t>Exchange Act</w:t>
      </w:r>
      <w:r>
        <w:rPr>
          <w:rFonts w:ascii="Times New Roman" w:hAnsi="Times New Roman"/>
          <w:sz w:val="20"/>
        </w:rPr>
        <w:t xml:space="preserve">” </w:t>
      </w:r>
      <w:r>
        <w:rPr>
          <w:rFonts w:ascii="Times New Roman;serif" w:hAnsi="Times New Roman;serif"/>
          <w:b w:val="false"/>
          <w:sz w:val="22"/>
        </w:rPr>
        <w:t>means the United States Securities Exchange Act of 1934, as amended from time to time.</w:t>
      </w:r>
    </w:p>
    <w:p>
      <w:pPr>
        <w:pStyle w:val="TextBody"/>
        <w:bidi w:val="0"/>
        <w:spacing w:before="0" w:after="240"/>
        <w:jc w:val="both"/>
        <w:rPr/>
      </w:pPr>
      <w:bookmarkStart w:id="343" w:name="docxtextref407"/>
      <w:bookmarkEnd w:id="343"/>
      <w:r>
        <w:rPr/>
        <w:t>“</w:t>
      </w:r>
      <w:r>
        <w:rPr>
          <w:rFonts w:ascii="Times New Roman;serif" w:hAnsi="Times New Roman;serif"/>
          <w:b w:val="false"/>
          <w:sz w:val="22"/>
          <w:u w:val="single"/>
        </w:rPr>
        <w:t>Excluded Affiliates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Affiliates of the Joint Lead Arrangers that are engaged as principals primarily in private equity, mezzanine financing or venture capital and </w:t>
      </w:r>
      <w:bookmarkStart w:id="344" w:name="docxtextref408"/>
      <w:bookmarkEnd w:id="34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employees of the Joint Lead Arrangers engaged directly or indirectly in the sale of the Company as representatives of the Company (other than, in each case, such Persons engaged by Bidco or its Affiliates as part of the Transactions and such senior employees who are required, in accordance with industry regulations or such Joint Lead Arranger’s (or its Affiliate’s) internal policies and procedures, to act in a supervisory capacity and such Joint Lead Arranger’s internal legal, compliance, risk management, credit or investment committee members).</w:t>
      </w:r>
    </w:p>
    <w:p>
      <w:pPr>
        <w:pStyle w:val="TextBody"/>
        <w:bidi w:val="0"/>
        <w:spacing w:before="0" w:after="240"/>
        <w:jc w:val="both"/>
        <w:rPr/>
      </w:pPr>
      <w:bookmarkStart w:id="345" w:name="docxtextref409"/>
      <w:bookmarkEnd w:id="345"/>
      <w:r>
        <w:rPr/>
        <w:t>“</w:t>
      </w:r>
      <w:r>
        <w:rPr>
          <w:rFonts w:ascii="Times New Roman;serif" w:hAnsi="Times New Roman;serif"/>
          <w:b w:val="false"/>
          <w:sz w:val="22"/>
          <w:u w:val="single"/>
        </w:rPr>
        <w:t>Excluded Assets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in relation to a U.S. Loan Party, “Excluded Assets” as defined in the Collateral Agreement, </w:t>
      </w:r>
      <w:bookmarkStart w:id="346" w:name="docxtextref410"/>
      <w:bookmarkEnd w:id="34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relation to the relevant Loan Party, any other excluded assets defined or described in any other Security Documents, as reasonably agreed between the Administrative Agent and Bidco and (c) in relation to a Non-U.S. Loan Party, any assets of, held by or relating to, such Non-U.S. Loan Party, which, in each case, do not fall within the assets expressly contemplated under the definition of Overriding Principle (as defined in the Agreed Security Principles) or are otherwise excluded in accordance with the Agreed Security Principles. Notwithstanding anything to the contrary herein (but subject to the Agreed Security Principles in the case of any Non-U.S. Loan Party), the Collateral shall include all Satellite Collateral;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Collateral shall not include (and Excluded Assets shall include) any Satellite Collateral to the extent granting a security therein is contractually or legally prohibited, prevented by public policy or national security concern or requires governmental (including regulatory) consent, approval, license or authorization from any Governmental Authority.</w:t>
      </w:r>
    </w:p>
    <w:p>
      <w:pPr>
        <w:pStyle w:val="TextBody"/>
        <w:bidi w:val="0"/>
        <w:spacing w:before="0" w:after="240"/>
        <w:jc w:val="both"/>
        <w:rPr/>
      </w:pPr>
      <w:r>
        <w:rPr/>
        <w:t>“</w:t>
      </w:r>
      <w:r>
        <w:rPr>
          <w:rFonts w:ascii="Times New Roman;serif" w:hAnsi="Times New Roman;serif"/>
          <w:b w:val="false"/>
          <w:sz w:val="22"/>
          <w:u w:val="single"/>
        </w:rPr>
        <w:t>Excluded Contribution</w:t>
      </w:r>
      <w:r>
        <w:rPr>
          <w:rFonts w:ascii="Times New Roman" w:hAnsi="Times New Roman"/>
          <w:sz w:val="20"/>
        </w:rPr>
        <w:t xml:space="preserve">” </w:t>
      </w:r>
      <w:r>
        <w:rPr>
          <w:rFonts w:ascii="Times New Roman;serif" w:hAnsi="Times New Roman;serif"/>
          <w:b w:val="false"/>
          <w:sz w:val="22"/>
        </w:rPr>
        <w:t>means net cash proceeds, marketable securities or Qualified Proceeds received by Bidco from:</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contributions to its common equity capital,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the sale (other than to a Subsidiary of Bidco or to any management equity plan or stock option plan or any other management or employee benefit plan or agreement of Bidco) of Equity Interests (other than Disqualified Equity Interests and Designated Preferred Stock) of Bidco,</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in each case designated as Excluded Contributions pursuant to an officer’s certificate executed by the principal financial officer of Bidco on the date such capital contributions are made or the date such Equity Interests are sold, as the case may be, which are excluded from the calculation set forth in clause (A) of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pPr>
      <w:r>
        <w:rPr/>
        <w:t>“</w:t>
      </w:r>
      <w:r>
        <w:rPr>
          <w:rFonts w:ascii="Times New Roman;serif" w:hAnsi="Times New Roman;serif"/>
          <w:b w:val="false"/>
          <w:sz w:val="22"/>
          <w:u w:val="single"/>
        </w:rPr>
        <w:t>Excluded Information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2.10(a)(ii)(A)</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Excluded Jurisdiction</w:t>
      </w:r>
      <w:r>
        <w:rPr>
          <w:rFonts w:ascii="Times New Roman" w:hAnsi="Times New Roman"/>
          <w:sz w:val="20"/>
        </w:rPr>
        <w:t xml:space="preserve">” </w:t>
      </w:r>
      <w:r>
        <w:rPr>
          <w:rFonts w:ascii="Times New Roman;serif" w:hAnsi="Times New Roman;serif"/>
          <w:b w:val="false"/>
          <w:sz w:val="22"/>
        </w:rPr>
        <w:t>means each of Bosnia, Brazil, China, Columbia, Ecuador, Egypt, India, Indonesia, Japan, Macedonia, Panama, Peru, Qatar, Romania, Russia, Serbia, Saudi Arabia, South Africa, the United Arab Emirates and Vietnam.</w:t>
      </w:r>
    </w:p>
    <w:p>
      <w:pPr>
        <w:pStyle w:val="TextBody"/>
        <w:bidi w:val="0"/>
        <w:spacing w:before="0" w:after="240"/>
        <w:jc w:val="both"/>
        <w:rPr/>
      </w:pPr>
      <w:bookmarkStart w:id="347" w:name="docxtextref414"/>
      <w:bookmarkEnd w:id="347"/>
      <w:r>
        <w:rPr/>
        <w:t>“</w:t>
      </w:r>
      <w:r>
        <w:rPr>
          <w:rFonts w:ascii="Times New Roman;serif" w:hAnsi="Times New Roman;serif"/>
          <w:b w:val="false"/>
          <w:sz w:val="22"/>
          <w:u w:val="single"/>
        </w:rPr>
        <w:t>Excluded Subsidiary</w:t>
      </w:r>
      <w:r>
        <w:rPr>
          <w:rFonts w:ascii="Times New Roman" w:hAnsi="Times New Roman"/>
          <w:sz w:val="20"/>
        </w:rPr>
        <w:t xml:space="preserve">” </w:t>
      </w:r>
      <w:r>
        <w:rPr>
          <w:rFonts w:ascii="Times New Roman;serif" w:hAnsi="Times New Roman;serif"/>
          <w:b w:val="false"/>
          <w:sz w:val="22"/>
        </w:rPr>
        <w:t>means</w:t>
      </w:r>
      <w:r>
        <w:rPr>
          <w:rFonts w:ascii="Times New Roman" w:hAnsi="Times New Roman"/>
          <w:sz w:val="20"/>
        </w:rPr>
        <w:t xml:space="preserve"> </w:t>
      </w:r>
      <w:r>
        <w:rPr>
          <w:rFonts w:ascii="Times New Roman;serif" w:hAnsi="Times New Roman;serif"/>
          <w:b w:val="false"/>
          <w:sz w:val="22"/>
        </w:rPr>
        <w:t>(i) with reference to any Domestic Subsidiary, (a)</w:t>
      </w:r>
      <w:r>
        <w:rPr>
          <w:rFonts w:ascii="Times New Roman" w:hAnsi="Times New Roman"/>
          <w:sz w:val="20"/>
        </w:rPr>
        <w:t xml:space="preserve"> </w:t>
      </w:r>
      <w:r>
        <w:rPr>
          <w:rFonts w:ascii="Times New Roman;serif" w:hAnsi="Times New Roman;serif"/>
          <w:b w:val="false"/>
          <w:sz w:val="22"/>
        </w:rPr>
        <w:t xml:space="preserve">any Subsidiary that is a Non-Wholly Owned Subsidiary, including any joint ventures, </w:t>
      </w:r>
      <w:bookmarkStart w:id="348" w:name="docxtextref415"/>
      <w:bookmarkEnd w:id="34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each Subsidiary listed on </w:t>
      </w:r>
      <w:bookmarkStart w:id="349" w:name="docxtextref428"/>
      <w:bookmarkEnd w:id="349"/>
      <w:r>
        <w:rPr>
          <w:rFonts w:ascii="Times New Roman;serif" w:hAnsi="Times New Roman;serif"/>
          <w:b w:val="false"/>
          <w:sz w:val="22"/>
          <w:u w:val="single"/>
        </w:rPr>
        <w:t>Schedule 1.01(b)</w:t>
      </w:r>
      <w:r>
        <w:rPr>
          <w:rFonts w:ascii="Times New Roman;serif" w:hAnsi="Times New Roman;serif"/>
          <w:b w:val="false"/>
          <w:sz w:val="22"/>
        </w:rPr>
        <w:t xml:space="preserve">, </w:t>
      </w:r>
      <w:bookmarkStart w:id="350" w:name="docxtextref416"/>
      <w:bookmarkEnd w:id="35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Subsidiary for which the Guarantee of or the grant of Liens to secure the Secured Obligations </w:t>
      </w:r>
      <w:bookmarkStart w:id="351" w:name="docxtextref417"/>
      <w:bookmarkEnd w:id="35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is prohibited by any applicable contractual obligation existing on the Effective Date or on the date any such Subsidiary is acquired or organized or ceases to be an Excluded Subsidiary pursuant to any other clause of this definition (as long as such prohibition was not entered into in contemplation of such transaction) or (ii) is prohibited by any Requirement of Law or requires governmental consent, approval, license or authorization (unless such consent, approval, license or authorization has been obtained), </w:t>
      </w:r>
      <w:bookmarkStart w:id="352" w:name="docxtextref418"/>
      <w:bookmarkEnd w:id="35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any Immaterial Subsidiary, </w:t>
      </w:r>
      <w:bookmarkStart w:id="353" w:name="docxtextref419"/>
      <w:bookmarkEnd w:id="353"/>
      <w:r>
        <w:rPr>
          <w:rFonts w:ascii="Times New Roman;serif" w:hAnsi="Times New Roman;serif"/>
          <w:b w:val="false"/>
          <w:sz w:val="22"/>
        </w:rPr>
        <w:t xml:space="preserve">(e)(i) any direct or indirect Subsidiary that is (or that is a direct or indirect Subsidiary of) a CFC that is a Subsidiary of a Domestic Subsidiary, (ii) any Domestic Foreign Holdco and (iii) any Subsidiary whose provision of a Guarantee would result in a material adverse Tax consequence to Bidco or any Borrower (or, if applicable, the common parent of Bidco’s consolidated group for applicable income Tax purposes) and its Subsidiaries as reasonably determined by Bidco in consultation with the Administrative Agent, </w:t>
      </w:r>
      <w:bookmarkStart w:id="354" w:name="docxtextref421"/>
      <w:bookmarkEnd w:id="354"/>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 xml:space="preserve">each Unrestricted Subsidiary, </w:t>
      </w:r>
      <w:bookmarkStart w:id="355" w:name="docxtextref422"/>
      <w:bookmarkEnd w:id="355"/>
      <w:r>
        <w:rPr>
          <w:rFonts w:ascii="Times New Roman;serif" w:hAnsi="Times New Roman;serif"/>
          <w:b w:val="false"/>
          <w:sz w:val="22"/>
        </w:rPr>
        <w:t>(g)</w:t>
      </w:r>
      <w:r>
        <w:rPr>
          <w:rFonts w:ascii="Times New Roman" w:hAnsi="Times New Roman"/>
          <w:sz w:val="20"/>
        </w:rPr>
        <w:t xml:space="preserve"> </w:t>
      </w:r>
      <w:r>
        <w:rPr>
          <w:rFonts w:ascii="Times New Roman;serif" w:hAnsi="Times New Roman;serif"/>
          <w:b w:val="false"/>
          <w:sz w:val="22"/>
        </w:rPr>
        <w:t xml:space="preserve">any Subsidiary that is (or, if it were a Loan Party, would be) an “investment company” under the Investment Company Act of 1940, as amended, </w:t>
      </w:r>
      <w:bookmarkStart w:id="356" w:name="docxtextref423"/>
      <w:bookmarkEnd w:id="356"/>
      <w:r>
        <w:rPr>
          <w:rFonts w:ascii="Times New Roman;serif" w:hAnsi="Times New Roman;serif"/>
          <w:b w:val="false"/>
          <w:sz w:val="22"/>
        </w:rPr>
        <w:t>(h)</w:t>
      </w:r>
      <w:r>
        <w:rPr>
          <w:rFonts w:ascii="Times New Roman" w:hAnsi="Times New Roman"/>
          <w:sz w:val="20"/>
        </w:rPr>
        <w:t xml:space="preserve"> </w:t>
      </w:r>
      <w:r>
        <w:rPr>
          <w:rFonts w:ascii="Times New Roman;serif" w:hAnsi="Times New Roman;serif"/>
          <w:b w:val="false"/>
          <w:sz w:val="22"/>
        </w:rPr>
        <w:t xml:space="preserve">any not-for profit Subsidiaries, captive insurance companies, captive risk retention subsidiaries, special purpose securitization vehicle (including any Receivables Subsidiary) or other special purpose subsidiaries, </w:t>
      </w:r>
      <w:bookmarkStart w:id="357" w:name="docxtextref424"/>
      <w:bookmarkEnd w:id="357"/>
      <w:r>
        <w:rPr>
          <w:rFonts w:ascii="Times New Roman;serif" w:hAnsi="Times New Roman;serif"/>
          <w:b w:val="false"/>
          <w:sz w:val="22"/>
        </w:rPr>
        <w:t>or any broker dealer or trust companies, (i)</w:t>
      </w:r>
      <w:r>
        <w:rPr>
          <w:rFonts w:ascii="Times New Roman" w:hAnsi="Times New Roman"/>
          <w:sz w:val="20"/>
        </w:rPr>
        <w:t xml:space="preserve"> </w:t>
      </w:r>
      <w:r>
        <w:rPr>
          <w:rFonts w:ascii="Times New Roman;serif" w:hAnsi="Times New Roman;serif"/>
          <w:b w:val="false"/>
          <w:sz w:val="22"/>
        </w:rPr>
        <w:t xml:space="preserve">[reserved], </w:t>
      </w:r>
      <w:bookmarkStart w:id="358" w:name="docxtextref425"/>
      <w:bookmarkEnd w:id="358"/>
      <w:r>
        <w:rPr>
          <w:rFonts w:ascii="Times New Roman;serif" w:hAnsi="Times New Roman;serif"/>
          <w:b w:val="false"/>
          <w:sz w:val="22"/>
        </w:rPr>
        <w:t>(j)</w:t>
      </w:r>
      <w:r>
        <w:rPr>
          <w:rFonts w:ascii="Times New Roman" w:hAnsi="Times New Roman"/>
          <w:sz w:val="20"/>
        </w:rPr>
        <w:t xml:space="preserve"> </w:t>
      </w:r>
      <w:r>
        <w:rPr>
          <w:rFonts w:ascii="Times New Roman;serif" w:hAnsi="Times New Roman;serif"/>
          <w:b w:val="false"/>
          <w:sz w:val="22"/>
        </w:rPr>
        <w:t xml:space="preserve">any Restricted Subsidiary acquired pursuant to a Permitted Acquisition (or other Investment not prohibited by this Agreement) that is financed with Indebtedness permitted under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hereof as assumed Indebtedness and any Restricted Subsidiary thereof that Guarantees such Indebtedness, in each case to the extent such Indebtedness prohibits such Restricted Subsidiary from becoming a Guarantor, </w:t>
      </w:r>
      <w:bookmarkStart w:id="359" w:name="docxtextref426"/>
      <w:bookmarkEnd w:id="359"/>
      <w:r>
        <w:rPr>
          <w:rFonts w:ascii="Times New Roman;serif" w:hAnsi="Times New Roman;serif"/>
          <w:b w:val="false"/>
          <w:sz w:val="22"/>
        </w:rPr>
        <w:t>(k)</w:t>
      </w:r>
      <w:r>
        <w:rPr>
          <w:rFonts w:ascii="Times New Roman" w:hAnsi="Times New Roman"/>
          <w:sz w:val="20"/>
        </w:rPr>
        <w:t xml:space="preserve"> </w:t>
      </w:r>
      <w:r>
        <w:rPr>
          <w:rFonts w:ascii="Times New Roman;serif" w:hAnsi="Times New Roman;serif"/>
          <w:b w:val="false"/>
          <w:sz w:val="22"/>
        </w:rPr>
        <w:t>any Subsidiary whose capital requirements are subject to regulation by a Governmental Authority in respect of which the guaranteeing by such Subsidiary of the Loan Document Obligations would, as reasonably determined by Bidco, result in adverse regulatory consequences to such Subsidiary or impair the conduct of the business of such Subsidiary and any Subsidiary of such Subsidiary and (l) [reserved], (ii) with reference to any Foreign Subsidiary, any Foreign Subsidiary excluded pursuant to the Agreed Security Principles, and (iii</w:t>
      </w:r>
      <w:bookmarkStart w:id="360" w:name="docxtextref427"/>
      <w:bookmarkEnd w:id="360"/>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 xml:space="preserve">any other Subsidiary with respect to which, in the reasonable judgment of Bidco and the Administrative Agent, the cost, burden, difficulty or other consequences (including any adverse Tax consequences) of providing a Guarantee of the Secured Obligations shall be excessive in view of the benefits to be obtained by the Secured Parties therefrom;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upon notice to the Administrative Agent, Bidco may at any time and in its sole discretion, deem that any Subsidiary shall not be an Excluded Subsidiary for purposes of this Agreement and the other Loan Documents.</w:t>
      </w:r>
    </w:p>
    <w:p>
      <w:pPr>
        <w:pStyle w:val="TextBody"/>
        <w:bidi w:val="0"/>
        <w:spacing w:before="0" w:after="240"/>
        <w:jc w:val="both"/>
        <w:rPr/>
      </w:pPr>
      <w:bookmarkStart w:id="361" w:name="docxtextref429"/>
      <w:bookmarkEnd w:id="361"/>
      <w:r>
        <w:rPr/>
        <w:t>“</w:t>
      </w:r>
      <w:r>
        <w:rPr>
          <w:rFonts w:ascii="Times New Roman;serif" w:hAnsi="Times New Roman;serif"/>
          <w:b w:val="false"/>
          <w:sz w:val="22"/>
          <w:u w:val="single"/>
        </w:rPr>
        <w:t>Excluded Swap Obligation</w:t>
      </w:r>
      <w:r>
        <w:rPr>
          <w:rFonts w:ascii="Times New Roman" w:hAnsi="Times New Roman"/>
          <w:sz w:val="20"/>
        </w:rPr>
        <w:t xml:space="preserve">” </w:t>
      </w:r>
      <w:r>
        <w:rPr>
          <w:rFonts w:ascii="Times New Roman;serif" w:hAnsi="Times New Roman;serif"/>
          <w:b w:val="false"/>
          <w:sz w:val="22"/>
        </w:rPr>
        <w:t>means, with respect to any Guarantor at any time, any Secured Swap Obligation under any agreement, contract or transaction that constitutes a “swap” within the meaning of Section 1a(47)</w:t>
      </w:r>
      <w:r>
        <w:rPr>
          <w:rFonts w:ascii="Times New Roman" w:hAnsi="Times New Roman"/>
          <w:sz w:val="20"/>
        </w:rPr>
        <w:t xml:space="preserve"> </w:t>
      </w:r>
      <w:r>
        <w:rPr>
          <w:rFonts w:ascii="Times New Roman;serif" w:hAnsi="Times New Roman;serif"/>
          <w:b w:val="false"/>
          <w:sz w:val="22"/>
        </w:rPr>
        <w:t>of the Commodity Exchange Act, if, and to the extent that, all or a portion of the guarantee of such Guarantor of, or the grant by such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Excluded Taxes</w:t>
      </w:r>
      <w:r>
        <w:rPr>
          <w:rFonts w:ascii="Times New Roman" w:hAnsi="Times New Roman"/>
          <w:sz w:val="20"/>
        </w:rPr>
        <w:t xml:space="preserve">” </w:t>
      </w:r>
      <w:r>
        <w:rPr>
          <w:rFonts w:ascii="Times New Roman;serif" w:hAnsi="Times New Roman;serif"/>
          <w:b w:val="false"/>
          <w:sz w:val="22"/>
        </w:rPr>
        <w:t xml:space="preserve">means, with respect to the Administrative Agent, any Lender, any Issuing Bank or any other recipient of any payment to be made by or on account of any obligation of any Loan Party hereunder or under any other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(ii) as a result of any other present or former connection between such recipient and the jurisdiction imposing such Tax (other than a connection arising solely from such recipient having executed, delivered, become a party to, performed its obligations or received payments under, received or perfected a security interest under or enforced any Loan Documents or engaged in any other transaction pursuant to any Loan Document, or having sold or assigned an interest in any Loan Documents), (b) any branch profits tax imposed under Section 884(a) of the Code, or any similar Tax, imposed by any jurisdiction described in clause (a) above, (c) any Tax imposed pursuant to FATCA, (d) any withholding Tax that is attributable to a Lender’s failure to comply with </w:t>
      </w:r>
      <w:r>
        <w:rPr>
          <w:rFonts w:ascii="Times New Roman;serif" w:hAnsi="Times New Roman;serif"/>
          <w:b w:val="false"/>
          <w:sz w:val="22"/>
          <w:u w:val="single"/>
        </w:rPr>
        <w:t>Section 2.16(e)</w:t>
      </w:r>
      <w:r>
        <w:rPr>
          <w:rFonts w:ascii="Times New Roman" w:hAnsi="Times New Roman"/>
          <w:sz w:val="20"/>
        </w:rPr>
        <w:t xml:space="preserve"> </w:t>
      </w:r>
      <w:r>
        <w:rPr>
          <w:rFonts w:ascii="Times New Roman;serif" w:hAnsi="Times New Roman;serif"/>
          <w:b w:val="false"/>
          <w:sz w:val="22"/>
        </w:rPr>
        <w:t xml:space="preserve">and (e) except in the case of an assignee pursuant to a request by Bidco under </w:t>
      </w:r>
      <w:r>
        <w:rPr>
          <w:rFonts w:ascii="Times New Roman;serif" w:hAnsi="Times New Roman;serif"/>
          <w:b w:val="false"/>
          <w:sz w:val="22"/>
          <w:u w:val="single"/>
        </w:rPr>
        <w:t>Section 2.18</w:t>
      </w:r>
      <w:r>
        <w:rPr>
          <w:rFonts w:ascii="Times New Roman" w:hAnsi="Times New Roman"/>
          <w:sz w:val="20"/>
        </w:rPr>
        <w:t xml:space="preserve"> </w:t>
      </w:r>
      <w:r>
        <w:rPr>
          <w:rFonts w:ascii="Times New Roman;serif" w:hAnsi="Times New Roman;serif"/>
          <w:b w:val="false"/>
          <w:sz w:val="22"/>
        </w:rPr>
        <w:t xml:space="preserve">hereto, any withholding Taxes that are imposed by a Borrower Tax Jurisdiction on amounts payable by that Borrower to a Lender or on amounts payable by a Guarantor to a Lender in respect of amounts payable to the Lender by that Borrower and which arise pursuant to any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Times New Roman;serif" w:hAnsi="Times New Roman;serif"/>
          <w:b w:val="false"/>
          <w:sz w:val="22"/>
          <w:u w:val="single"/>
        </w:rPr>
        <w:t>Section 2.16(a)</w:t>
      </w:r>
      <w:r>
        <w:rPr>
          <w:rFonts w:ascii="Times New Roman;serif" w:hAnsi="Times New Roman;serif"/>
          <w:b w:val="false"/>
          <w:sz w:val="22"/>
        </w:rPr>
        <w:t>. For the purposes of clause (e) of this definition of Excluded Taxes, withholding tax imposed on amounts payable to or for the account of a Lender with respect to an interest in a Loan or Commitment as a result of, or in connection with, (i) any change that occurs pursuant to, or in connection with the adoption, ratification, approval or acceptance of, the MLI in or by any jurisdiction; or (ii) any change arising in consequence of, or in connection with, the United Kingdom ceasing to be a member state of the European Union, shall be considered in effect at the time the relevant Lender becomes a party to this Agreement.</w:t>
      </w:r>
    </w:p>
    <w:p>
      <w:pPr>
        <w:pStyle w:val="TextBody"/>
        <w:bidi w:val="0"/>
        <w:spacing w:before="0" w:after="240"/>
        <w:jc w:val="both"/>
        <w:rPr/>
      </w:pPr>
      <w:r>
        <w:rPr/>
        <w:t>“</w:t>
      </w:r>
      <w:r>
        <w:rPr>
          <w:rFonts w:ascii="Times New Roman;serif" w:hAnsi="Times New Roman;serif"/>
          <w:b w:val="false"/>
          <w:sz w:val="22"/>
          <w:u w:val="single"/>
        </w:rPr>
        <w:t>Existing Letters of Credit</w:t>
      </w:r>
      <w:r>
        <w:rPr>
          <w:rFonts w:ascii="Times New Roman" w:hAnsi="Times New Roman"/>
          <w:sz w:val="20"/>
        </w:rPr>
        <w:t xml:space="preserve">” </w:t>
      </w:r>
      <w:r>
        <w:rPr>
          <w:rFonts w:ascii="Times New Roman;serif" w:hAnsi="Times New Roman;serif"/>
          <w:b w:val="false"/>
          <w:sz w:val="22"/>
        </w:rPr>
        <w:t>shall mean each of the letters of credit described on Schedule 1.01(c) hereto.</w:t>
      </w:r>
    </w:p>
    <w:p>
      <w:pPr>
        <w:pStyle w:val="TextBody"/>
        <w:bidi w:val="0"/>
        <w:spacing w:before="0" w:after="240"/>
        <w:jc w:val="both"/>
        <w:rPr/>
      </w:pPr>
      <w:r>
        <w:rPr/>
        <w:t>“</w:t>
      </w:r>
      <w:r>
        <w:rPr>
          <w:rFonts w:ascii="Times New Roman;serif" w:hAnsi="Times New Roman;serif"/>
          <w:b w:val="false"/>
          <w:sz w:val="22"/>
          <w:u w:val="single"/>
        </w:rPr>
        <w:t>Existing Revolving Facility Agreement</w:t>
      </w:r>
      <w:r>
        <w:rPr>
          <w:rFonts w:ascii="Times New Roman" w:hAnsi="Times New Roman"/>
          <w:sz w:val="20"/>
        </w:rPr>
        <w:t xml:space="preserve">” </w:t>
      </w:r>
      <w:r>
        <w:rPr>
          <w:rFonts w:ascii="Times New Roman;serif" w:hAnsi="Times New Roman;serif"/>
          <w:b w:val="false"/>
          <w:sz w:val="22"/>
        </w:rPr>
        <w:t>means the $750,200,000 multicurrency revolving credit facility agreement originally dated June 30, 2011 (as amended, restated, amended and restated, supplemented or otherwise modified from time to time) between, amongst others, Inmarsat Investments Limited as company and National Westminster Bank Plc as agent and security agent.</w:t>
      </w:r>
    </w:p>
    <w:p>
      <w:pPr>
        <w:pStyle w:val="TextBody"/>
        <w:bidi w:val="0"/>
        <w:spacing w:before="0" w:after="240"/>
        <w:jc w:val="both"/>
        <w:rPr/>
      </w:pPr>
      <w:r>
        <w:rPr/>
        <w:t>“</w:t>
      </w:r>
      <w:r>
        <w:rPr>
          <w:rFonts w:ascii="Times New Roman;serif" w:hAnsi="Times New Roman;serif"/>
          <w:b w:val="false"/>
          <w:sz w:val="22"/>
          <w:u w:val="single"/>
        </w:rPr>
        <w:t>Fair Market Value</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fair market value</w:t>
      </w:r>
      <w:r>
        <w:rPr>
          <w:rFonts w:ascii="Times New Roman" w:hAnsi="Times New Roman"/>
          <w:sz w:val="20"/>
        </w:rPr>
        <w:t xml:space="preserve">” </w:t>
      </w:r>
      <w:r>
        <w:rPr>
          <w:rFonts w:ascii="Times New Roman;serif" w:hAnsi="Times New Roman;serif"/>
          <w:b w:val="false"/>
          <w:sz w:val="22"/>
        </w:rPr>
        <w:t>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as reasonably determined by Bidco in good faith (which determination shall be conclusive).</w:t>
      </w:r>
    </w:p>
    <w:p>
      <w:pPr>
        <w:pStyle w:val="TextBody"/>
        <w:bidi w:val="0"/>
        <w:spacing w:before="0" w:after="240"/>
        <w:jc w:val="both"/>
        <w:rPr/>
      </w:pPr>
      <w:r>
        <w:rPr/>
        <w:t>“</w:t>
      </w:r>
      <w:r>
        <w:rPr>
          <w:rFonts w:ascii="Times New Roman;serif" w:hAnsi="Times New Roman;serif"/>
          <w:b w:val="false"/>
          <w:sz w:val="22"/>
          <w:u w:val="single"/>
        </w:rPr>
        <w:t>FATCA</w:t>
      </w:r>
      <w:r>
        <w:rPr>
          <w:rFonts w:ascii="Times New Roman" w:hAnsi="Times New Roman"/>
          <w:sz w:val="20"/>
        </w:rPr>
        <w:t xml:space="preserve">” </w:t>
      </w:r>
      <w:r>
        <w:rPr>
          <w:rFonts w:ascii="Times New Roman;serif" w:hAnsi="Times New Roman;serif"/>
          <w:b w:val="false"/>
          <w:sz w:val="22"/>
        </w:rPr>
        <w:t>means Sections 1471 through 1474 of the Code as of the date of this Agreement (or any amended or successor version that is substantively comparable thereto), any current or future United States Department of Treasury regulations thereunder or other official administrative interpretations thereof, any agreements entered into pursuant to current Section 1471(b)(1) of the Code as of the date of this Agreement (or any amended or successor version described above) and any intergovernmental agreements implementing the foregoing.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Federal Funds Effective Rate</w:t>
      </w:r>
      <w:r>
        <w:rPr>
          <w:rFonts w:ascii="Times New Roman" w:hAnsi="Times New Roman"/>
          <w:sz w:val="20"/>
        </w:rPr>
        <w:t xml:space="preserve">” </w:t>
      </w:r>
      <w:r>
        <w:rPr>
          <w:rFonts w:ascii="Times New Roman;serif" w:hAnsi="Times New Roman;serif"/>
          <w:b w:val="false"/>
          <w:sz w:val="22"/>
        </w:rPr>
        <w:t>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w:t>
      </w:r>
    </w:p>
    <w:p>
      <w:pPr>
        <w:pStyle w:val="TextBody"/>
        <w:bidi w:val="0"/>
        <w:spacing w:before="0" w:after="240"/>
        <w:jc w:val="both"/>
        <w:rPr/>
      </w:pPr>
      <w:r>
        <w:rPr/>
        <w:t>“</w:t>
      </w:r>
      <w:r>
        <w:rPr>
          <w:rFonts w:ascii="Times New Roman;serif" w:hAnsi="Times New Roman;serif"/>
          <w:b w:val="false"/>
          <w:sz w:val="22"/>
          <w:u w:val="single"/>
        </w:rPr>
        <w:t>Fee Letter</w:t>
      </w:r>
      <w:r>
        <w:rPr>
          <w:rFonts w:ascii="Times New Roman" w:hAnsi="Times New Roman"/>
          <w:sz w:val="20"/>
        </w:rPr>
        <w:t xml:space="preserve">” </w:t>
      </w:r>
      <w:r>
        <w:rPr>
          <w:rFonts w:ascii="Times New Roman;serif" w:hAnsi="Times New Roman;serif"/>
          <w:b w:val="false"/>
          <w:sz w:val="22"/>
        </w:rPr>
        <w:t>means the third amended and restated fee letter dated as of October 7,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w:t>
      </w:r>
    </w:p>
    <w:p>
      <w:pPr>
        <w:pStyle w:val="TextBody"/>
        <w:bidi w:val="0"/>
        <w:spacing w:before="0" w:after="240"/>
        <w:jc w:val="both"/>
        <w:rPr/>
      </w:pPr>
      <w:r>
        <w:rPr/>
        <w:t>“</w:t>
      </w:r>
      <w:r>
        <w:rPr>
          <w:rFonts w:ascii="Times New Roman;serif" w:hAnsi="Times New Roman;serif"/>
          <w:b w:val="false"/>
          <w:sz w:val="22"/>
          <w:u w:val="single"/>
        </w:rPr>
        <w:t>Financial Officer</w:t>
      </w:r>
      <w:r>
        <w:rPr>
          <w:rFonts w:ascii="Times New Roman" w:hAnsi="Times New Roman"/>
          <w:sz w:val="20"/>
        </w:rPr>
        <w:t xml:space="preserve">” </w:t>
      </w:r>
      <w:r>
        <w:rPr>
          <w:rFonts w:ascii="Times New Roman;serif" w:hAnsi="Times New Roman;serif"/>
          <w:b w:val="false"/>
          <w:sz w:val="22"/>
        </w:rPr>
        <w:t>means the chief financial officer, principal accounting officer, treasurer or corporate controller of Holdings, Bidco or a Restricted Subsidiary, as applicable.</w:t>
      </w:r>
    </w:p>
    <w:p>
      <w:pPr>
        <w:pStyle w:val="TextBody"/>
        <w:bidi w:val="0"/>
        <w:spacing w:before="0" w:after="240"/>
        <w:jc w:val="both"/>
        <w:rPr/>
      </w:pPr>
      <w:r>
        <w:rPr/>
        <w:t>“</w:t>
      </w:r>
      <w:r>
        <w:rPr>
          <w:rFonts w:ascii="Times New Roman;serif" w:hAnsi="Times New Roman;serif"/>
          <w:b w:val="false"/>
          <w:sz w:val="22"/>
          <w:u w:val="single"/>
        </w:rPr>
        <w:t>Financial Performance Covenant</w:t>
      </w:r>
      <w:r>
        <w:rPr>
          <w:rFonts w:ascii="Times New Roman" w:hAnsi="Times New Roman"/>
          <w:sz w:val="20"/>
        </w:rPr>
        <w:t xml:space="preserve">” </w:t>
      </w:r>
      <w:r>
        <w:rPr>
          <w:rFonts w:ascii="Times New Roman;serif" w:hAnsi="Times New Roman;serif"/>
          <w:b w:val="false"/>
          <w:sz w:val="22"/>
        </w:rPr>
        <w:t xml:space="preserve">means the covenant set forth in </w:t>
      </w:r>
      <w:r>
        <w:rPr>
          <w:rFonts w:ascii="Times New Roman;serif" w:hAnsi="Times New Roman;serif"/>
          <w:b w:val="false"/>
          <w:sz w:val="22"/>
          <w:u w:val="single"/>
        </w:rPr>
        <w:t>Section 6.07</w:t>
      </w:r>
      <w:r>
        <w:rPr>
          <w:rFonts w:ascii="Times New Roman;serif" w:hAnsi="Times New Roman;serif"/>
          <w:b w:val="false"/>
          <w:sz w:val="22"/>
        </w:rPr>
        <w:t>.</w:t>
      </w:r>
    </w:p>
    <w:p>
      <w:pPr>
        <w:pStyle w:val="TextBody"/>
        <w:bidi w:val="0"/>
        <w:spacing w:before="0" w:after="240"/>
        <w:jc w:val="both"/>
        <w:rPr/>
      </w:pPr>
      <w:bookmarkStart w:id="362" w:name="docxtextref441"/>
      <w:bookmarkEnd w:id="362"/>
      <w:r>
        <w:rPr/>
        <w:t>“</w:t>
      </w:r>
      <w:r>
        <w:rPr>
          <w:rFonts w:ascii="Times New Roman;serif" w:hAnsi="Times New Roman;serif"/>
          <w:b w:val="false"/>
          <w:sz w:val="22"/>
          <w:u w:val="single"/>
        </w:rPr>
        <w:t>Financing Transactions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execution, delivery and performance by each Loan Party of the Loan Documents to which it is to be a party, </w:t>
      </w:r>
      <w:bookmarkStart w:id="363" w:name="docxtextref442"/>
      <w:bookmarkEnd w:id="36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borrowing of Loans hereunder and the use of the proceeds thereof and </w:t>
      </w:r>
      <w:bookmarkStart w:id="364" w:name="docxtextref443"/>
      <w:bookmarkEnd w:id="36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the issuance, amendment or extension of Letters of Credit hereunder and the use of proceeds thereof.</w:t>
      </w:r>
    </w:p>
    <w:p>
      <w:pPr>
        <w:pStyle w:val="TextBody"/>
        <w:bidi w:val="0"/>
        <w:spacing w:before="0" w:after="240"/>
        <w:jc w:val="both"/>
        <w:rPr/>
      </w:pPr>
      <w:r>
        <w:rPr/>
        <w:t>“</w:t>
      </w:r>
      <w:r>
        <w:rPr>
          <w:rFonts w:ascii="Times New Roman;serif" w:hAnsi="Times New Roman;serif"/>
          <w:b w:val="false"/>
          <w:sz w:val="22"/>
          <w:u w:val="single"/>
        </w:rPr>
        <w:t>Finco Borrower</w:t>
      </w:r>
      <w:r>
        <w:rPr>
          <w:rFonts w:ascii="Times New Roman" w:hAnsi="Times New Roman"/>
          <w:sz w:val="20"/>
        </w:rPr>
        <w:t xml:space="preserve">” </w:t>
      </w:r>
      <w:r>
        <w:rPr>
          <w:rFonts w:ascii="Times New Roman;serif" w:hAnsi="Times New Roman;serif"/>
          <w:b w:val="false"/>
          <w:sz w:val="22"/>
        </w:rPr>
        <w:t>has the meaning assigned to such term in the preliminary statements hereto.</w:t>
      </w:r>
    </w:p>
    <w:p>
      <w:pPr>
        <w:pStyle w:val="TextBody"/>
        <w:bidi w:val="0"/>
        <w:spacing w:before="0" w:after="240"/>
        <w:jc w:val="both"/>
        <w:rPr/>
      </w:pPr>
      <w:r>
        <w:rPr/>
        <w:t>“</w:t>
      </w:r>
      <w:r>
        <w:rPr>
          <w:rFonts w:ascii="Times New Roman;serif" w:hAnsi="Times New Roman;serif"/>
          <w:b w:val="false"/>
          <w:sz w:val="22"/>
          <w:u w:val="single"/>
        </w:rPr>
        <w:t>Fitch</w:t>
      </w:r>
      <w:r>
        <w:rPr>
          <w:rFonts w:ascii="Times New Roman" w:hAnsi="Times New Roman"/>
          <w:sz w:val="20"/>
        </w:rPr>
        <w:t xml:space="preserve">” </w:t>
      </w:r>
      <w:r>
        <w:rPr>
          <w:rFonts w:ascii="Times New Roman;serif" w:hAnsi="Times New Roman;serif"/>
          <w:b w:val="false"/>
          <w:sz w:val="22"/>
        </w:rPr>
        <w:t>means Fitch Ratings Inc. and any successor to its rating agency business.</w:t>
      </w:r>
    </w:p>
    <w:p>
      <w:pPr>
        <w:pStyle w:val="TextBody"/>
        <w:bidi w:val="0"/>
        <w:spacing w:before="0" w:after="240"/>
        <w:jc w:val="both"/>
        <w:rPr/>
      </w:pPr>
      <w:r>
        <w:rPr/>
        <w:t>“</w:t>
      </w:r>
      <w:r>
        <w:rPr>
          <w:rFonts w:ascii="Times New Roman;serif" w:hAnsi="Times New Roman;serif"/>
          <w:b w:val="false"/>
          <w:sz w:val="22"/>
          <w:u w:val="single"/>
        </w:rPr>
        <w:t>Fixed Amounts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1.07(b)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Fixed Charges</w:t>
      </w:r>
      <w:r>
        <w:rPr>
          <w:rFonts w:ascii="Times New Roman" w:hAnsi="Times New Roman"/>
          <w:sz w:val="20"/>
        </w:rPr>
        <w:t xml:space="preserve">” </w:t>
      </w:r>
      <w:r>
        <w:rPr>
          <w:rFonts w:ascii="Times New Roman;serif" w:hAnsi="Times New Roman;serif"/>
          <w:b w:val="false"/>
          <w:sz w:val="22"/>
        </w:rPr>
        <w:t>means, with respect to any Person for any period, the sum, without duplication, 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Consolidated Interest Expense of such Person for such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all cash dividends or other distributions paid (excluding items eliminated in consolidation) on any series of Preferred Stock of any Restricted Subsidiary during such period;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all cash dividends or other distributions paid (excluding items eliminated in consolidation) on any series of Disqualified Equity Interests during such period.</w:t>
      </w:r>
    </w:p>
    <w:p>
      <w:pPr>
        <w:pStyle w:val="TextBody"/>
        <w:bidi w:val="0"/>
        <w:spacing w:before="0" w:after="240"/>
        <w:jc w:val="both"/>
        <w:rPr/>
      </w:pPr>
      <w:r>
        <w:rPr/>
        <w:t>“</w:t>
      </w:r>
      <w:r>
        <w:rPr>
          <w:rFonts w:ascii="Times New Roman;serif" w:hAnsi="Times New Roman;serif"/>
          <w:b w:val="false"/>
          <w:sz w:val="22"/>
          <w:u w:val="single"/>
        </w:rPr>
        <w:t>Foreign Lender</w:t>
      </w:r>
      <w:r>
        <w:rPr>
          <w:rFonts w:ascii="Times New Roman" w:hAnsi="Times New Roman"/>
          <w:sz w:val="20"/>
        </w:rPr>
        <w:t xml:space="preserve">” </w:t>
      </w:r>
      <w:r>
        <w:rPr>
          <w:rFonts w:ascii="Times New Roman;serif" w:hAnsi="Times New Roman;serif"/>
          <w:b w:val="false"/>
          <w:sz w:val="22"/>
        </w:rPr>
        <w:t>means a Lender that is not a United States Person (as defined in Section 7701(a)(30) of the Code).</w:t>
      </w:r>
    </w:p>
    <w:p>
      <w:pPr>
        <w:pStyle w:val="TextBody"/>
        <w:bidi w:val="0"/>
        <w:spacing w:before="0" w:after="240"/>
        <w:jc w:val="both"/>
        <w:rPr/>
      </w:pPr>
      <w:r>
        <w:rPr/>
        <w:t>“</w:t>
      </w:r>
      <w:r>
        <w:rPr>
          <w:rFonts w:ascii="Times New Roman;serif" w:hAnsi="Times New Roman;serif"/>
          <w:b w:val="false"/>
          <w:sz w:val="22"/>
          <w:u w:val="single"/>
        </w:rPr>
        <w:t>Foreign Prepayment Event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2.10(g)</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Foreign Subsidiary</w:t>
      </w:r>
      <w:r>
        <w:rPr>
          <w:rFonts w:ascii="Times New Roman" w:hAnsi="Times New Roman"/>
          <w:sz w:val="20"/>
        </w:rPr>
        <w:t xml:space="preserve">” </w:t>
      </w:r>
      <w:r>
        <w:rPr>
          <w:rFonts w:ascii="Times New Roman;serif" w:hAnsi="Times New Roman;serif"/>
          <w:b w:val="false"/>
          <w:sz w:val="22"/>
        </w:rPr>
        <w:t>means any Subsidiary that is organized under the laws of a jurisdiction other than the United States, any state thereof or the District of Columbia.</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bookmarkStart w:id="365" w:name="docxtextref446"/>
      <w:bookmarkEnd w:id="365"/>
      <w:r>
        <w:rPr/>
        <w:t>“</w:t>
      </w:r>
      <w:r>
        <w:rPr>
          <w:rFonts w:ascii="Times New Roman;serif" w:hAnsi="Times New Roman;serif"/>
          <w:b w:val="false"/>
          <w:sz w:val="22"/>
          <w:u w:val="single"/>
        </w:rPr>
        <w:t>Form Intercreditor Agreements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 intercreditor agreement substantially in the form of the Pari Passu Intercreditor Agreement and/or </w:t>
      </w:r>
      <w:bookmarkStart w:id="366" w:name="docxtextref447"/>
      <w:bookmarkEnd w:id="36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 intercreditor agreement substantially in the form of the Second Lien Intercreditor Agreement, as applicable.</w:t>
      </w:r>
    </w:p>
    <w:p>
      <w:pPr>
        <w:pStyle w:val="TextBody"/>
        <w:bidi w:val="0"/>
        <w:spacing w:before="0" w:after="240"/>
        <w:jc w:val="both"/>
        <w:rPr/>
      </w:pPr>
      <w:r>
        <w:rPr/>
        <w:t>“</w:t>
      </w:r>
      <w:r>
        <w:rPr>
          <w:rFonts w:ascii="Times New Roman;serif" w:hAnsi="Times New Roman;serif"/>
          <w:b w:val="false"/>
          <w:sz w:val="22"/>
          <w:u w:val="single"/>
        </w:rPr>
        <w:t>Funded Debt</w:t>
      </w:r>
      <w:r>
        <w:rPr>
          <w:rFonts w:ascii="Times New Roman" w:hAnsi="Times New Roman"/>
          <w:sz w:val="20"/>
        </w:rPr>
        <w:t xml:space="preserve">” </w:t>
      </w:r>
      <w:r>
        <w:rPr>
          <w:rFonts w:ascii="Times New Roman;serif" w:hAnsi="Times New Roman;serif"/>
          <w:b w:val="false"/>
          <w:sz w:val="22"/>
        </w:rPr>
        <w:t>means all Indebtedness of Bidco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pStyle w:val="TextBody"/>
        <w:bidi w:val="0"/>
        <w:spacing w:before="0" w:after="240"/>
        <w:jc w:val="both"/>
        <w:rPr/>
      </w:pPr>
      <w:r>
        <w:rPr/>
        <w:t>“</w:t>
      </w:r>
      <w:r>
        <w:rPr>
          <w:rFonts w:ascii="Times New Roman;serif" w:hAnsi="Times New Roman;serif"/>
          <w:b w:val="false"/>
          <w:sz w:val="22"/>
          <w:u w:val="single"/>
        </w:rPr>
        <w:t>GAAP</w:t>
      </w:r>
      <w:r>
        <w:rPr>
          <w:rFonts w:ascii="Times New Roman" w:hAnsi="Times New Roman"/>
          <w:sz w:val="20"/>
        </w:rPr>
        <w:t xml:space="preserve">” </w:t>
      </w:r>
      <w:r>
        <w:rPr>
          <w:rFonts w:ascii="Times New Roman;serif" w:hAnsi="Times New Roman;serif"/>
          <w:b w:val="false"/>
          <w:sz w:val="22"/>
        </w:rPr>
        <w:t xml:space="preserve">means generally accepted accounting principles in the United States of America, as in effect from time to time;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if Bidco notifies the Administrative Agent that Bidco requests an amendment to any provision hereof to eliminate the effect of any change occurring after the Effective Date in GAAP or in the application thereof on the operation of such provision (or if the Administrative Agent notifies Bidco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(b) the amount of any Indebtedness under GAAP with respect to Capitalized Lease Obligations shall be determined providing that all obligations of any Person that are or would have been characterized as an operating lease as determined in accordance with GAAP as in effect prior to February 25, 2016 (whether or not such operating lease was in effect on such date) shall continue to be accounted for as an operating lease (and not as a Capitalized Lease or Capitalized Lease Obligation) for purposes of this Agreement regardless of any change in GAAP following such date that would otherwise require such obligation to be recharacterized as a Capitalized Lease Obligation, to the extent that financial reporting shall not be affected hereby and (c) at Bidco’s sole election from time to time, any adverse impact directly or indirectly relating to or resulting from the implementation of FASB Accounting Standards Codification 606-Revenue From Contracts With Customers and any successor standard thereto (or any equivalent measure under IFRS) shall be disregarded with respect to all ratios, calculations and determinations based upon GAAP to be calculated or made, as the case may be, pursuant to this Agreement.</w:t>
      </w:r>
    </w:p>
    <w:p>
      <w:pPr>
        <w:pStyle w:val="TextBody"/>
        <w:bidi w:val="0"/>
        <w:spacing w:before="0" w:after="240"/>
        <w:jc w:val="both"/>
        <w:rPr/>
      </w:pPr>
      <w:r>
        <w:rPr/>
        <w:t>“</w:t>
      </w:r>
      <w:r>
        <w:rPr>
          <w:rFonts w:ascii="Times New Roman;serif" w:hAnsi="Times New Roman;serif"/>
          <w:b w:val="false"/>
          <w:sz w:val="22"/>
          <w:u w:val="single"/>
        </w:rPr>
        <w:t>General Debt Basket Reallocated Amount</w:t>
      </w:r>
      <w:r>
        <w:rPr>
          <w:rFonts w:ascii="Times New Roman" w:hAnsi="Times New Roman"/>
          <w:sz w:val="20"/>
        </w:rPr>
        <w:t xml:space="preserve">” </w:t>
      </w:r>
      <w:r>
        <w:rPr>
          <w:rFonts w:ascii="Times New Roman;serif" w:hAnsi="Times New Roman;serif"/>
          <w:b w:val="false"/>
          <w:sz w:val="22"/>
        </w:rPr>
        <w:t xml:space="preserve">means any amount that, at the option of Holdings, Bidco or a Borrower, has been reallocated from </w:t>
      </w:r>
      <w:r>
        <w:rPr>
          <w:rFonts w:ascii="Times New Roman;serif" w:hAnsi="Times New Roman;serif"/>
          <w:b w:val="false"/>
          <w:sz w:val="22"/>
          <w:u w:val="single"/>
        </w:rPr>
        <w:t>Section 6.01(b)(xi)(b)(x)</w:t>
      </w:r>
      <w:r>
        <w:rPr>
          <w:rFonts w:ascii="Times New Roman" w:hAnsi="Times New Roman"/>
          <w:sz w:val="20"/>
        </w:rPr>
        <w:t xml:space="preserve"> </w:t>
      </w:r>
      <w:r>
        <w:rPr>
          <w:rFonts w:ascii="Times New Roman;serif" w:hAnsi="Times New Roman;serif"/>
          <w:b w:val="false"/>
          <w:sz w:val="22"/>
        </w:rPr>
        <w:t xml:space="preserve">to clause (I)(a)(ii) of the “Incremental Cap,” which shall be deemed to be a utilization of the basket set forth in </w:t>
      </w:r>
      <w:r>
        <w:rPr>
          <w:rFonts w:ascii="Times New Roman;serif" w:hAnsi="Times New Roman;serif"/>
          <w:b w:val="false"/>
          <w:sz w:val="22"/>
          <w:u w:val="single"/>
        </w:rPr>
        <w:t>Section 6.01(b)(xi)(b)(x)</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Governmental Approvals</w:t>
      </w:r>
      <w:r>
        <w:rPr>
          <w:rFonts w:ascii="Times New Roman" w:hAnsi="Times New Roman"/>
          <w:sz w:val="20"/>
        </w:rPr>
        <w:t xml:space="preserve">” </w:t>
      </w:r>
      <w:r>
        <w:rPr>
          <w:rFonts w:ascii="Times New Roman;serif" w:hAnsi="Times New Roman;serif"/>
          <w:b w:val="false"/>
          <w:sz w:val="22"/>
        </w:rPr>
        <w:t>means all authorizations, consents, approvals, permits, licenses and exemptions of, registrations and filings with, and reports to, Governmental Authorities.</w:t>
      </w:r>
    </w:p>
    <w:p>
      <w:pPr>
        <w:pStyle w:val="TextBody"/>
        <w:bidi w:val="0"/>
        <w:spacing w:before="0" w:after="240"/>
        <w:jc w:val="both"/>
        <w:rPr/>
      </w:pPr>
      <w:r>
        <w:rPr/>
        <w:t>“</w:t>
      </w:r>
      <w:r>
        <w:rPr>
          <w:rFonts w:ascii="Times New Roman;serif" w:hAnsi="Times New Roman;serif"/>
          <w:b w:val="false"/>
          <w:sz w:val="22"/>
          <w:u w:val="single"/>
        </w:rPr>
        <w:t>Governmental Authority</w:t>
      </w:r>
      <w:r>
        <w:rPr>
          <w:rFonts w:ascii="Times New Roman" w:hAnsi="Times New Roman"/>
          <w:sz w:val="20"/>
        </w:rPr>
        <w:t xml:space="preserve">” </w:t>
      </w:r>
      <w:r>
        <w:rPr>
          <w:rFonts w:ascii="Times New Roman;serif" w:hAnsi="Times New Roman;serif"/>
          <w:b w:val="false"/>
          <w:sz w:val="22"/>
        </w:rPr>
        <w:t>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Group</w:t>
      </w:r>
      <w:r>
        <w:rPr>
          <w:rFonts w:ascii="Times New Roman" w:hAnsi="Times New Roman"/>
          <w:sz w:val="20"/>
        </w:rPr>
        <w:t xml:space="preserve">” </w:t>
      </w:r>
      <w:r>
        <w:rPr>
          <w:rFonts w:ascii="Times New Roman;serif" w:hAnsi="Times New Roman;serif"/>
          <w:b w:val="false"/>
          <w:sz w:val="22"/>
        </w:rPr>
        <w:t>means Bidco and its Restricted Subsidiaries from time to time.</w:t>
      </w:r>
    </w:p>
    <w:p>
      <w:pPr>
        <w:pStyle w:val="TextBody"/>
        <w:bidi w:val="0"/>
        <w:spacing w:before="0" w:after="240"/>
        <w:jc w:val="both"/>
        <w:rPr/>
      </w:pPr>
      <w:bookmarkStart w:id="367" w:name="docxtextref451"/>
      <w:bookmarkEnd w:id="367"/>
      <w:r>
        <w:rPr/>
        <w:t>“</w:t>
      </w:r>
      <w:r>
        <w:rPr>
          <w:rFonts w:ascii="Times New Roman;serif" w:hAnsi="Times New Roman;serif"/>
          <w:b w:val="false"/>
          <w:sz w:val="22"/>
          <w:u w:val="single"/>
        </w:rPr>
        <w:t>Guarantee</w:t>
      </w:r>
      <w:r>
        <w:rPr>
          <w:rFonts w:ascii="Times New Roman" w:hAnsi="Times New Roman"/>
          <w:sz w:val="20"/>
        </w:rPr>
        <w:t xml:space="preserve">” </w:t>
      </w:r>
      <w:r>
        <w:rPr>
          <w:rFonts w:ascii="Times New Roman;serif" w:hAnsi="Times New Roman;serif"/>
          <w:b w:val="false"/>
          <w:sz w:val="22"/>
        </w:rPr>
        <w:t>of or by any Person (the “</w:t>
      </w:r>
      <w:r>
        <w:rPr>
          <w:rFonts w:ascii="Times New Roman;serif" w:hAnsi="Times New Roman;serif"/>
          <w:b w:val="false"/>
          <w:sz w:val="22"/>
          <w:u w:val="single"/>
        </w:rPr>
        <w:t>guarantor</w:t>
      </w:r>
      <w:r>
        <w:rPr>
          <w:rFonts w:ascii="Times New Roman" w:hAnsi="Times New Roman"/>
          <w:sz w:val="20"/>
        </w:rPr>
        <w:t>”</w:t>
      </w:r>
      <w:r>
        <w:rPr>
          <w:rFonts w:ascii="Times New Roman;serif" w:hAnsi="Times New Roman;serif"/>
          <w:b w:val="false"/>
          <w:sz w:val="22"/>
        </w:rPr>
        <w:t>) means any obligation, contingent or otherwise, of the guarantor guaranteeing or having the economic effect of guaranteeing any Indebtedness of any other Person (the “</w:t>
      </w:r>
      <w:r>
        <w:rPr>
          <w:rFonts w:ascii="Times New Roman;serif" w:hAnsi="Times New Roman;serif"/>
          <w:b w:val="false"/>
          <w:sz w:val="22"/>
          <w:u w:val="single"/>
        </w:rPr>
        <w:t>primary obligor</w:t>
      </w:r>
      <w:r>
        <w:rPr>
          <w:rFonts w:ascii="Times New Roman" w:hAnsi="Times New Roman"/>
          <w:sz w:val="20"/>
        </w:rPr>
        <w:t>”</w:t>
      </w:r>
      <w:r>
        <w:rPr>
          <w:rFonts w:ascii="Times New Roman;serif" w:hAnsi="Times New Roman;serif"/>
          <w:b w:val="false"/>
          <w:sz w:val="22"/>
        </w:rPr>
        <w:t>) in any manner, whether directly or indirectly, and including any obligation of the guarantor, direct or indirect, (a)</w:t>
      </w:r>
      <w:r>
        <w:rPr>
          <w:rFonts w:ascii="Times New Roman" w:hAnsi="Times New Roman"/>
          <w:sz w:val="20"/>
        </w:rPr>
        <w:t xml:space="preserve"> </w:t>
      </w:r>
      <w:r>
        <w:rPr>
          <w:rFonts w:ascii="Times New Roman;serif" w:hAnsi="Times New Roman;serif"/>
          <w:b w:val="false"/>
          <w:sz w:val="22"/>
        </w:rPr>
        <w:t xml:space="preserve">to purchase or pay (or advance or supply funds for the purchase or payment of) such Indebtedness or to purchase (or to advance or supply funds for the purchase of) any security for the payment thereof, </w:t>
      </w:r>
      <w:bookmarkStart w:id="368" w:name="docxtextref452"/>
      <w:bookmarkEnd w:id="36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to purchase or lease property, securities or services for the purpose of assuring the owner of such Indebtedness of the payment thereof, </w:t>
      </w:r>
      <w:bookmarkStart w:id="369" w:name="docxtextref453"/>
      <w:bookmarkEnd w:id="36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to maintain working capital, equity capital or any other financial statement condition or liquidity of the primary obligor so as to enable the primary obligor to pay such Indebtedness or </w:t>
      </w:r>
      <w:bookmarkStart w:id="370" w:name="docxtextref454"/>
      <w:bookmarkEnd w:id="370"/>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as an account party in respect of any letter of credit or letter of guaranty issued to support such Indebtedness;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pStyle w:val="TextBody"/>
        <w:bidi w:val="0"/>
        <w:spacing w:before="0" w:after="240"/>
        <w:jc w:val="both"/>
        <w:rPr/>
      </w:pPr>
      <w:r>
        <w:rPr/>
        <w:t>“</w:t>
      </w:r>
      <w:r>
        <w:rPr>
          <w:rFonts w:ascii="Times New Roman;serif" w:hAnsi="Times New Roman;serif"/>
          <w:b w:val="false"/>
          <w:sz w:val="22"/>
          <w:u w:val="single"/>
        </w:rPr>
        <w:t>Guarantee Agreement</w:t>
      </w:r>
      <w:r>
        <w:rPr>
          <w:rFonts w:ascii="Times New Roman" w:hAnsi="Times New Roman"/>
          <w:sz w:val="20"/>
        </w:rPr>
        <w:t xml:space="preserve">” </w:t>
      </w:r>
      <w:r>
        <w:rPr>
          <w:rFonts w:ascii="Times New Roman;serif" w:hAnsi="Times New Roman;serif"/>
          <w:b w:val="false"/>
          <w:sz w:val="22"/>
        </w:rPr>
        <w:t xml:space="preserve">means the Guarantee Agreement among the Loan Parties and the Collateral Agent, substantially in the form of </w:t>
      </w:r>
      <w:r>
        <w:rPr>
          <w:rFonts w:ascii="Times New Roman;serif" w:hAnsi="Times New Roman;serif"/>
          <w:b w:val="false"/>
          <w:sz w:val="22"/>
          <w:u w:val="single"/>
        </w:rPr>
        <w:t>Exhibit 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Guarantee Limitations</w:t>
      </w:r>
      <w:r>
        <w:rPr>
          <w:rFonts w:ascii="Times New Roman" w:hAnsi="Times New Roman"/>
          <w:sz w:val="20"/>
        </w:rPr>
        <w:t xml:space="preserve">” </w:t>
      </w:r>
      <w:r>
        <w:rPr>
          <w:rFonts w:ascii="Times New Roman;serif" w:hAnsi="Times New Roman;serif"/>
          <w:b w:val="false"/>
          <w:sz w:val="22"/>
        </w:rPr>
        <w:t>has the meaning specified in the Guarantee Agreement, as may be supplemented from time to time in accordance with the terms thereof.</w:t>
      </w:r>
    </w:p>
    <w:p>
      <w:pPr>
        <w:pStyle w:val="TextBody"/>
        <w:bidi w:val="0"/>
        <w:spacing w:before="0" w:after="240"/>
        <w:jc w:val="both"/>
        <w:rPr/>
      </w:pPr>
      <w:r>
        <w:rPr/>
        <w:t>“</w:t>
      </w:r>
      <w:r>
        <w:rPr>
          <w:rFonts w:ascii="Times New Roman;serif" w:hAnsi="Times New Roman;serif"/>
          <w:b w:val="false"/>
          <w:sz w:val="22"/>
          <w:u w:val="single"/>
        </w:rPr>
        <w:t>Guarantor Coverage Material Subsidiary</w:t>
      </w:r>
      <w:r>
        <w:rPr>
          <w:rFonts w:ascii="Times New Roman" w:hAnsi="Times New Roman"/>
          <w:sz w:val="20"/>
        </w:rPr>
        <w:t xml:space="preserve">” </w:t>
      </w:r>
      <w:r>
        <w:rPr>
          <w:rFonts w:ascii="Times New Roman;serif" w:hAnsi="Times New Roman;serif"/>
          <w:b w:val="false"/>
          <w:sz w:val="22"/>
        </w:rPr>
        <w:t xml:space="preserve">means the Finco Borrower, (following the Acquisition) the Company and, at any time, each Non-U.S. Restricted Subsidiary that has earnings before interest, tax, depreciation and amortization (calculated (I) on an unconsolidated basis, (II) by excluding goodwill, intra-Group items and investments in Subsidiaries (in each case to the extent applicable) and (III) otherwise on the same basis as Consolidated EBITDA) representing 5% or more of Consolidated EBITDA of Bidco and its Restricted Subsidiaries, </w:t>
      </w:r>
      <w:r>
        <w:rPr>
          <w:rFonts w:ascii="Times New Roman;serif" w:hAnsi="Times New Roman;serif"/>
          <w:b w:val="false"/>
          <w:sz w:val="22"/>
          <w:u w:val="single"/>
        </w:rPr>
        <w:t>provided that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such calculation shall be determined by reference to the most recent Compliance Certificate required to be delivered by Bidco in respect of the latest financial statements delivered under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to the Administrative Agent;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any entity having negative earnings before interest, tax, depreciation and amortization shall be deemed to have zero earnings before interest, tax, depreciation and amortization;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each Restricted Subsidiary that is incorporated in an Excluded Jurisdiction and/or is otherwise not required to (or is unable to) become a Guarantor in accordance with the Agreed Security Principles will not be considered a Guarantor Coverage Material Subsidiary.</w:t>
      </w:r>
    </w:p>
    <w:p>
      <w:pPr>
        <w:pStyle w:val="TextBody"/>
        <w:bidi w:val="0"/>
        <w:spacing w:before="0" w:after="240"/>
        <w:jc w:val="both"/>
        <w:rPr/>
      </w:pPr>
      <w:r>
        <w:rPr/>
        <w:t>“</w:t>
      </w:r>
      <w:r>
        <w:rPr>
          <w:rFonts w:ascii="Times New Roman;serif" w:hAnsi="Times New Roman;serif"/>
          <w:b w:val="false"/>
          <w:sz w:val="22"/>
          <w:u w:val="single"/>
        </w:rPr>
        <w:t>Guarantor Coverage Test</w:t>
      </w:r>
      <w:r>
        <w:rPr>
          <w:rFonts w:ascii="Times New Roman" w:hAnsi="Times New Roman"/>
          <w:sz w:val="20"/>
        </w:rPr>
        <w:t xml:space="preserve">” </w:t>
      </w:r>
      <w:r>
        <w:rPr>
          <w:rFonts w:ascii="Times New Roman;serif" w:hAnsi="Times New Roman;serif"/>
          <w:b w:val="false"/>
          <w:sz w:val="22"/>
        </w:rPr>
        <w:t>means confirmation that the aggregate (without double counting) earnings before interest, tax, depreciation and amortization (calculated on the same basis as Consolidated EBITDA but taking each entity on an unconsolidated basis and excluding goodwill, all intra Group items and investments in Subsidiaries of any member of the Group) (“</w:t>
      </w:r>
      <w:r>
        <w:rPr>
          <w:rFonts w:ascii="Times New Roman;serif" w:hAnsi="Times New Roman;serif"/>
          <w:b w:val="false"/>
          <w:sz w:val="22"/>
          <w:u w:val="single"/>
        </w:rPr>
        <w:t>EBITDA</w:t>
      </w:r>
      <w:r>
        <w:rPr>
          <w:rFonts w:ascii="Times New Roman" w:hAnsi="Times New Roman"/>
          <w:sz w:val="20"/>
        </w:rPr>
        <w:t>”</w:t>
      </w:r>
      <w:r>
        <w:rPr>
          <w:rFonts w:ascii="Times New Roman;serif" w:hAnsi="Times New Roman;serif"/>
          <w:b w:val="false"/>
          <w:sz w:val="22"/>
        </w:rPr>
        <w:t>) of Bidco and its Restricted Subsidiaries that are Guarantors equals or exceeds 80.0% of Consolidated EBITDA of Bidco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and its Restricted Subsidiaries; </w:t>
      </w:r>
      <w:r>
        <w:rPr>
          <w:rFonts w:ascii="Times New Roman;serif" w:hAnsi="Times New Roman;serif"/>
          <w:b w:val="false"/>
          <w:sz w:val="22"/>
          <w:u w:val="single"/>
        </w:rPr>
        <w:t>provided that</w:t>
      </w:r>
      <w:r>
        <w:rPr>
          <w:rFonts w:ascii="Times New Roman;serif" w:hAnsi="Times New Roman;serif"/>
          <w:b w:val="false"/>
          <w:sz w:val="22"/>
        </w:rPr>
        <w:t>, for the purposes of calculating the Guarantor Coverage Test only: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to the extent any Guarantor generates negative EBITDA, such Guarantor shall be deemed to have zero EBITDA, for the purpose of calculating the numerator of the Guarantor Coverage Test;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unless otherwise elected by Bidco, to the extent that any member of the Group (i) is not a Guarantor and (ii) is incorporated in an Excluded Jurisdiction and/or is otherwise not required to (or is unable to) become a Guarantor in accordance with the Agreed Security Principles, then such member of the Group shall be deemed to have zero (0) EBITDA, for the purpose of calculating the denominator of the Guarantor Coverage Test.</w:t>
      </w:r>
    </w:p>
    <w:p>
      <w:pPr>
        <w:pStyle w:val="TextBody"/>
        <w:bidi w:val="0"/>
        <w:spacing w:before="0" w:after="240"/>
        <w:jc w:val="both"/>
        <w:rPr/>
      </w:pPr>
      <w:r>
        <w:rPr/>
        <w:t>“</w:t>
      </w:r>
      <w:r>
        <w:rPr>
          <w:rFonts w:ascii="Times New Roman;serif" w:hAnsi="Times New Roman;serif"/>
          <w:b w:val="false"/>
          <w:sz w:val="22"/>
          <w:u w:val="single"/>
        </w:rPr>
        <w:t>Guarantors</w:t>
      </w:r>
      <w:r>
        <w:rPr>
          <w:rFonts w:ascii="Times New Roman" w:hAnsi="Times New Roman"/>
          <w:sz w:val="20"/>
        </w:rPr>
        <w:t xml:space="preserve">” </w:t>
      </w:r>
      <w:r>
        <w:rPr>
          <w:rFonts w:ascii="Times New Roman;serif" w:hAnsi="Times New Roman;serif"/>
          <w:b w:val="false"/>
          <w:sz w:val="22"/>
        </w:rPr>
        <w:t>means Holdings, Bidco, any Intermediate Parent and the Subsidiary Loan Parties.</w:t>
      </w:r>
    </w:p>
    <w:p>
      <w:pPr>
        <w:pStyle w:val="TextBody"/>
        <w:bidi w:val="0"/>
        <w:spacing w:before="0" w:after="240"/>
        <w:jc w:val="both"/>
        <w:rPr/>
      </w:pPr>
      <w:r>
        <w:rPr/>
        <w:t>“</w:t>
      </w:r>
      <w:r>
        <w:rPr>
          <w:rFonts w:ascii="Times New Roman;serif" w:hAnsi="Times New Roman;serif"/>
          <w:b w:val="false"/>
          <w:sz w:val="22"/>
          <w:u w:val="single"/>
        </w:rPr>
        <w:t>Hazardous Materials</w:t>
      </w:r>
      <w:r>
        <w:rPr>
          <w:rFonts w:ascii="Times New Roman" w:hAnsi="Times New Roman"/>
          <w:sz w:val="20"/>
        </w:rPr>
        <w:t xml:space="preserve">” </w:t>
      </w:r>
      <w:r>
        <w:rPr>
          <w:rFonts w:ascii="Times New Roman;serif" w:hAnsi="Times New Roman;serif"/>
          <w:b w:val="false"/>
          <w:sz w:val="22"/>
        </w:rPr>
        <w:t>means all explosive, radioactive, hazardous or toxic substances, wastes or other pollutants, including petroleum or petroleum by-products or distillates, asbestos or asbestos-containing materials, polychlorinated biphenyls, radon gas, or infectious or medical wastes, in each case in any form regulated pursuant to any Environmental Law.</w:t>
      </w:r>
    </w:p>
    <w:p>
      <w:pPr>
        <w:pStyle w:val="TextBody"/>
        <w:bidi w:val="0"/>
        <w:spacing w:before="0" w:after="240"/>
        <w:jc w:val="both"/>
        <w:rPr/>
      </w:pPr>
      <w:r>
        <w:rPr/>
        <w:t>“</w:t>
      </w:r>
      <w:r>
        <w:rPr>
          <w:rFonts w:ascii="Times New Roman;serif" w:hAnsi="Times New Roman;serif"/>
          <w:b w:val="false"/>
          <w:sz w:val="22"/>
          <w:u w:val="single"/>
        </w:rPr>
        <w:t>Hedging Obligations</w:t>
      </w:r>
      <w:r>
        <w:rPr>
          <w:rFonts w:ascii="Times New Roman" w:hAnsi="Times New Roman"/>
          <w:sz w:val="20"/>
        </w:rPr>
        <w:t xml:space="preserve">” </w:t>
      </w:r>
      <w:r>
        <w:rPr>
          <w:rFonts w:ascii="Times New Roman;serif" w:hAnsi="Times New Roman;serif"/>
          <w:b w:val="false"/>
          <w:sz w:val="22"/>
        </w:rPr>
        <w:t>means, with respect to any Person, the obligations of such Person under any Swap Agreement.</w:t>
      </w:r>
    </w:p>
    <w:p>
      <w:pPr>
        <w:pStyle w:val="TextBody"/>
        <w:bidi w:val="0"/>
        <w:spacing w:before="0" w:after="240"/>
        <w:jc w:val="both"/>
        <w:rPr/>
      </w:pPr>
      <w:bookmarkStart w:id="371" w:name="docxtextref455"/>
      <w:bookmarkEnd w:id="371"/>
      <w:r>
        <w:rPr/>
        <w:t>“</w:t>
      </w:r>
      <w:r>
        <w:rPr>
          <w:rFonts w:ascii="Times New Roman;serif" w:hAnsi="Times New Roman;serif"/>
          <w:b w:val="false"/>
          <w:sz w:val="22"/>
          <w:u w:val="single"/>
        </w:rPr>
        <w:t>Holdings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prior to any IPO, Initial Holdings and </w:t>
      </w:r>
      <w:bookmarkStart w:id="372" w:name="docxtextref456"/>
      <w:bookmarkEnd w:id="37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upon and after an IPO, </w:t>
      </w:r>
      <w:bookmarkStart w:id="373" w:name="docxtextref457"/>
      <w:bookmarkEnd w:id="37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if the IPO Entity is Initial Holdings or any Person of which Initial Holdings is a Subsidiary, Initial Holdings or (ii) if the IPO Entity is an Intermediate Parent, the IPO Entity.</w:t>
      </w:r>
    </w:p>
    <w:p>
      <w:pPr>
        <w:pStyle w:val="TextBody"/>
        <w:bidi w:val="0"/>
        <w:spacing w:before="0" w:after="240"/>
        <w:jc w:val="both"/>
        <w:rPr/>
      </w:pPr>
      <w:r>
        <w:rPr/>
        <w:t>“</w:t>
      </w:r>
      <w:r>
        <w:rPr>
          <w:rFonts w:ascii="Times New Roman;serif" w:hAnsi="Times New Roman;serif"/>
          <w:b w:val="false"/>
          <w:sz w:val="22"/>
          <w:u w:val="single"/>
        </w:rPr>
        <w:t>ICE LIBOR</w:t>
      </w:r>
      <w:r>
        <w:rPr>
          <w:rFonts w:ascii="Times New Roman" w:hAnsi="Times New Roman"/>
          <w:sz w:val="20"/>
        </w:rPr>
        <w:t xml:space="preserve">” </w:t>
      </w:r>
      <w:r>
        <w:rPr>
          <w:rFonts w:ascii="Times New Roman;serif" w:hAnsi="Times New Roman;serif"/>
          <w:b w:val="false"/>
          <w:sz w:val="22"/>
        </w:rPr>
        <w:t>has the meaning assigned to such term in the definition of “Alternate Base Rate.”</w:t>
      </w:r>
    </w:p>
    <w:p>
      <w:pPr>
        <w:pStyle w:val="TextBody"/>
        <w:bidi w:val="0"/>
        <w:spacing w:before="0" w:after="240"/>
        <w:jc w:val="both"/>
        <w:rPr/>
      </w:pPr>
      <w:r>
        <w:rPr/>
        <w:t>“</w:t>
      </w:r>
      <w:r>
        <w:rPr>
          <w:rFonts w:ascii="Times New Roman;serif" w:hAnsi="Times New Roman;serif"/>
          <w:b w:val="false"/>
          <w:sz w:val="22"/>
          <w:u w:val="single"/>
        </w:rPr>
        <w:t>Identified Participating Lenders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Identified Qualifying Lenders</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2.10(a)(ii)(D)(3)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IFRS</w:t>
      </w:r>
      <w:r>
        <w:rPr>
          <w:rFonts w:ascii="Times New Roman" w:hAnsi="Times New Roman"/>
          <w:sz w:val="20"/>
        </w:rPr>
        <w:t xml:space="preserve">” </w:t>
      </w:r>
      <w:r>
        <w:rPr>
          <w:rFonts w:ascii="Times New Roman;serif" w:hAnsi="Times New Roman;serif"/>
          <w:b w:val="false"/>
          <w:sz w:val="22"/>
        </w:rPr>
        <w:t xml:space="preserve">means the International Financial Reporting Standards of the International Accounting Standards Board as adopted in the European Union;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if Bidco notifies the Administrative Agent that Bidco requests an amendment to any provision hereof to eliminate the effect of any change occurring after the Effective Date in IFRS or in the application thereof on the operation of such provision (or if the Administrative Agent notifies Bidco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 the amount of any Indebtedness under IFRS with respect to Capitalized Lease Obligations shall be determined in accordance with the definition of Capitalized Lease Obligations and (b) at any time after the Effective Date, Bidco may elect, upon notice to the Administrative Agent, to apply GAAP accounting principles in lieu of IFRS and, upon any such election, references herein to IFRS shall thereafter be construed to mean GAAP (except as otherwise provided herein), including as to the ability of Bidco or the Required Lenders to make an election pursuant to </w:t>
      </w:r>
      <w:r>
        <w:rPr>
          <w:rFonts w:ascii="Times New Roman;serif" w:hAnsi="Times New Roman;serif"/>
          <w:b w:val="false"/>
          <w:sz w:val="22"/>
          <w:u w:val="single"/>
        </w:rPr>
        <w:t>clause (a)</w:t>
      </w:r>
      <w:r>
        <w:rPr>
          <w:rFonts w:ascii="Times New Roman" w:hAnsi="Times New Roman"/>
          <w:sz w:val="20"/>
        </w:rPr>
        <w:t xml:space="preserve"> </w:t>
      </w:r>
      <w:r>
        <w:rPr>
          <w:rFonts w:ascii="Times New Roman;serif" w:hAnsi="Times New Roman;serif"/>
          <w:b w:val="false"/>
          <w:sz w:val="22"/>
        </w:rPr>
        <w:t>above; provided that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 any election made pursuant to this </w:t>
      </w:r>
      <w:r>
        <w:rPr>
          <w:rFonts w:ascii="Times New Roman;serif" w:hAnsi="Times New Roman;serif"/>
          <w:b w:val="false"/>
          <w:sz w:val="22"/>
          <w:u w:val="single"/>
        </w:rPr>
        <w:t>clause (b)</w:t>
      </w:r>
      <w:r>
        <w:rPr>
          <w:rFonts w:ascii="Times New Roman;serif" w:hAnsi="Times New Roman;serif"/>
          <w:b w:val="false"/>
          <w:sz w:val="22"/>
        </w:rPr>
        <w:t xml:space="preserve">, once made, shall be irrevocable, (y) any calculation or determination in this Agreement that requires the application of IFRS for periods that include fiscal quarters ended prior to Bidco’s election to apply GAAP shall remain as previously calculated or determined in accordance with IFRS and (z) Bidco may only make an election pursuant to this </w:t>
      </w:r>
      <w:r>
        <w:rPr>
          <w:rFonts w:ascii="Times New Roman;serif" w:hAnsi="Times New Roman;serif"/>
          <w:b w:val="false"/>
          <w:sz w:val="22"/>
          <w:u w:val="single"/>
        </w:rPr>
        <w:t>clause (b)</w:t>
      </w:r>
      <w:r>
        <w:rPr>
          <w:rFonts w:ascii="Times New Roman" w:hAnsi="Times New Roman"/>
          <w:sz w:val="20"/>
        </w:rPr>
        <w:t xml:space="preserve"> </w:t>
      </w:r>
      <w:r>
        <w:rPr>
          <w:rFonts w:ascii="Times New Roman;serif" w:hAnsi="Times New Roman;serif"/>
          <w:b w:val="false"/>
          <w:sz w:val="22"/>
        </w:rPr>
        <w:t xml:space="preserve">if it also elects to report any subsequent financial reports required to be made by Bidco, including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(b)</w:t>
      </w:r>
      <w:r>
        <w:rPr>
          <w:rFonts w:ascii="Times New Roman;serif" w:hAnsi="Times New Roman;serif"/>
          <w:b w:val="false"/>
          <w:sz w:val="22"/>
        </w:rPr>
        <w:t>, in GAAP, and (c) at Bidco’s sole election from time to time, any adverse impact directly or indirectly relating to or resulting from the implementation of IFRS 15 and any successor standard thereto (or any equivalent measure under GAAP) shall be disregarded with respect to all ratios, calculations and determinations based upon IFRS to be calculated or made, as the case may be, pursuant to this Agreement.</w:t>
      </w:r>
    </w:p>
    <w:p>
      <w:pPr>
        <w:pStyle w:val="TextBody"/>
        <w:bidi w:val="0"/>
        <w:spacing w:before="0" w:after="240"/>
        <w:jc w:val="both"/>
        <w:rPr/>
      </w:pPr>
      <w:r>
        <w:rPr/>
        <w:t>“</w:t>
      </w:r>
      <w:r>
        <w:rPr>
          <w:rFonts w:ascii="Times New Roman;serif" w:hAnsi="Times New Roman;serif"/>
          <w:b w:val="false"/>
          <w:sz w:val="22"/>
          <w:u w:val="single"/>
        </w:rPr>
        <w:t>Immaterial Subsidiary</w:t>
      </w:r>
      <w:r>
        <w:rPr>
          <w:rFonts w:ascii="Times New Roman" w:hAnsi="Times New Roman"/>
          <w:sz w:val="20"/>
        </w:rPr>
        <w:t xml:space="preserve">” </w:t>
      </w:r>
      <w:r>
        <w:rPr>
          <w:rFonts w:ascii="Times New Roman;serif" w:hAnsi="Times New Roman;serif"/>
          <w:b w:val="false"/>
          <w:sz w:val="22"/>
        </w:rPr>
        <w:t>means any Restricted Subsidiary other than a Material Subsidiary.</w:t>
      </w:r>
    </w:p>
    <w:p>
      <w:pPr>
        <w:pStyle w:val="TextBody"/>
        <w:bidi w:val="0"/>
        <w:spacing w:before="0" w:after="240"/>
        <w:jc w:val="both"/>
        <w:rPr/>
      </w:pPr>
      <w:r>
        <w:rPr/>
        <w:t>“</w:t>
      </w:r>
      <w:r>
        <w:rPr>
          <w:rFonts w:ascii="Times New Roman;serif" w:hAnsi="Times New Roman;serif"/>
          <w:b w:val="false"/>
          <w:sz w:val="22"/>
          <w:u w:val="single"/>
        </w:rPr>
        <w:t>Immediate Family Members</w:t>
      </w:r>
      <w:r>
        <w:rPr>
          <w:rFonts w:ascii="Times New Roman" w:hAnsi="Times New Roman"/>
          <w:sz w:val="20"/>
        </w:rPr>
        <w:t xml:space="preserve">” </w:t>
      </w:r>
      <w:r>
        <w:rPr>
          <w:rFonts w:ascii="Times New Roman;serif" w:hAnsi="Times New Roman;serif"/>
          <w:b w:val="false"/>
          <w:sz w:val="22"/>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240"/>
        <w:jc w:val="both"/>
        <w:rPr/>
      </w:pPr>
      <w:r>
        <w:rPr/>
        <w:t>“</w:t>
      </w:r>
      <w:r>
        <w:rPr>
          <w:rFonts w:ascii="Times New Roman;serif" w:hAnsi="Times New Roman;serif"/>
          <w:b w:val="false"/>
          <w:sz w:val="22"/>
          <w:u w:val="single"/>
        </w:rPr>
        <w:t>Impacted Loans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2.13(a)(ii)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Increased Amount</w:t>
      </w:r>
      <w:r>
        <w:rPr>
          <w:rFonts w:ascii="Times New Roman" w:hAnsi="Times New Roman"/>
          <w:sz w:val="20"/>
        </w:rPr>
        <w:t xml:space="preserve">” </w:t>
      </w:r>
      <w:r>
        <w:rPr>
          <w:rFonts w:ascii="Times New Roman;serif" w:hAnsi="Times New Roman;serif"/>
          <w:b w:val="false"/>
          <w:sz w:val="22"/>
        </w:rPr>
        <w:t xml:space="preserve">shall have the meaning assigned to such term in </w:t>
      </w:r>
      <w:r>
        <w:rPr>
          <w:rFonts w:ascii="Times New Roman;serif" w:hAnsi="Times New Roman;serif"/>
          <w:b w:val="false"/>
          <w:sz w:val="22"/>
          <w:u w:val="single"/>
        </w:rPr>
        <w:t>Section 6.02(c)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Incremental Cap</w:t>
      </w:r>
      <w:r>
        <w:rPr>
          <w:rFonts w:ascii="Times New Roman" w:hAnsi="Times New Roman"/>
          <w:sz w:val="20"/>
        </w:rPr>
        <w:t xml:space="preserve">” </w:t>
      </w:r>
      <w:r>
        <w:rPr>
          <w:rFonts w:ascii="Times New Roman;serif" w:hAnsi="Times New Roman;serif"/>
          <w:b w:val="false"/>
          <w:sz w:val="22"/>
        </w:rPr>
        <w:t>means, as of any date of determination, the sum of:</w:t>
      </w:r>
    </w:p>
    <w:p>
      <w:pPr>
        <w:pStyle w:val="TextBody"/>
        <w:bidi w:val="0"/>
        <w:spacing w:before="0" w:after="240"/>
        <w:jc w:val="both"/>
        <w:rPr>
          <w:rFonts w:ascii="Times New Roman" w:hAnsi="Times New Roman"/>
          <w:sz w:val="20"/>
        </w:rPr>
      </w:pPr>
      <w:bookmarkStart w:id="374" w:name="docxtextref462"/>
      <w:bookmarkEnd w:id="374"/>
      <w:r>
        <w:rPr>
          <w:rFonts w:ascii="Times New Roman;serif" w:hAnsi="Times New Roman;serif"/>
          <w:b w:val="false"/>
          <w:sz w:val="22"/>
        </w:rPr>
        <w:t>(I) (a)</w:t>
      </w:r>
      <w:r>
        <w:rPr>
          <w:rFonts w:ascii="Times New Roman" w:hAnsi="Times New Roman"/>
          <w:sz w:val="20"/>
        </w:rPr>
        <w:t xml:space="preserve"> </w:t>
      </w:r>
      <w:r>
        <w:rPr>
          <w:rFonts w:ascii="Times New Roman;serif" w:hAnsi="Times New Roman;serif"/>
          <w:b w:val="false"/>
          <w:sz w:val="22"/>
        </w:rPr>
        <w:t xml:space="preserve">$750,000,000 </w:t>
      </w:r>
      <w:r>
        <w:rPr>
          <w:rFonts w:ascii="Times New Roman;serif" w:hAnsi="Times New Roman;serif"/>
          <w:b w:val="false"/>
          <w:sz w:val="22"/>
          <w:u w:val="single"/>
        </w:rPr>
        <w:t>plus</w:t>
      </w:r>
      <w:r>
        <w:rPr>
          <w:rFonts w:ascii="Times New Roman" w:hAnsi="Times New Roman"/>
          <w:sz w:val="20"/>
        </w:rPr>
        <w:t xml:space="preserve"> </w:t>
      </w:r>
      <w:r>
        <w:rPr>
          <w:rFonts w:ascii="Times New Roman;serif" w:hAnsi="Times New Roman;serif"/>
          <w:b w:val="false"/>
          <w:sz w:val="22"/>
        </w:rPr>
        <w:t xml:space="preserve">(ii) any General Debt Basket Reallocated Amount;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375" w:name="docxtextref465"/>
      <w:bookmarkEnd w:id="375"/>
      <w:r>
        <w:rPr>
          <w:rFonts w:ascii="Times New Roman;serif" w:hAnsi="Times New Roman;serif"/>
          <w:b w:val="false"/>
          <w:sz w:val="22"/>
        </w:rPr>
        <w:t xml:space="preserve">(b) the aggregate principal amount of all voluntary prepayments of Loans, Incremental Equivalent Debt and/or any other Indebtedness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or senior to, the Secured Obligations (including purchases of the Loans, Incremental Equivalent Debt and/or any other Indebtedness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or senior to, the Secured Obligations by Bidco and its Subsidiaries at or below par, in which case the amount of voluntary prepayments of Loans shall be deemed to be the actual face amount the resulting reduction in Indebtedness of such Loans, Incremental Equivalent Debt and/or any other Indebtedness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basis with, or senior to, the Secured Obligations and the amount paid in cash in respect of any reduction in the outstanding amount of any loan resulting from the application of any “yank-a-bank” provisions) (and in the case of any revolving loans, a corresponding commitment reduction) (other than, in each case, prepayments, repurchases and commitment reductions with the proceeds of (x)</w:t>
      </w:r>
      <w:r>
        <w:rPr>
          <w:rFonts w:ascii="Times New Roman" w:hAnsi="Times New Roman"/>
          <w:sz w:val="20"/>
        </w:rPr>
        <w:t xml:space="preserve"> </w:t>
      </w:r>
      <w:r>
        <w:rPr>
          <w:rFonts w:ascii="Times New Roman;serif" w:hAnsi="Times New Roman;serif"/>
          <w:b w:val="false"/>
          <w:sz w:val="22"/>
        </w:rPr>
        <w:t xml:space="preserve">Refinancing Indebtedness, </w:t>
      </w:r>
      <w:bookmarkStart w:id="376" w:name="docxtextref466"/>
      <w:bookmarkEnd w:id="37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Indebtedness the proceeds of which are used to refinance the Term Loans and Revolving Loans and </w:t>
      </w:r>
      <w:bookmarkStart w:id="377" w:name="docxtextref467"/>
      <w:bookmarkEnd w:id="377"/>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other long-term Indebtedness (other than Revolving Loans)); </w:t>
      </w:r>
      <w:r>
        <w:rPr>
          <w:rFonts w:ascii="Times New Roman;serif" w:hAnsi="Times New Roman;serif"/>
          <w:b w:val="false"/>
          <w:sz w:val="22"/>
          <w:u w:val="single"/>
        </w:rPr>
        <w:t>minus</w:t>
      </w:r>
    </w:p>
    <w:p>
      <w:pPr>
        <w:pStyle w:val="TextBody"/>
        <w:bidi w:val="0"/>
        <w:spacing w:before="0" w:after="240"/>
        <w:jc w:val="both"/>
        <w:rPr>
          <w:rFonts w:ascii="Times New Roman" w:hAnsi="Times New Roman"/>
          <w:sz w:val="20"/>
        </w:rPr>
      </w:pPr>
      <w:bookmarkStart w:id="378" w:name="docxtextref468"/>
      <w:bookmarkEnd w:id="378"/>
      <w:r>
        <w:rPr>
          <w:rFonts w:ascii="Times New Roman;serif" w:hAnsi="Times New Roman;serif"/>
          <w:b w:val="false"/>
          <w:sz w:val="22"/>
        </w:rPr>
        <w:t xml:space="preserve">(c) the aggregate principal amount of all Incremental Facilities and all Incremental Equivalent Debt outstanding at such time that was incurred in reliance on the foregoing clauses (a) and/or (b);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379" w:name="docxtextref471"/>
      <w:bookmarkEnd w:id="379"/>
      <w:r>
        <w:rPr>
          <w:rFonts w:ascii="Times New Roman;serif" w:hAnsi="Times New Roman;serif"/>
          <w:b w:val="false"/>
          <w:sz w:val="22"/>
        </w:rPr>
        <w:t>(II) (a)</w:t>
      </w:r>
      <w:r>
        <w:rPr>
          <w:rFonts w:ascii="Times New Roman" w:hAnsi="Times New Roman"/>
          <w:sz w:val="20"/>
        </w:rPr>
        <w:t xml:space="preserve"> </w:t>
      </w:r>
      <w:r>
        <w:rPr>
          <w:rFonts w:ascii="Times New Roman;serif" w:hAnsi="Times New Roman;serif"/>
          <w:b w:val="false"/>
          <w:sz w:val="22"/>
        </w:rPr>
        <w:t xml:space="preserve">in the case of any Incremental Facilities or Incremental Equivalent Debt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basis with the Secured Obligations, the maximum</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-49-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380" w:name="docxtextref469"/>
      <w:bookmarkEnd w:id="380"/>
      <w:r>
        <w:rPr>
          <w:rFonts w:ascii="Times New Roman;serif" w:hAnsi="Times New Roman;serif"/>
          <w:b w:val="false"/>
          <w:sz w:val="22"/>
        </w:rPr>
        <w:t xml:space="preserve">aggregate principal amount that can be incurred without causing the Senior Secured First Lien Net Leverage Ratio to exceed 5.10 to </w:t>
      </w:r>
      <w:bookmarkStart w:id="381" w:name="docxtextref475"/>
      <w:bookmarkEnd w:id="381"/>
      <w:r>
        <w:rPr>
          <w:rFonts w:ascii="Times New Roman;serif" w:hAnsi="Times New Roman;serif"/>
          <w:b w:val="false"/>
          <w:sz w:val="22"/>
        </w:rPr>
        <w:t>1.00</w:t>
      </w:r>
      <w:r>
        <w:rPr>
          <w:rFonts w:ascii="Times New Roman" w:hAnsi="Times New Roman"/>
          <w:sz w:val="20"/>
        </w:rPr>
        <w:t xml:space="preserve"> </w:t>
      </w:r>
      <w:r>
        <w:rPr>
          <w:rFonts w:ascii="Times New Roman;serif" w:hAnsi="Times New Roman;serif"/>
          <w:b w:val="false"/>
          <w:sz w:val="22"/>
        </w:rPr>
        <w:t>for the most recently ended Test Period as of such date;</w:t>
      </w:r>
    </w:p>
    <w:p>
      <w:pPr>
        <w:pStyle w:val="TextBody"/>
        <w:bidi w:val="0"/>
        <w:spacing w:before="0" w:after="240"/>
        <w:jc w:val="both"/>
        <w:rPr>
          <w:rFonts w:ascii="Times New Roman" w:hAnsi="Times New Roman"/>
          <w:sz w:val="20"/>
        </w:rPr>
      </w:pPr>
      <w:bookmarkStart w:id="382" w:name="docxtextref491"/>
      <w:bookmarkEnd w:id="382"/>
      <w:r>
        <w:rPr>
          <w:rFonts w:ascii="Times New Roman;serif" w:hAnsi="Times New Roman;serif"/>
          <w:b w:val="false"/>
          <w:sz w:val="22"/>
        </w:rPr>
        <w:t>(b) in the case of any Incremental Facilities or Incremental Equivalent Debt secured by the Collateral on a junior basis with the Secured Obligations, the maximum aggregate principal amount that can be incurred without causing the Senior Secured Net Leverage Ratio to exceed 5.10 to 1.00</w:t>
      </w:r>
      <w:r>
        <w:rPr>
          <w:rFonts w:ascii="Times New Roman" w:hAnsi="Times New Roman"/>
          <w:sz w:val="20"/>
        </w:rPr>
        <w:t xml:space="preserve"> </w:t>
      </w:r>
      <w:r>
        <w:rPr>
          <w:rFonts w:ascii="Times New Roman;serif" w:hAnsi="Times New Roman;serif"/>
          <w:b w:val="false"/>
          <w:sz w:val="22"/>
        </w:rPr>
        <w:t>for the most recently ended Test Period as of such date;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in the case of any Incremental Facilities or Incremental Equivalent Debt that is unsecured or is secured by assets that are not Collateral, the maximum aggregate principal amount that can be incurred without causing, at Bidco’s option, either:</w:t>
      </w:r>
    </w:p>
    <w:p>
      <w:pPr>
        <w:pStyle w:val="TextBody"/>
        <w:bidi w:val="0"/>
        <w:spacing w:before="0" w:after="240"/>
        <w:jc w:val="both"/>
        <w:rPr>
          <w:rFonts w:ascii="Times New Roman" w:hAnsi="Times New Roman"/>
          <w:sz w:val="20"/>
        </w:rPr>
      </w:pPr>
      <w:bookmarkStart w:id="383" w:name="docxtextref477"/>
      <w:bookmarkEnd w:id="383"/>
      <w:r>
        <w:rPr>
          <w:rFonts w:ascii="Times New Roman;serif" w:hAnsi="Times New Roman;serif"/>
          <w:b w:val="false"/>
          <w:sz w:val="22"/>
        </w:rPr>
        <w:t>(i) the Interest Coverage Ratio to be less than 2.00</w:t>
      </w:r>
      <w:r>
        <w:rPr>
          <w:rFonts w:ascii="Times New Roman" w:hAnsi="Times New Roman"/>
          <w:sz w:val="20"/>
        </w:rPr>
        <w:t xml:space="preserve"> </w:t>
      </w:r>
      <w:r>
        <w:rPr>
          <w:rFonts w:ascii="Times New Roman;serif" w:hAnsi="Times New Roman;serif"/>
          <w:b w:val="false"/>
          <w:sz w:val="22"/>
        </w:rPr>
        <w:t xml:space="preserve">to </w:t>
      </w:r>
      <w:bookmarkStart w:id="384" w:name="docxtextref483"/>
      <w:bookmarkStart w:id="385" w:name="docxtextref499"/>
      <w:bookmarkEnd w:id="384"/>
      <w:bookmarkEnd w:id="385"/>
      <w:r>
        <w:rPr>
          <w:rFonts w:ascii="Times New Roman;serif" w:hAnsi="Times New Roman;serif"/>
          <w:b w:val="false"/>
          <w:sz w:val="22"/>
        </w:rPr>
        <w:t>1.00</w:t>
      </w:r>
      <w:r>
        <w:rPr>
          <w:rFonts w:ascii="Times New Roman" w:hAnsi="Times New Roman"/>
          <w:sz w:val="20"/>
        </w:rPr>
        <w:t xml:space="preserve"> </w:t>
      </w:r>
      <w:r>
        <w:rPr>
          <w:rFonts w:ascii="Times New Roman;serif" w:hAnsi="Times New Roman;serif"/>
          <w:b w:val="false"/>
          <w:sz w:val="22"/>
        </w:rPr>
        <w:t>for the most recently ended Test Period as of such date; or</w:t>
      </w:r>
    </w:p>
    <w:p>
      <w:pPr>
        <w:pStyle w:val="TextBody"/>
        <w:bidi w:val="0"/>
        <w:spacing w:before="0" w:after="240"/>
        <w:jc w:val="both"/>
        <w:rPr>
          <w:rFonts w:ascii="Times New Roman" w:hAnsi="Times New Roman"/>
          <w:sz w:val="20"/>
        </w:rPr>
      </w:pPr>
      <w:bookmarkStart w:id="386" w:name="docxtextref507"/>
      <w:bookmarkEnd w:id="386"/>
      <w:r>
        <w:rPr>
          <w:rFonts w:ascii="Times New Roman;serif" w:hAnsi="Times New Roman;serif"/>
          <w:b w:val="false"/>
          <w:sz w:val="22"/>
        </w:rPr>
        <w:t>(ii) the Total Net Leverage Ratio to exceed 5.10 to 1.00</w:t>
      </w:r>
      <w:r>
        <w:rPr>
          <w:rFonts w:ascii="Times New Roman" w:hAnsi="Times New Roman"/>
          <w:sz w:val="20"/>
        </w:rPr>
        <w:t xml:space="preserve"> </w:t>
      </w:r>
      <w:r>
        <w:rPr>
          <w:rFonts w:ascii="Times New Roman;serif" w:hAnsi="Times New Roman;serif"/>
          <w:b w:val="false"/>
          <w:sz w:val="22"/>
        </w:rPr>
        <w:t>for the most recently ended Test Period as of such date.</w:t>
      </w:r>
    </w:p>
    <w:p>
      <w:pPr>
        <w:pStyle w:val="TextBody"/>
        <w:bidi w:val="0"/>
        <w:spacing w:before="0" w:after="240"/>
        <w:jc w:val="both"/>
        <w:rPr>
          <w:rFonts w:ascii="Times New Roman" w:hAnsi="Times New Roman"/>
          <w:sz w:val="20"/>
        </w:rPr>
      </w:pPr>
      <w:bookmarkStart w:id="387" w:name="docxtextref510"/>
      <w:bookmarkEnd w:id="387"/>
      <w:r>
        <w:rPr>
          <w:rFonts w:ascii="Times New Roman;serif" w:hAnsi="Times New Roman;serif"/>
          <w:b w:val="false"/>
          <w:sz w:val="22"/>
        </w:rPr>
        <w:t>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w:t>
      </w:r>
      <w:r>
        <w:rPr>
          <w:rFonts w:ascii="Times New Roman" w:hAnsi="Times New Roman"/>
          <w:sz w:val="20"/>
        </w:rPr>
        <w:t xml:space="preserve"> </w:t>
      </w:r>
      <w:r>
        <w:rPr>
          <w:rFonts w:ascii="Times New Roman;serif" w:hAnsi="Times New Roman;serif"/>
          <w:b w:val="false"/>
          <w:sz w:val="22"/>
        </w:rPr>
        <w:t xml:space="preserve">Revolving Loans or (ii) Incremental Facility or Incremental Equivalent Debt made pursuant to clause (I) above) for the most recently ended Test Period as of such date and subject to </w:t>
      </w:r>
      <w:r>
        <w:rPr>
          <w:rFonts w:ascii="Times New Roman;serif" w:hAnsi="Times New Roman;serif"/>
          <w:b w:val="false"/>
          <w:sz w:val="22"/>
          <w:u w:val="single"/>
        </w:rPr>
        <w:t>Section 1.06</w:t>
      </w:r>
      <w:r>
        <w:rPr>
          <w:rFonts w:ascii="Times New Roman" w:hAnsi="Times New Roman"/>
          <w:sz w:val="20"/>
        </w:rPr>
        <w:t xml:space="preserve"> </w:t>
      </w:r>
      <w:r>
        <w:rPr>
          <w:rFonts w:ascii="Times New Roman;serif" w:hAnsi="Times New Roman;serif"/>
          <w:b w:val="false"/>
          <w:sz w:val="22"/>
        </w:rPr>
        <w:t xml:space="preserve">to the extent applicable. Indebtedness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Bidco does not make an election, Bidco will be deemed to have elected clause (II));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such Indebtedness originally incurred pursuant to clause (I) above shall cease to be deemed outstanding under clause (I) and shall instead be deemed to be outstanding pursuant to clause (II) above from and after the first date on which Bidco could have incurred the aggregate principal amount of such Indebtedness pursuant to clause (II) above.</w:t>
      </w:r>
    </w:p>
    <w:p>
      <w:pPr>
        <w:pStyle w:val="TextBody"/>
        <w:bidi w:val="0"/>
        <w:spacing w:before="0" w:after="240"/>
        <w:jc w:val="both"/>
        <w:rPr/>
      </w:pPr>
      <w:r>
        <w:rPr/>
        <w:t>“</w:t>
      </w:r>
      <w:r>
        <w:rPr>
          <w:rFonts w:ascii="Times New Roman;serif" w:hAnsi="Times New Roman;serif"/>
          <w:b w:val="false"/>
          <w:sz w:val="22"/>
          <w:u w:val="single"/>
        </w:rPr>
        <w:t>Incremental Equivalent Debt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6.01(b)(xxvi)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Incremental Facilities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2.19(a)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Incremental Facility Amendment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2.19(c)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Incremental Revolving Commitment Increase</w:t>
      </w:r>
      <w:r>
        <w:rPr>
          <w:rFonts w:ascii="Times New Roman" w:hAnsi="Times New Roman"/>
          <w:sz w:val="20"/>
        </w:rPr>
        <w:t xml:space="preserve">” </w:t>
      </w:r>
      <w:r>
        <w:rPr>
          <w:rFonts w:ascii="Times New Roman;serif" w:hAnsi="Times New Roman;serif"/>
          <w:b w:val="false"/>
          <w:sz w:val="22"/>
        </w:rPr>
        <w:t xml:space="preserve">has the meaning assigned to such term is </w:t>
      </w:r>
      <w:r>
        <w:rPr>
          <w:rFonts w:ascii="Times New Roman;serif" w:hAnsi="Times New Roman;serif"/>
          <w:b w:val="false"/>
          <w:sz w:val="22"/>
          <w:u w:val="single"/>
        </w:rPr>
        <w:t>Section 2.19(a)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Incremental Term Facility</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2.19(a)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Incremental Term Increase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2.19(a)</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Incremental Term Loan</w:t>
      </w:r>
      <w:r>
        <w:rPr>
          <w:rFonts w:ascii="Times New Roman" w:hAnsi="Times New Roman"/>
          <w:sz w:val="20"/>
        </w:rPr>
        <w:t xml:space="preserve">” </w:t>
      </w:r>
      <w:r>
        <w:rPr>
          <w:rFonts w:ascii="Times New Roman;serif" w:hAnsi="Times New Roman;serif"/>
          <w:b w:val="false"/>
          <w:sz w:val="22"/>
        </w:rPr>
        <w:t>means any Term Loan provided under any Incremental Facility.</w:t>
      </w:r>
    </w:p>
    <w:p>
      <w:pPr>
        <w:pStyle w:val="TextBody"/>
        <w:bidi w:val="0"/>
        <w:spacing w:before="0" w:after="240"/>
        <w:jc w:val="both"/>
        <w:rPr/>
      </w:pPr>
      <w:r>
        <w:rPr/>
        <w:t>“</w:t>
      </w:r>
      <w:r>
        <w:rPr>
          <w:rFonts w:ascii="Times New Roman;serif" w:hAnsi="Times New Roman;serif"/>
          <w:b w:val="false"/>
          <w:sz w:val="22"/>
          <w:u w:val="single"/>
        </w:rPr>
        <w:t>Incurrence Based Amounts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1.07(b)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Indebtedness</w:t>
      </w:r>
      <w:r>
        <w:rPr>
          <w:rFonts w:ascii="Times New Roman" w:hAnsi="Times New Roman"/>
          <w:sz w:val="20"/>
        </w:rPr>
        <w:t xml:space="preserve">” </w:t>
      </w:r>
      <w:r>
        <w:rPr>
          <w:rFonts w:ascii="Times New Roman;serif" w:hAnsi="Times New Roman;serif"/>
          <w:b w:val="false"/>
          <w:sz w:val="22"/>
        </w:rPr>
        <w:t>means, with respect to any Person, without duplication: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any indebtedness (including principal and premium) of such Person, whether or not contingent: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in respect of borrowed money;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evidenced by bonds, notes, debentures or similar instruments or letters of credit or bankers’ acceptances (or, without duplication, reimbursement agreements in respect thereof);</w:t>
      </w:r>
    </w:p>
    <w:p>
      <w:pPr>
        <w:pStyle w:val="TextBody"/>
        <w:bidi w:val="0"/>
        <w:spacing w:before="0" w:after="240"/>
        <w:jc w:val="both"/>
        <w:rPr>
          <w:rFonts w:ascii="Times New Roman" w:hAnsi="Times New Roman"/>
          <w:sz w:val="20"/>
        </w:rPr>
      </w:pPr>
      <w:bookmarkStart w:id="388" w:name="docxtextref517"/>
      <w:bookmarkEnd w:id="388"/>
      <w:r>
        <w:rPr>
          <w:rFonts w:ascii="Times New Roman;serif" w:hAnsi="Times New Roman;serif"/>
          <w:b w:val="false"/>
          <w:sz w:val="22"/>
        </w:rPr>
        <w:t>(c) representing the balance deferred and unpaid of the purchase price of any property (including Capitalized Lease Obligations), except (i)</w:t>
      </w:r>
      <w:r>
        <w:rPr>
          <w:rFonts w:ascii="Times New Roman" w:hAnsi="Times New Roman"/>
          <w:sz w:val="20"/>
        </w:rPr>
        <w:t xml:space="preserve"> </w:t>
      </w:r>
      <w:r>
        <w:rPr>
          <w:rFonts w:ascii="Times New Roman;serif" w:hAnsi="Times New Roman;serif"/>
          <w:b w:val="false"/>
          <w:sz w:val="22"/>
        </w:rPr>
        <w:t>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IFRS and any purchase price holdbacks in respect of a portion of the purchase price of an asset to satisfy warranty or other unperformed obligations of the seller;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representing any Hedging Obligations;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and to the extent that any of the foregoing Indebtedness (other than letters of credit and Hedging Obligations) would appear as a liability upon a balance sheet (excluding the footnotes thereto) of such Person prepared in accordance with IFRS;</w:t>
      </w:r>
    </w:p>
    <w:p>
      <w:pPr>
        <w:pStyle w:val="TextBody"/>
        <w:bidi w:val="0"/>
        <w:spacing w:before="0" w:after="240"/>
        <w:jc w:val="both"/>
        <w:rPr>
          <w:rFonts w:ascii="Times New Roman" w:hAnsi="Times New Roman"/>
          <w:sz w:val="20"/>
        </w:rPr>
      </w:pPr>
      <w:bookmarkStart w:id="389" w:name="docxtextref518"/>
      <w:bookmarkEnd w:id="389"/>
      <w:r>
        <w:rPr>
          <w:rFonts w:ascii="Times New Roman;serif" w:hAnsi="Times New Roman;serif"/>
          <w:b w:val="false"/>
          <w:sz w:val="22"/>
        </w:rPr>
        <w:t>(2) to the extent not otherwise included, any obligation by such Person to be liable for, or to pay, as obligor, guarantor or otherwise, on the obligations of the type referred to in clause (1)</w:t>
      </w:r>
      <w:r>
        <w:rPr>
          <w:rFonts w:ascii="Times New Roman" w:hAnsi="Times New Roman"/>
          <w:sz w:val="20"/>
        </w:rPr>
        <w:t xml:space="preserve"> </w:t>
      </w:r>
      <w:r>
        <w:rPr>
          <w:rFonts w:ascii="Times New Roman;serif" w:hAnsi="Times New Roman;serif"/>
          <w:b w:val="false"/>
          <w:sz w:val="22"/>
        </w:rPr>
        <w:t xml:space="preserve">of a third Person (whether or not such items would appear upon the balance sheet of such obligor or guarantor), other than by endorsement of negotiable instruments for collection in the ordinary course of business;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amount of Indebtedness of any Person for purposes of this clause </w:t>
      </w:r>
      <w:bookmarkStart w:id="390" w:name="docxtextref519"/>
      <w:bookmarkEnd w:id="390"/>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shall be deemed to be equal to the lesser of </w:t>
      </w:r>
      <w:bookmarkStart w:id="391" w:name="docxtextref520"/>
      <w:bookmarkEnd w:id="39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the aggregate unpaid amount of such Indebtedness and (ii) the fair market value of the property encumbered thereby as determined by such Person in good faith; and</w:t>
      </w:r>
    </w:p>
    <w:p>
      <w:pPr>
        <w:pStyle w:val="TextBody"/>
        <w:bidi w:val="0"/>
        <w:spacing w:before="0" w:after="240"/>
        <w:jc w:val="both"/>
        <w:rPr>
          <w:rFonts w:ascii="Times New Roman" w:hAnsi="Times New Roman"/>
          <w:sz w:val="20"/>
        </w:rPr>
      </w:pPr>
      <w:bookmarkStart w:id="392" w:name="docxtextref521"/>
      <w:bookmarkEnd w:id="392"/>
      <w:r>
        <w:rPr>
          <w:rFonts w:ascii="Times New Roman;serif" w:hAnsi="Times New Roman;serif"/>
          <w:b w:val="false"/>
          <w:sz w:val="22"/>
        </w:rPr>
        <w:t>(3) to the extent not otherwise included, the obligations of the type referred to in clause (1)</w:t>
      </w:r>
      <w:r>
        <w:rPr>
          <w:rFonts w:ascii="Times New Roman" w:hAnsi="Times New Roman"/>
          <w:sz w:val="20"/>
        </w:rPr>
        <w:t xml:space="preserve"> </w:t>
      </w:r>
      <w:r>
        <w:rPr>
          <w:rFonts w:ascii="Times New Roman;serif" w:hAnsi="Times New Roman;serif"/>
          <w:b w:val="false"/>
          <w:sz w:val="22"/>
        </w:rPr>
        <w:t>of a third Person secured by a Lien on any asset owned by such first Person, whether or not such Indebtedness is assumed by such first Person;</w:t>
      </w:r>
    </w:p>
    <w:p>
      <w:pPr>
        <w:pStyle w:val="TextBody"/>
        <w:bidi w:val="0"/>
        <w:spacing w:before="0" w:after="240"/>
        <w:jc w:val="both"/>
        <w:rPr>
          <w:rFonts w:ascii="Times New Roman" w:hAnsi="Times New Roman"/>
          <w:sz w:val="20"/>
        </w:rPr>
      </w:pPr>
      <w:bookmarkStart w:id="393" w:name="docxtextref522"/>
      <w:bookmarkEnd w:id="393"/>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notwithstanding the foregoing, Indebtedness shall be deemed not to include (a)</w:t>
      </w:r>
      <w:r>
        <w:rPr>
          <w:rFonts w:ascii="Times New Roman" w:hAnsi="Times New Roman"/>
          <w:sz w:val="20"/>
        </w:rPr>
        <w:t xml:space="preserve"> </w:t>
      </w:r>
      <w:r>
        <w:rPr>
          <w:rFonts w:ascii="Times New Roman;serif" w:hAnsi="Times New Roman;serif"/>
          <w:b w:val="false"/>
          <w:sz w:val="22"/>
        </w:rPr>
        <w:t xml:space="preserve">Contingent Obligations incurred in the ordinary course of business, </w:t>
      </w:r>
      <w:bookmarkStart w:id="394" w:name="docxtextref523"/>
      <w:bookmarkEnd w:id="39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[reserved], </w:t>
      </w:r>
      <w:bookmarkStart w:id="395" w:name="docxtextref524"/>
      <w:bookmarkEnd w:id="39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Indebtedness of any parent of Bidco appearing on the balance sheet of Bidco, or solely by reason of push down accounting under IFRS, </w:t>
      </w:r>
      <w:bookmarkStart w:id="396" w:name="docxtextref525"/>
      <w:bookmarkEnd w:id="396"/>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intercompany liabilities arising from their cash management, tax, and accounting operations, </w:t>
      </w:r>
      <w:bookmarkStart w:id="397" w:name="docxtextref526"/>
      <w:bookmarkEnd w:id="397"/>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intercompany loans, advances or Indebtedness having a term not exceeding 364 days (inclusive of any rollover or extensions of terms) and made in the ordinary course of business, (f) obligations under any satellite manufacturing contract or Satellite Purchase Agreement (including any contingent in-orbit incentive payments or other contingent deferred payments earned by a manufacturer during the life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Satellite under such satellite manufacturing contract or Satellite Purchase Agreement and including any Guarantee for any such indebtedness), (g) obligations under satellite capacity or bandwidth arrangements (whether or not classified and accounted for as a capitalized lease for financial reporting purposes in accordance with IFRS), (h) obligations to make progress or incentive payments (including any in-orbit incentive payments) or other deferred payments earned during the life of a Satellite under any satellite manufacturing contract or obligations under any contract of launch services with respect to a Satellite or (i) obligations to make payments to one or more insurers under any policies of insurance with respect to a Satellite, including payments in respect of premiums and any requirement to remit to such insurer(s) a portion of the future revenues generated by a Satellite with respect to which a claim has been paid for a loss under such insurance or other salvage rights of such insurer(s), in each case in accordance with the terms of the insurance policies relating thereto.</w:t>
      </w:r>
    </w:p>
    <w:p>
      <w:pPr>
        <w:pStyle w:val="TextBody"/>
        <w:bidi w:val="0"/>
        <w:spacing w:before="0" w:after="240"/>
        <w:jc w:val="both"/>
        <w:rPr/>
      </w:pPr>
      <w:r>
        <w:rPr/>
        <w:t>“</w:t>
      </w:r>
      <w:r>
        <w:rPr>
          <w:rFonts w:ascii="Times New Roman;serif" w:hAnsi="Times New Roman;serif"/>
          <w:b w:val="false"/>
          <w:sz w:val="22"/>
          <w:u w:val="single"/>
        </w:rPr>
        <w:t>Indemnified Taxes</w:t>
      </w:r>
      <w:r>
        <w:rPr>
          <w:rFonts w:ascii="Times New Roman" w:hAnsi="Times New Roman"/>
          <w:sz w:val="20"/>
        </w:rPr>
        <w:t xml:space="preserve">” </w:t>
      </w:r>
      <w:r>
        <w:rPr>
          <w:rFonts w:ascii="Times New Roman;serif" w:hAnsi="Times New Roman;serif"/>
          <w:b w:val="false"/>
          <w:sz w:val="22"/>
        </w:rPr>
        <w:t xml:space="preserve">means all Taxes, other than (i) Excluded Taxes, (ii) VAT (which, if applicable, shall be dealt with in accordance with </w:t>
      </w:r>
      <w:r>
        <w:rPr>
          <w:rFonts w:ascii="Times New Roman;serif" w:hAnsi="Times New Roman;serif"/>
          <w:b w:val="false"/>
          <w:sz w:val="22"/>
          <w:u w:val="single"/>
        </w:rPr>
        <w:t>Section 2.16</w:t>
      </w:r>
      <w:r>
        <w:rPr>
          <w:rFonts w:ascii="Times New Roman;serif" w:hAnsi="Times New Roman;serif"/>
          <w:b w:val="false"/>
          <w:sz w:val="22"/>
        </w:rPr>
        <w:t>), and (iii) Other Taxes.</w:t>
      </w:r>
    </w:p>
    <w:p>
      <w:pPr>
        <w:pStyle w:val="TextBody"/>
        <w:bidi w:val="0"/>
        <w:spacing w:before="0" w:after="240"/>
        <w:jc w:val="both"/>
        <w:rPr/>
      </w:pPr>
      <w:r>
        <w:rPr/>
        <w:t>“</w:t>
      </w:r>
      <w:r>
        <w:rPr>
          <w:rFonts w:ascii="Times New Roman;serif" w:hAnsi="Times New Roman;serif"/>
          <w:b w:val="false"/>
          <w:sz w:val="22"/>
          <w:u w:val="single"/>
        </w:rPr>
        <w:t>Indemnitee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9.03(b)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Information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9.12(a)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Information Memorandum</w:t>
      </w:r>
      <w:r>
        <w:rPr>
          <w:rFonts w:ascii="Times New Roman" w:hAnsi="Times New Roman"/>
          <w:sz w:val="20"/>
        </w:rPr>
        <w:t xml:space="preserve">” </w:t>
      </w:r>
      <w:r>
        <w:rPr>
          <w:rFonts w:ascii="Times New Roman;serif" w:hAnsi="Times New Roman;serif"/>
          <w:b w:val="false"/>
          <w:sz w:val="22"/>
        </w:rPr>
        <w:t>means the Confidential Information Memorandum dated September 2019, relating to Bidco, the Borrowers and the Transactions.</w:t>
      </w:r>
    </w:p>
    <w:p>
      <w:pPr>
        <w:pStyle w:val="TextBody"/>
        <w:bidi w:val="0"/>
        <w:spacing w:before="0" w:after="240"/>
        <w:jc w:val="both"/>
        <w:rPr/>
      </w:pPr>
      <w:r>
        <w:rPr/>
        <w:t>“</w:t>
      </w:r>
      <w:r>
        <w:rPr>
          <w:rFonts w:ascii="Times New Roman;serif" w:hAnsi="Times New Roman;serif"/>
          <w:b w:val="false"/>
          <w:sz w:val="22"/>
          <w:u w:val="single"/>
        </w:rPr>
        <w:t>Initial Guernsey Collateral Agreement</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 w:hAnsi="Times New Roman"/>
          <w:sz w:val="20"/>
        </w:rPr>
      </w:pPr>
      <w:r>
        <w:rPr>
          <w:rFonts w:ascii="Times New Roman;serif" w:hAnsi="Times New Roman;serif"/>
          <w:b w:val="false"/>
          <w:sz w:val="22"/>
        </w:rPr>
        <w:t>(a) a first ranking security agreement from Initial Holdings in favor of the Collateral Agent over its Equity Interests in Bidco;</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 first ranking security agreement from the Finco Borrower in favor of the Collateral Agent over any structural intercompany receivables owed to it from Bidco;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a first ranking security agreement from Bidco in favor of the Finco Borrower over its material operating bank accounts (without control over use) as security for Bidco’s obligations under any structural intercompany loans made to it by the Finco Borrower;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a second ranking security agreement from Bidco in favor of the Collateral Agent over its material operating bank accounts (without control over use);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a first ranking security agreement from the Finco Borrower in favor of the Collateral Agent over its rights in respect of the security referred to in paragraph (c) above.</w:t>
      </w:r>
    </w:p>
    <w:p>
      <w:pPr>
        <w:pStyle w:val="TextBody"/>
        <w:bidi w:val="0"/>
        <w:spacing w:before="0" w:after="240"/>
        <w:jc w:val="both"/>
        <w:rPr/>
      </w:pPr>
      <w:r>
        <w:rPr/>
        <w:t>“</w:t>
      </w:r>
      <w:r>
        <w:rPr>
          <w:rFonts w:ascii="Times New Roman;serif" w:hAnsi="Times New Roman;serif"/>
          <w:b w:val="false"/>
          <w:sz w:val="22"/>
          <w:u w:val="single"/>
        </w:rPr>
        <w:t>Initial Holdings</w:t>
      </w:r>
      <w:r>
        <w:rPr>
          <w:rFonts w:ascii="Times New Roman" w:hAnsi="Times New Roman"/>
          <w:sz w:val="20"/>
        </w:rPr>
        <w:t xml:space="preserve">” </w:t>
      </w:r>
      <w:r>
        <w:rPr>
          <w:rFonts w:ascii="Times New Roman;serif" w:hAnsi="Times New Roman;serif"/>
          <w:b w:val="false"/>
          <w:sz w:val="22"/>
        </w:rPr>
        <w:t>has the meaning given to such term in the preliminary statements hereto.</w:t>
      </w:r>
    </w:p>
    <w:p>
      <w:pPr>
        <w:pStyle w:val="TextBody"/>
        <w:bidi w:val="0"/>
        <w:spacing w:before="0" w:after="240"/>
        <w:jc w:val="both"/>
        <w:rPr/>
      </w:pPr>
      <w:r>
        <w:rPr/>
        <w:t>“</w:t>
      </w:r>
      <w:r>
        <w:rPr>
          <w:rFonts w:ascii="Times New Roman;serif" w:hAnsi="Times New Roman;serif"/>
          <w:b w:val="false"/>
          <w:sz w:val="22"/>
          <w:u w:val="single"/>
        </w:rPr>
        <w:t>Initial Luxembourg Collateral Agreement</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a first ranking security agreement from Bidco in favor of the Collateral Agent over its Equity Interests in the Finco Borrower;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 first ranking security agreement from the Finco Borrower in favor of the Collateral Agent in respect of material operating bank accounts (without control over use);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a first ranking security agreement from the Finco Borrower in favor of the Collateral Agent over any structural intercompany receivables owed to it from Bidco.</w:t>
      </w:r>
    </w:p>
    <w:p>
      <w:pPr>
        <w:pStyle w:val="TextBody"/>
        <w:bidi w:val="0"/>
        <w:spacing w:before="0" w:after="240"/>
        <w:jc w:val="both"/>
        <w:rPr/>
      </w:pPr>
      <w:r>
        <w:rPr/>
        <w:t>“</w:t>
      </w:r>
      <w:r>
        <w:rPr>
          <w:rFonts w:ascii="Times New Roman;serif" w:hAnsi="Times New Roman;serif"/>
          <w:b w:val="false"/>
          <w:sz w:val="22"/>
          <w:u w:val="single"/>
        </w:rPr>
        <w:t>Initial Term Commitment</w:t>
      </w:r>
      <w:r>
        <w:rPr>
          <w:rFonts w:ascii="Times New Roman" w:hAnsi="Times New Roman"/>
          <w:sz w:val="20"/>
        </w:rPr>
        <w:t xml:space="preserve">” </w:t>
      </w:r>
      <w:r>
        <w:rPr>
          <w:rFonts w:ascii="Times New Roman;serif" w:hAnsi="Times New Roman;serif"/>
          <w:b w:val="false"/>
          <w:sz w:val="22"/>
        </w:rPr>
        <w:t xml:space="preserve">means, with respect to each Lender, the commitment, if any, of such Lender to make an Initial Term Loan hereunder, expressed as an amount representing the maximum principal amount of the Initial Term Loan to be made by such Lender hereunder, as such commitment may be (a) reduced from time to time pursuant to </w:t>
      </w:r>
      <w:r>
        <w:rPr>
          <w:rFonts w:ascii="Times New Roman;serif" w:hAnsi="Times New Roman;serif"/>
          <w:b w:val="false"/>
          <w:sz w:val="22"/>
          <w:u w:val="single"/>
        </w:rPr>
        <w:t>Section 2.07</w:t>
      </w:r>
      <w:r>
        <w:rPr>
          <w:rFonts w:ascii="Times New Roman" w:hAnsi="Times New Roman"/>
          <w:sz w:val="20"/>
        </w:rPr>
        <w:t xml:space="preserve"> </w:t>
      </w:r>
      <w:r>
        <w:rPr>
          <w:rFonts w:ascii="Times New Roman;serif" w:hAnsi="Times New Roman;serif"/>
          <w:b w:val="false"/>
          <w:sz w:val="22"/>
        </w:rPr>
        <w:t>and (b) reduced or increased from time to time pursuant to assignments by or to such Lender pursuant to an Assignment and Assumption. The amount of each Lender’s Initial Term Commitment as of the Effective Date is set forth on Schedule 2.01 or in the Assignment and Assumption pursuant to which such Lender shall have assumed its Initial Term Commitment. As of the Effective Date, the total Initial Term Commitment is $1,750,000,000.</w:t>
      </w:r>
    </w:p>
    <w:p>
      <w:pPr>
        <w:pStyle w:val="TextBody"/>
        <w:bidi w:val="0"/>
        <w:spacing w:before="0" w:after="240"/>
        <w:jc w:val="both"/>
        <w:rPr/>
      </w:pPr>
      <w:r>
        <w:rPr/>
        <w:t>“</w:t>
      </w:r>
      <w:r>
        <w:rPr>
          <w:rFonts w:ascii="Times New Roman;serif" w:hAnsi="Times New Roman;serif"/>
          <w:b w:val="false"/>
          <w:sz w:val="22"/>
          <w:u w:val="single"/>
        </w:rPr>
        <w:t>Initial Term Commitment Expiration Date</w:t>
      </w:r>
      <w:r>
        <w:rPr>
          <w:rFonts w:ascii="Times New Roman" w:hAnsi="Times New Roman"/>
          <w:sz w:val="20"/>
        </w:rPr>
        <w:t xml:space="preserve">” </w:t>
      </w:r>
      <w:r>
        <w:rPr>
          <w:rFonts w:ascii="Times New Roman;serif" w:hAnsi="Times New Roman;serif"/>
          <w:b w:val="false"/>
          <w:sz w:val="22"/>
        </w:rPr>
        <w:t>means the earlier to occur of (x) the last day of the Certain Funds Period and (y) the date on which the Initial Term Commitments are reduced to zero.</w:t>
      </w:r>
    </w:p>
    <w:p>
      <w:pPr>
        <w:pStyle w:val="TextBody"/>
        <w:bidi w:val="0"/>
        <w:spacing w:before="0" w:after="240"/>
        <w:jc w:val="both"/>
        <w:rPr/>
      </w:pPr>
      <w:bookmarkStart w:id="398" w:name="docxtextref529"/>
      <w:bookmarkEnd w:id="398"/>
      <w:r>
        <w:rPr/>
        <w:t>“</w:t>
      </w:r>
      <w:r>
        <w:rPr>
          <w:rFonts w:ascii="Times New Roman;serif" w:hAnsi="Times New Roman;serif"/>
          <w:b w:val="false"/>
          <w:sz w:val="22"/>
          <w:u w:val="single"/>
        </w:rPr>
        <w:t>Initial Term Loans</w:t>
      </w:r>
      <w:r>
        <w:rPr>
          <w:rFonts w:ascii="Times New Roman" w:hAnsi="Times New Roman"/>
          <w:sz w:val="20"/>
        </w:rPr>
        <w:t xml:space="preserve">” </w:t>
      </w:r>
      <w:r>
        <w:rPr>
          <w:rFonts w:ascii="Times New Roman;serif" w:hAnsi="Times New Roman;serif"/>
          <w:b w:val="false"/>
          <w:sz w:val="22"/>
        </w:rPr>
        <w:t xml:space="preserve">means the Loans made pursuant to </w:t>
      </w:r>
      <w:r>
        <w:rPr>
          <w:rFonts w:ascii="Times New Roman;serif" w:hAnsi="Times New Roman;serif"/>
          <w:b w:val="false"/>
          <w:sz w:val="22"/>
          <w:u w:val="single"/>
        </w:rPr>
        <w:t>Section 2.01(a)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Intellectual Property</w:t>
      </w:r>
      <w:r>
        <w:rPr>
          <w:rFonts w:ascii="Times New Roman" w:hAnsi="Times New Roman"/>
          <w:sz w:val="20"/>
        </w:rPr>
        <w:t xml:space="preserve">” </w:t>
      </w:r>
      <w:r>
        <w:rPr>
          <w:rFonts w:ascii="Times New Roman;serif" w:hAnsi="Times New Roman;serif"/>
          <w:b w:val="false"/>
          <w:sz w:val="22"/>
        </w:rPr>
        <w:t>has the meaning assigned to such term in the Collateral Agreement.</w:t>
      </w:r>
    </w:p>
    <w:p>
      <w:pPr>
        <w:pStyle w:val="TextBody"/>
        <w:bidi w:val="0"/>
        <w:spacing w:before="0" w:after="240"/>
        <w:jc w:val="both"/>
        <w:rPr/>
      </w:pPr>
      <w:r>
        <w:rPr/>
        <w:t>“</w:t>
      </w:r>
      <w:r>
        <w:rPr>
          <w:rFonts w:ascii="Times New Roman;serif" w:hAnsi="Times New Roman;serif"/>
          <w:b w:val="false"/>
          <w:sz w:val="22"/>
          <w:u w:val="single"/>
        </w:rPr>
        <w:t>Intellectual Property Security Agreements</w:t>
      </w:r>
      <w:r>
        <w:rPr>
          <w:rFonts w:ascii="Times New Roman" w:hAnsi="Times New Roman"/>
          <w:sz w:val="20"/>
        </w:rPr>
        <w:t xml:space="preserve">” </w:t>
      </w:r>
      <w:r>
        <w:rPr>
          <w:rFonts w:ascii="Times New Roman;serif" w:hAnsi="Times New Roman;serif"/>
          <w:b w:val="false"/>
          <w:sz w:val="22"/>
        </w:rPr>
        <w:t>means, collectively, the Trademark Security Agreement, the Patent Security Agreement and the Copyright Security Agreement, in each case which has the meaning assigned to such term in the Collateral Agreement.</w:t>
      </w:r>
    </w:p>
    <w:p>
      <w:pPr>
        <w:pStyle w:val="TextBody"/>
        <w:bidi w:val="0"/>
        <w:spacing w:before="0" w:after="240"/>
        <w:jc w:val="both"/>
        <w:rPr/>
      </w:pPr>
      <w:bookmarkStart w:id="399" w:name="docxtextref530"/>
      <w:bookmarkEnd w:id="399"/>
      <w:r>
        <w:rPr/>
        <w:t>“</w:t>
      </w:r>
      <w:r>
        <w:rPr>
          <w:rFonts w:ascii="Times New Roman;serif" w:hAnsi="Times New Roman;serif"/>
          <w:b w:val="false"/>
          <w:sz w:val="22"/>
          <w:u w:val="single"/>
        </w:rPr>
        <w:t>Interest Coverage Ratio</w:t>
      </w:r>
      <w:r>
        <w:rPr>
          <w:rFonts w:ascii="Times New Roman" w:hAnsi="Times New Roman"/>
          <w:sz w:val="20"/>
        </w:rPr>
        <w:t xml:space="preserve">” </w:t>
      </w:r>
      <w:r>
        <w:rPr>
          <w:rFonts w:ascii="Times New Roman;serif" w:hAnsi="Times New Roman;serif"/>
          <w:b w:val="false"/>
          <w:sz w:val="22"/>
        </w:rPr>
        <w:t>means, as of any date of determination, the ratio, on a Pro Forma Basis, of (a)</w:t>
      </w:r>
      <w:r>
        <w:rPr>
          <w:rFonts w:ascii="Times New Roman" w:hAnsi="Times New Roman"/>
          <w:sz w:val="20"/>
        </w:rPr>
        <w:t xml:space="preserve"> </w:t>
      </w:r>
      <w:r>
        <w:rPr>
          <w:rFonts w:ascii="Times New Roman;serif" w:hAnsi="Times New Roman;serif"/>
          <w:b w:val="false"/>
          <w:sz w:val="22"/>
        </w:rPr>
        <w:t xml:space="preserve">Consolidated EBITDA for the most recently ended Test Period as of such date to </w:t>
      </w:r>
      <w:bookmarkStart w:id="400" w:name="docxtextref531"/>
      <w:bookmarkEnd w:id="40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Consolidated Cash Interest Expense for the most recently ended Test Period as of such date.</w:t>
      </w:r>
    </w:p>
    <w:p>
      <w:pPr>
        <w:pStyle w:val="TextBody"/>
        <w:bidi w:val="0"/>
        <w:spacing w:before="0" w:after="240"/>
        <w:jc w:val="both"/>
        <w:rPr/>
      </w:pPr>
      <w:r>
        <w:rPr/>
        <w:t>“</w:t>
      </w:r>
      <w:r>
        <w:rPr>
          <w:rFonts w:ascii="Times New Roman;serif" w:hAnsi="Times New Roman;serif"/>
          <w:b w:val="false"/>
          <w:sz w:val="22"/>
          <w:u w:val="single"/>
        </w:rPr>
        <w:t>Interest Election Request</w:t>
      </w:r>
      <w:r>
        <w:rPr>
          <w:rFonts w:ascii="Times New Roman" w:hAnsi="Times New Roman"/>
          <w:sz w:val="20"/>
        </w:rPr>
        <w:t xml:space="preserve">” </w:t>
      </w:r>
      <w:r>
        <w:rPr>
          <w:rFonts w:ascii="Times New Roman;serif" w:hAnsi="Times New Roman;serif"/>
          <w:b w:val="false"/>
          <w:sz w:val="22"/>
        </w:rPr>
        <w:t xml:space="preserve">means a request by any Borrower to convert or continue a Revolving Borrowing or Term Borrowing in accordance with </w:t>
      </w:r>
      <w:r>
        <w:rPr>
          <w:rFonts w:ascii="Times New Roman;serif" w:hAnsi="Times New Roman;serif"/>
          <w:b w:val="false"/>
          <w:sz w:val="22"/>
          <w:u w:val="single"/>
        </w:rPr>
        <w:t>Section 2.06</w:t>
      </w:r>
      <w:r>
        <w:rPr>
          <w:rFonts w:ascii="Times New Roman;serif" w:hAnsi="Times New Roman;serif"/>
          <w:b w:val="false"/>
          <w:sz w:val="22"/>
        </w:rPr>
        <w:t>.</w:t>
      </w:r>
    </w:p>
    <w:p>
      <w:pPr>
        <w:pStyle w:val="TextBody"/>
        <w:bidi w:val="0"/>
        <w:spacing w:before="0" w:after="240"/>
        <w:jc w:val="both"/>
        <w:rPr/>
      </w:pPr>
      <w:bookmarkStart w:id="401" w:name="docxtextref533"/>
      <w:bookmarkEnd w:id="401"/>
      <w:r>
        <w:rPr/>
        <w:t>“</w:t>
      </w:r>
      <w:r>
        <w:rPr>
          <w:rFonts w:ascii="Times New Roman;serif" w:hAnsi="Times New Roman;serif"/>
          <w:b w:val="false"/>
          <w:sz w:val="22"/>
          <w:u w:val="single"/>
        </w:rPr>
        <w:t>Interest Payment Date</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with respect to any ABR Loan (including a Swingline Loan), the last Business Day of each March, June, September and December and </w:t>
      </w:r>
      <w:bookmarkStart w:id="402" w:name="docxtextref534"/>
      <w:bookmarkEnd w:id="40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pStyle w:val="TextBody"/>
        <w:bidi w:val="0"/>
        <w:spacing w:before="0" w:after="240"/>
        <w:jc w:val="both"/>
        <w:rPr/>
      </w:pPr>
      <w:bookmarkStart w:id="403" w:name="docxtextref535"/>
      <w:bookmarkEnd w:id="403"/>
      <w:r>
        <w:rPr/>
        <w:t>“</w:t>
      </w:r>
      <w:r>
        <w:rPr>
          <w:rFonts w:ascii="Times New Roman;serif" w:hAnsi="Times New Roman;serif"/>
          <w:b w:val="false"/>
          <w:sz w:val="22"/>
          <w:u w:val="single"/>
        </w:rPr>
        <w:t>Interest Period</w:t>
      </w:r>
      <w:r>
        <w:rPr>
          <w:rFonts w:ascii="Times New Roman" w:hAnsi="Times New Roman"/>
          <w:sz w:val="20"/>
        </w:rPr>
        <w:t xml:space="preserve">” </w:t>
      </w:r>
      <w:r>
        <w:rPr>
          <w:rFonts w:ascii="Times New Roman;serif" w:hAnsi="Times New Roman;serif"/>
          <w:b w:val="false"/>
          <w:sz w:val="22"/>
        </w:rPr>
        <w:t xml:space="preserve">means, with respect to any Eurodollar Borrowing, the period commencing on the date such Borrowing is disbursed or converted to or continued as a Eurodollar Borrowing and ending on the date that is one, two, three or six months thereafter as selected by any Borrower in its Borrowing Request (or, if consented to by each Lender participating therein, twelve months or such shorter period as such Borrower may elect);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if any Interest Period would end on a day other than a Business Day, such Interest Period shall be extended to the next succeeding Business Day unless such next succeeding Business Day would fall in the next calendar month, in which case such Interest Period shall end on the immediately preceding Business Day, </w:t>
      </w:r>
      <w:bookmarkStart w:id="404" w:name="docxtextref536"/>
      <w:bookmarkEnd w:id="40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Interest Period that commences on the last Business Day of a calendar month (or on a day for which there is no numerically corresponding day in the last calendar month of such Interest Period) shall end on the last Business Day of the last calendar month at </w:t>
      </w:r>
      <w:bookmarkStart w:id="405" w:name="docxtextref537"/>
      <w:bookmarkEnd w:id="405"/>
      <w:r>
        <w:rPr>
          <w:rFonts w:ascii="Times New Roman;serif" w:hAnsi="Times New Roman;serif"/>
          <w:b w:val="false"/>
          <w:sz w:val="22"/>
        </w:rPr>
        <w:t>the end of such Interest Period, (c)</w:t>
      </w:r>
      <w:r>
        <w:rPr>
          <w:rFonts w:ascii="Times New Roman" w:hAnsi="Times New Roman"/>
          <w:sz w:val="20"/>
        </w:rPr>
        <w:t xml:space="preserve"> </w:t>
      </w:r>
      <w:r>
        <w:rPr>
          <w:rFonts w:ascii="Times New Roman;serif" w:hAnsi="Times New Roman;serif"/>
          <w:b w:val="false"/>
          <w:sz w:val="22"/>
        </w:rPr>
        <w:t xml:space="preserve">no Interest Period shall extend beyond </w:t>
      </w:r>
      <w:bookmarkStart w:id="406" w:name="docxtextref538"/>
      <w:bookmarkEnd w:id="40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in the case of Initial Term Loans, the Term Maturity Date, and (ii) in the case of Revolving Loans, the Revolving Maturity Date and (d) to the extent a Borrower has elected to make a Eurodollar Borrowing on the Effective Date, the Interest Period may, at the election of such Borrower and with the consent of the Administrative Agent (not to be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unreasonably withheld, conditioned or delayed), have a different duration (it being understood that any such Interest Period will be calculated based on the next longest Interest Period referred to above) such that the Interest Period will end on January 31, 2020.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jc w:val="both"/>
        <w:rPr/>
      </w:pPr>
      <w:r>
        <w:rPr/>
        <w:t>“</w:t>
      </w:r>
      <w:r>
        <w:rPr>
          <w:rFonts w:ascii="Times New Roman;serif" w:hAnsi="Times New Roman;serif"/>
          <w:b w:val="false"/>
          <w:sz w:val="22"/>
          <w:u w:val="single"/>
        </w:rPr>
        <w:t>Interim Facilities Agreement</w:t>
      </w:r>
      <w:r>
        <w:rPr>
          <w:rFonts w:ascii="Times New Roman" w:hAnsi="Times New Roman"/>
          <w:sz w:val="20"/>
        </w:rPr>
        <w:t xml:space="preserve">” </w:t>
      </w:r>
      <w:r>
        <w:rPr>
          <w:rFonts w:ascii="Times New Roman;serif" w:hAnsi="Times New Roman;serif"/>
          <w:b w:val="false"/>
          <w:sz w:val="22"/>
        </w:rPr>
        <w:t>means the interim facilities agreement originally dated 24 March 2019, as amended and restated on 13 April 2019, between, among others, Bidco as Obligors’ Agent (as defined therein) and Barclays Bank PLC as Interim Facility Agent (as defined therein).</w:t>
      </w:r>
    </w:p>
    <w:p>
      <w:pPr>
        <w:pStyle w:val="TextBody"/>
        <w:bidi w:val="0"/>
        <w:spacing w:before="0" w:after="240"/>
        <w:jc w:val="both"/>
        <w:rPr/>
      </w:pPr>
      <w:r>
        <w:rPr/>
        <w:t>“</w:t>
      </w:r>
      <w:r>
        <w:rPr>
          <w:rFonts w:ascii="Times New Roman;serif" w:hAnsi="Times New Roman;serif"/>
          <w:b w:val="false"/>
          <w:sz w:val="22"/>
          <w:u w:val="single"/>
        </w:rPr>
        <w:t>Intermediate Parent</w:t>
      </w:r>
      <w:r>
        <w:rPr>
          <w:rFonts w:ascii="Times New Roman" w:hAnsi="Times New Roman"/>
          <w:sz w:val="20"/>
        </w:rPr>
        <w:t xml:space="preserve">” </w:t>
      </w:r>
      <w:r>
        <w:rPr>
          <w:rFonts w:ascii="Times New Roman;serif" w:hAnsi="Times New Roman;serif"/>
          <w:b w:val="false"/>
          <w:sz w:val="22"/>
        </w:rPr>
        <w:t>means any Wholly Owned Subsidiary of Holdings that is organized under the laws of (i) Luxembourg, (ii) Guernsey or (iii) England and Wales, in each case and of which Bidco is a subsidiary.</w:t>
      </w:r>
    </w:p>
    <w:p>
      <w:pPr>
        <w:pStyle w:val="TextBody"/>
        <w:bidi w:val="0"/>
        <w:spacing w:before="0" w:after="240"/>
        <w:jc w:val="both"/>
        <w:rPr/>
      </w:pPr>
      <w:bookmarkStart w:id="407" w:name="docxtextref539"/>
      <w:bookmarkEnd w:id="407"/>
      <w:r>
        <w:rPr/>
        <w:t>“</w:t>
      </w:r>
      <w:r>
        <w:rPr>
          <w:rFonts w:ascii="Times New Roman;serif" w:hAnsi="Times New Roman;serif"/>
          <w:b w:val="false"/>
          <w:sz w:val="22"/>
          <w:u w:val="single"/>
        </w:rPr>
        <w:t>Interpolated Rate</w:t>
      </w:r>
      <w:r>
        <w:rPr>
          <w:rFonts w:ascii="Times New Roman" w:hAnsi="Times New Roman"/>
          <w:sz w:val="20"/>
        </w:rPr>
        <w:t xml:space="preserve">” </w:t>
      </w:r>
      <w:r>
        <w:rPr>
          <w:rFonts w:ascii="Times New Roman;serif" w:hAnsi="Times New Roman;serif"/>
          <w:b w:val="false"/>
          <w:sz w:val="22"/>
        </w:rPr>
        <w:t>means, in relation to the “LIBO Rate” for any Loan, the rate which results from interpolating on a linear basis between: (i)</w:t>
      </w:r>
      <w:r>
        <w:rPr>
          <w:rFonts w:ascii="Times New Roman" w:hAnsi="Times New Roman"/>
          <w:sz w:val="20"/>
        </w:rPr>
        <w:t xml:space="preserve"> </w:t>
      </w:r>
      <w:r>
        <w:rPr>
          <w:rFonts w:ascii="Times New Roman;serif" w:hAnsi="Times New Roman;serif"/>
          <w:b w:val="false"/>
          <w:sz w:val="22"/>
        </w:rPr>
        <w:t>the rate appearing on Reuters Screen LIBOR01 Page (or on any successor or substitute page of such service) for the longest period (for which that rate is available) which is less than the Interest Period and (ii) the rate appearing on Reuters Screen LIBOR01 Page (or on any successor or substitute page of such service) for the shortest period (for which that rate is available) which exceeds the Interest Period, each as of approximately 11:00 A.M., London, England time, two Business Days prior to the commencement of such Interest Period.</w:t>
      </w:r>
    </w:p>
    <w:p>
      <w:pPr>
        <w:pStyle w:val="TextBody"/>
        <w:bidi w:val="0"/>
        <w:spacing w:before="0" w:after="240"/>
        <w:jc w:val="both"/>
        <w:rPr/>
      </w:pPr>
      <w:r>
        <w:rPr/>
        <w:t>“</w:t>
      </w:r>
      <w:r>
        <w:rPr>
          <w:rFonts w:ascii="Times New Roman;serif" w:hAnsi="Times New Roman;serif"/>
          <w:b w:val="false"/>
          <w:sz w:val="22"/>
          <w:u w:val="single"/>
        </w:rPr>
        <w:t>Investment</w:t>
      </w:r>
      <w:r>
        <w:rPr>
          <w:rFonts w:ascii="Times New Roman" w:hAnsi="Times New Roman"/>
          <w:sz w:val="20"/>
        </w:rPr>
        <w:t xml:space="preserve">” </w:t>
      </w:r>
      <w:r>
        <w:rPr>
          <w:rFonts w:ascii="Times New Roman;serif" w:hAnsi="Times New Roman;serif"/>
          <w:b w:val="false"/>
          <w:sz w:val="22"/>
        </w:rPr>
        <w:t xml:space="preserve">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Bidco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IFRS to be classified on the balance sheet (excluding the footnotes) of Bidco in the same manner as the other investments included in this definition to the extent such transactions involve the transfer of cash or other property;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endorsements of negotiable instruments and documents in the ordinary course of business will not be deemed to be an Investment.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For purposes of the definition of “Unrestricted Subsidiary” and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(1) “Investments” shall include the portion (proportionate to Bidco’s direct or indirect equity interest in such Subsidiary) of the fair market value of the net assets of a Subsidiary of Bidco at the time that such Subsidiary is designated an Unrestricted Subsidiary;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upon a redesignation of such Subsidiary as a Restricted Subsidiary, Bidco or the applicable Restricted Subsidiary shall be deemed to continue to have a permanent “Investment” in an Unrestricted Subsidiary in an amount (if positive) equal to: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Bidco’s “Investment” in such Subsidiary at the time of such redesignation; less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portion (proportionate to Bidco’s equity interest in such Subsidiary) of the fair market value of the net assets of such Subsidiary at the time of such redesignation;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any property transferred to or from an Unrestricted Subsidiary shall be valued at its fair market value at the time of such transfer, in each case as determined in good faith by a Responsible Officer of Bidco or any Borrower.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amount of any Investment outstanding at any time shall be the original cost of such Investment, reduced by any dividend, distribution, interest payment, return of capital, repayment or other amount received in cash or other property by Bidco or a Restricted Subsidiary in respect of such Investment.</w:t>
      </w:r>
    </w:p>
    <w:p>
      <w:pPr>
        <w:pStyle w:val="TextBody"/>
        <w:bidi w:val="0"/>
        <w:spacing w:before="0" w:after="240"/>
        <w:jc w:val="both"/>
        <w:rPr/>
      </w:pPr>
      <w:bookmarkStart w:id="408" w:name="docxtextref541"/>
      <w:bookmarkEnd w:id="408"/>
      <w:r>
        <w:rPr/>
        <w:t>“</w:t>
      </w:r>
      <w:r>
        <w:rPr>
          <w:rFonts w:ascii="Times New Roman;serif" w:hAnsi="Times New Roman;serif"/>
          <w:b w:val="false"/>
          <w:sz w:val="22"/>
          <w:u w:val="single"/>
        </w:rPr>
        <w:t>Investment Grade Rating</w:t>
      </w:r>
      <w:r>
        <w:rPr>
          <w:rFonts w:ascii="Times New Roman" w:hAnsi="Times New Roman"/>
          <w:sz w:val="20"/>
        </w:rPr>
        <w:t xml:space="preserve">” </w:t>
      </w:r>
      <w:r>
        <w:rPr>
          <w:rFonts w:ascii="Times New Roman;serif" w:hAnsi="Times New Roman;serif"/>
          <w:b w:val="false"/>
          <w:sz w:val="22"/>
        </w:rPr>
        <w:t>means a rating equal to or higher than (x)</w:t>
      </w:r>
      <w:r>
        <w:rPr>
          <w:rFonts w:ascii="Times New Roman" w:hAnsi="Times New Roman"/>
          <w:sz w:val="20"/>
        </w:rPr>
        <w:t xml:space="preserve"> </w:t>
      </w:r>
      <w:r>
        <w:rPr>
          <w:rFonts w:ascii="Times New Roman;serif" w:hAnsi="Times New Roman;serif"/>
          <w:b w:val="false"/>
          <w:sz w:val="22"/>
        </w:rPr>
        <w:t xml:space="preserve">Baa3 (or the equivalent) by Moody’s, </w:t>
      </w:r>
      <w:bookmarkStart w:id="409" w:name="docxtextref542"/>
      <w:bookmarkEnd w:id="40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BBB- (or the equivalent) by S&amp;P or </w:t>
      </w:r>
      <w:bookmarkStart w:id="410" w:name="docxtextref543"/>
      <w:bookmarkEnd w:id="410"/>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a rating of BBB- (or the equivalent) by Fitch, as applicable, or if such obligations are not then rated by Moody’s, S&amp;P or Fitch, an equivalent rating by any other rating agency.</w:t>
      </w:r>
    </w:p>
    <w:p>
      <w:pPr>
        <w:pStyle w:val="TextBody"/>
        <w:bidi w:val="0"/>
        <w:spacing w:before="0" w:after="240"/>
        <w:jc w:val="both"/>
        <w:rPr/>
      </w:pPr>
      <w:r>
        <w:rPr/>
        <w:t>“</w:t>
      </w:r>
      <w:r>
        <w:rPr>
          <w:rFonts w:ascii="Times New Roman;serif" w:hAnsi="Times New Roman;serif"/>
          <w:b w:val="false"/>
          <w:sz w:val="22"/>
          <w:u w:val="single"/>
        </w:rPr>
        <w:t>Investment Grade Securities</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securities issued or directly and fully guaranteed or insured by the United States government or any agency or instrumentality thereof (other than Cash Equivalents);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debt securities or debt instruments with an Investment Grade Rating, but excluding any debt securities or instruments constituting loans or advances among Bidco and its Subsidiaries;</w:t>
      </w:r>
    </w:p>
    <w:p>
      <w:pPr>
        <w:pStyle w:val="TextBody"/>
        <w:bidi w:val="0"/>
        <w:spacing w:before="0" w:after="240"/>
        <w:jc w:val="both"/>
        <w:rPr>
          <w:rFonts w:ascii="Times New Roman" w:hAnsi="Times New Roman"/>
          <w:sz w:val="20"/>
        </w:rPr>
      </w:pPr>
      <w:bookmarkStart w:id="411" w:name="docxtextref544"/>
      <w:bookmarkEnd w:id="411"/>
      <w:r>
        <w:rPr>
          <w:rFonts w:ascii="Times New Roman;serif" w:hAnsi="Times New Roman;serif"/>
          <w:b w:val="false"/>
          <w:sz w:val="22"/>
        </w:rPr>
        <w:t>(3) investments in any fund that invests exclusively in investments of the type described in clauses (1)</w:t>
      </w:r>
      <w:r>
        <w:rPr>
          <w:rFonts w:ascii="Times New Roman" w:hAnsi="Times New Roman"/>
          <w:sz w:val="20"/>
        </w:rPr>
        <w:t xml:space="preserve"> </w:t>
      </w:r>
      <w:r>
        <w:rPr>
          <w:rFonts w:ascii="Times New Roman;serif" w:hAnsi="Times New Roman;serif"/>
          <w:b w:val="false"/>
          <w:sz w:val="22"/>
        </w:rPr>
        <w:t>and (2) which fund may also hold immaterial amounts of cash pending investment or distribution;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(4) corresponding instruments in countries other than the United States of America customarily utilized for high quality investments.</w:t>
      </w:r>
    </w:p>
    <w:p>
      <w:pPr>
        <w:pStyle w:val="TextBody"/>
        <w:bidi w:val="0"/>
        <w:spacing w:before="0" w:after="240"/>
        <w:jc w:val="both"/>
        <w:rPr/>
      </w:pPr>
      <w:r>
        <w:rPr/>
        <w:t>“</w:t>
      </w:r>
      <w:r>
        <w:rPr>
          <w:rFonts w:ascii="Times New Roman;serif" w:hAnsi="Times New Roman;serif"/>
          <w:b w:val="false"/>
          <w:sz w:val="22"/>
          <w:u w:val="single"/>
        </w:rPr>
        <w:t>Investors</w:t>
      </w:r>
      <w:r>
        <w:rPr>
          <w:rFonts w:ascii="Times New Roman" w:hAnsi="Times New Roman"/>
          <w:sz w:val="20"/>
        </w:rPr>
        <w:t xml:space="preserve">” </w:t>
      </w:r>
      <w:r>
        <w:rPr>
          <w:rFonts w:ascii="Times New Roman;serif" w:hAnsi="Times New Roman;serif"/>
          <w:b w:val="false"/>
          <w:sz w:val="22"/>
        </w:rPr>
        <w:t>means Warburg Pincus LLC, Apax Partners LLP, Ontario Teachers’ Pension Plan Board, Canada Pension Plan Investment Board and their respective Affiliates and any funds, partnerships or other investment vehicles managed or directly or indirectly controlled by them, but not including, however, any portfolio companies of the foregoing.</w:t>
      </w:r>
    </w:p>
    <w:p>
      <w:pPr>
        <w:pStyle w:val="TextBody"/>
        <w:bidi w:val="0"/>
        <w:spacing w:before="0" w:after="240"/>
        <w:jc w:val="both"/>
        <w:rPr/>
      </w:pPr>
      <w:r>
        <w:rPr/>
        <w:t>“</w:t>
      </w:r>
      <w:r>
        <w:rPr>
          <w:rFonts w:ascii="Times New Roman;serif" w:hAnsi="Times New Roman;serif"/>
          <w:b w:val="false"/>
          <w:sz w:val="22"/>
          <w:u w:val="single"/>
        </w:rPr>
        <w:t>IPO</w:t>
      </w:r>
      <w:r>
        <w:rPr>
          <w:rFonts w:ascii="Times New Roman" w:hAnsi="Times New Roman"/>
          <w:sz w:val="20"/>
        </w:rPr>
        <w:t xml:space="preserve">” </w:t>
      </w:r>
      <w:r>
        <w:rPr>
          <w:rFonts w:ascii="Times New Roman;serif" w:hAnsi="Times New Roman;serif"/>
          <w:b w:val="false"/>
          <w:sz w:val="22"/>
        </w:rPr>
        <w:t>means the initial underwritten public offering (other than a public offering pursuant to a registration statement on Form S-8) of common Equity Interests of Initial Holdings, a parent entity of Initial Holdings or an Intermediate Parent.</w:t>
      </w:r>
    </w:p>
    <w:p>
      <w:pPr>
        <w:pStyle w:val="TextBody"/>
        <w:bidi w:val="0"/>
        <w:spacing w:before="0" w:after="240"/>
        <w:jc w:val="both"/>
        <w:rPr/>
      </w:pPr>
      <w:r>
        <w:rPr/>
        <w:t>“</w:t>
      </w:r>
      <w:r>
        <w:rPr>
          <w:rFonts w:ascii="Times New Roman;serif" w:hAnsi="Times New Roman;serif"/>
          <w:b w:val="false"/>
          <w:sz w:val="22"/>
          <w:u w:val="single"/>
        </w:rPr>
        <w:t>IPO Entity</w:t>
      </w:r>
      <w:r>
        <w:rPr>
          <w:rFonts w:ascii="Times New Roman" w:hAnsi="Times New Roman"/>
          <w:sz w:val="20"/>
        </w:rPr>
        <w:t xml:space="preserve">” </w:t>
      </w:r>
      <w:r>
        <w:rPr>
          <w:rFonts w:ascii="Times New Roman;serif" w:hAnsi="Times New Roman;serif"/>
          <w:b w:val="false"/>
          <w:sz w:val="22"/>
        </w:rPr>
        <w:t xml:space="preserve">means, at any time upon and after an IPO, either Initial Holdings, a parent entity of Initial Holdings or an Intermediate Parent, as the case may be, the Equity Interests of which were issued or otherwise sold in a transaction described in the definition of “IPO”;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immediately following the IPO, Bidco is a direct or indirect Wholly Owned Subsidiary of such IPO Entity and such IPO Entity owns, directly or through its subsidiaries, substantially all the businesses and assets owned or conducted, directly or indirectly, by Bidco immediately prior to the IPO.</w:t>
      </w:r>
    </w:p>
    <w:p>
      <w:pPr>
        <w:pStyle w:val="TextBody"/>
        <w:bidi w:val="0"/>
        <w:spacing w:before="0" w:after="240"/>
        <w:jc w:val="both"/>
        <w:rPr/>
      </w:pPr>
      <w:r>
        <w:rPr/>
        <w:t>“</w:t>
      </w:r>
      <w:r>
        <w:rPr>
          <w:rFonts w:ascii="Times New Roman;serif" w:hAnsi="Times New Roman;serif"/>
          <w:b w:val="false"/>
          <w:sz w:val="22"/>
          <w:u w:val="single"/>
        </w:rPr>
        <w:t>ISP</w:t>
      </w:r>
      <w:r>
        <w:rPr>
          <w:rFonts w:ascii="Times New Roman" w:hAnsi="Times New Roman"/>
          <w:sz w:val="20"/>
        </w:rPr>
        <w:t xml:space="preserve">” </w:t>
      </w:r>
      <w:r>
        <w:rPr>
          <w:rFonts w:ascii="Times New Roman;serif" w:hAnsi="Times New Roman;serif"/>
          <w:b w:val="false"/>
          <w:sz w:val="22"/>
        </w:rPr>
        <w:t>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pStyle w:val="TextBody"/>
        <w:bidi w:val="0"/>
        <w:spacing w:before="0" w:after="240"/>
        <w:jc w:val="both"/>
        <w:rPr/>
      </w:pPr>
      <w:bookmarkStart w:id="412" w:name="docxtextref551"/>
      <w:bookmarkEnd w:id="412"/>
      <w:r>
        <w:rPr/>
        <w:t>“</w:t>
      </w:r>
      <w:r>
        <w:rPr>
          <w:rFonts w:ascii="Times New Roman;serif" w:hAnsi="Times New Roman;serif"/>
          <w:b w:val="false"/>
          <w:sz w:val="22"/>
          <w:u w:val="single"/>
        </w:rPr>
        <w:t>Issuing Bank</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each of Bank of America, N.A., Barclays, UBS AG, Stamford Branch, BNP Paribas Fortis S.A./N.V., HSBC Bank PLC, ING Bank N.V., National Westminster Bank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413" w:name="docxtextref552"/>
      <w:bookmarkEnd w:id="413"/>
      <w:r>
        <w:rPr>
          <w:rFonts w:ascii="Times New Roman;serif" w:hAnsi="Times New Roman;serif"/>
          <w:b w:val="false"/>
          <w:sz w:val="22"/>
        </w:rPr>
        <w:t>PLC, Sumitomo Mitsui Banking Corporation, Banca IMI S.p.A., London Branch, MUFG Bank, Ltd., Natixis, New York Branch, DNB (UK) Limited, The Bank of Nova Scotia, London Branch, J.P. Morgan AG and Mizuho Bank, Ltd.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Barclays and UBS AG, Stamford Branch and their respective Affiliates shall each only be required to issue standby Letters of Credit) and (b)</w:t>
      </w:r>
      <w:r>
        <w:rPr>
          <w:rFonts w:ascii="Times New Roman" w:hAnsi="Times New Roman"/>
          <w:sz w:val="20"/>
        </w:rPr>
        <w:t xml:space="preserve"> </w:t>
      </w:r>
      <w:r>
        <w:rPr>
          <w:rFonts w:ascii="Times New Roman;serif" w:hAnsi="Times New Roman;serif"/>
          <w:b w:val="false"/>
          <w:sz w:val="22"/>
        </w:rPr>
        <w:t xml:space="preserve">each Revolving Lender that shall have become an Issuing Bank hereunder as provided in </w:t>
      </w:r>
      <w:r>
        <w:rPr>
          <w:rFonts w:ascii="Times New Roman;serif" w:hAnsi="Times New Roman;serif"/>
          <w:b w:val="false"/>
          <w:sz w:val="22"/>
          <w:u w:val="single"/>
        </w:rPr>
        <w:t>Section 2.04(k)</w:t>
      </w:r>
      <w:r>
        <w:rPr>
          <w:rFonts w:ascii="Times New Roman" w:hAnsi="Times New Roman"/>
          <w:sz w:val="20"/>
        </w:rPr>
        <w:t xml:space="preserve"> </w:t>
      </w:r>
      <w:r>
        <w:rPr>
          <w:rFonts w:ascii="Times New Roman;serif" w:hAnsi="Times New Roman;serif"/>
          <w:b w:val="false"/>
          <w:sz w:val="22"/>
        </w:rPr>
        <w:t xml:space="preserve">(other than any Person that shall have ceased to be an Issuing Bank as provided in </w:t>
      </w:r>
      <w:r>
        <w:rPr>
          <w:rFonts w:ascii="Times New Roman;serif" w:hAnsi="Times New Roman;serif"/>
          <w:b w:val="false"/>
          <w:sz w:val="22"/>
          <w:u w:val="single"/>
        </w:rPr>
        <w:t>Section 2.04(l)</w:t>
      </w:r>
      <w:r>
        <w:rPr>
          <w:rFonts w:ascii="Times New Roman;serif" w:hAnsi="Times New Roman;serif"/>
          <w:b w:val="false"/>
          <w:sz w:val="22"/>
        </w:rPr>
        <w:t>),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pStyle w:val="TextBody"/>
        <w:bidi w:val="0"/>
        <w:spacing w:before="0" w:after="240"/>
        <w:jc w:val="both"/>
        <w:rPr/>
      </w:pPr>
      <w:r>
        <w:rPr/>
        <w:t>“</w:t>
      </w:r>
      <w:r>
        <w:rPr>
          <w:rFonts w:ascii="Times New Roman;serif" w:hAnsi="Times New Roman;serif"/>
          <w:b w:val="false"/>
          <w:sz w:val="22"/>
          <w:u w:val="single"/>
        </w:rPr>
        <w:t>Joint Lead Arrangers</w:t>
      </w:r>
      <w:r>
        <w:rPr>
          <w:rFonts w:ascii="Times New Roman" w:hAnsi="Times New Roman"/>
          <w:sz w:val="20"/>
        </w:rPr>
        <w:t xml:space="preserve">” </w:t>
      </w:r>
      <w:r>
        <w:rPr>
          <w:rFonts w:ascii="Times New Roman;serif" w:hAnsi="Times New Roman;serif"/>
          <w:b w:val="false"/>
          <w:sz w:val="22"/>
        </w:rPr>
        <w:t>means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hereunder and (ii) Barclays Bank PLC, BofA Securities, Inc. (f/k/a Merrill Lynch, Pierce, Fenner &amp; Smith Incorporated), UBS Securities LLC, BNP Paribas Fortis S.A./N.V., HSBC Bank PLC, ING Bank N.V., Natixis, New York Branch, NatWest Markets plc, Sumitomo Mitsui Banking Corporation, Banca IMI S.p.A., London Branch, MUFG Bank, Ltd., DNB (UK) Limited, The Bank of Nova Scotia, London Branch and Mizuho Bank, Ltd. each in their capacity as joint bookrunners, and any permitted successors and assigns thereof, in their respective capacities as joint bookrunners hereunder.</w:t>
      </w:r>
    </w:p>
    <w:p>
      <w:pPr>
        <w:pStyle w:val="TextBody"/>
        <w:bidi w:val="0"/>
        <w:spacing w:before="0" w:after="240"/>
        <w:jc w:val="both"/>
        <w:rPr/>
      </w:pPr>
      <w:r>
        <w:rPr/>
        <w:t>“</w:t>
      </w:r>
      <w:r>
        <w:rPr>
          <w:rFonts w:ascii="Times New Roman;serif" w:hAnsi="Times New Roman;serif"/>
          <w:b w:val="false"/>
          <w:sz w:val="22"/>
          <w:u w:val="single"/>
        </w:rPr>
        <w:t>Judgment Currency</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9.22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Ligado Cooperation Agreement</w:t>
      </w:r>
      <w:r>
        <w:rPr>
          <w:rFonts w:ascii="Times New Roman" w:hAnsi="Times New Roman"/>
          <w:sz w:val="20"/>
        </w:rPr>
        <w:t xml:space="preserve">” </w:t>
      </w:r>
      <w:r>
        <w:rPr>
          <w:rFonts w:ascii="Times New Roman;serif" w:hAnsi="Times New Roman;serif"/>
          <w:b w:val="false"/>
          <w:sz w:val="22"/>
        </w:rPr>
        <w:t>means the Amended and Restated Cooperation Agreement dated as of August 6, 2010 (as amended by Amendment No. 2 dated as of April 18, 2012 and Amendment No. 3 dated as of May 4, 2016 and as may be further amended, restated, amended and restated, supplemented or otherwise modified from time to time) by and between LightSquared LP, SkyTerra (Canada) Inc., LightSquared Inc. and Inmarsat Global Limited.</w:t>
      </w:r>
    </w:p>
    <w:p>
      <w:pPr>
        <w:pStyle w:val="TextBody"/>
        <w:bidi w:val="0"/>
        <w:spacing w:before="0" w:after="240"/>
        <w:jc w:val="both"/>
        <w:rPr/>
      </w:pPr>
      <w:r>
        <w:rPr/>
        <w:t>“</w:t>
      </w:r>
      <w:r>
        <w:rPr>
          <w:rFonts w:ascii="Times New Roman;serif" w:hAnsi="Times New Roman;serif"/>
          <w:b w:val="false"/>
          <w:sz w:val="22"/>
          <w:u w:val="single"/>
        </w:rPr>
        <w:t>Latest Maturity Date</w:t>
      </w:r>
      <w:r>
        <w:rPr>
          <w:rFonts w:ascii="Times New Roman" w:hAnsi="Times New Roman"/>
          <w:sz w:val="20"/>
        </w:rPr>
        <w:t xml:space="preserve">” </w:t>
      </w:r>
      <w:r>
        <w:rPr>
          <w:rFonts w:ascii="Times New Roman;serif" w:hAnsi="Times New Roman;serif"/>
          <w:b w:val="false"/>
          <w:sz w:val="22"/>
        </w:rPr>
        <w:t>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pStyle w:val="TextBody"/>
        <w:bidi w:val="0"/>
        <w:spacing w:before="0" w:after="240"/>
        <w:jc w:val="both"/>
        <w:rPr/>
      </w:pPr>
      <w:bookmarkStart w:id="414" w:name="docxtextref553"/>
      <w:bookmarkEnd w:id="414"/>
      <w:r>
        <w:rPr/>
        <w:t>“</w:t>
      </w:r>
      <w:r>
        <w:rPr>
          <w:rFonts w:ascii="Times New Roman;serif" w:hAnsi="Times New Roman;serif"/>
          <w:b w:val="false"/>
          <w:sz w:val="22"/>
          <w:u w:val="single"/>
        </w:rPr>
        <w:t>LC Commitment</w:t>
      </w:r>
      <w:r>
        <w:rPr>
          <w:rFonts w:ascii="Times New Roman" w:hAnsi="Times New Roman"/>
          <w:sz w:val="20"/>
        </w:rPr>
        <w:t xml:space="preserve">” </w:t>
      </w:r>
      <w:r>
        <w:rPr>
          <w:rFonts w:ascii="Times New Roman;serif" w:hAnsi="Times New Roman;serif"/>
          <w:b w:val="false"/>
          <w:sz w:val="22"/>
        </w:rPr>
        <w:t xml:space="preserve">shall mean, in the case of each Issuing Bank, such amounts as set forth in </w:t>
      </w:r>
      <w:r>
        <w:rPr>
          <w:rFonts w:ascii="Times New Roman;serif" w:hAnsi="Times New Roman;serif"/>
          <w:b w:val="false"/>
          <w:sz w:val="22"/>
          <w:u w:val="single"/>
        </w:rPr>
        <w:t>Schedule 2.01</w:t>
      </w:r>
      <w:r>
        <w:rPr>
          <w:rFonts w:ascii="Times New Roman" w:hAnsi="Times New Roman"/>
          <w:sz w:val="20"/>
        </w:rPr>
        <w:t xml:space="preserve"> </w:t>
      </w:r>
      <w:r>
        <w:rPr>
          <w:rFonts w:ascii="Times New Roman;serif" w:hAnsi="Times New Roman;serif"/>
          <w:b w:val="false"/>
          <w:sz w:val="22"/>
        </w:rPr>
        <w:t xml:space="preserve">hereto;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upon the request of Bidco or any Borrower, any Issuing Bank may agree, in its sole discretion, to increase its LC Commitments under this definition, subject to the aggregate LC Commitments not exceeding the Letter of Credit Sublimit;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each Issuing Bank’s individual portion of the Letter of Credit Sublimit as set forth in this definition may be increased or decreased by Bidco or such Borrower subject only to the consent of such Issuing Bank.</w:t>
      </w:r>
    </w:p>
    <w:p>
      <w:pPr>
        <w:pStyle w:val="TextBody"/>
        <w:bidi w:val="0"/>
        <w:spacing w:before="0" w:after="240"/>
        <w:jc w:val="both"/>
        <w:rPr/>
      </w:pPr>
      <w:r>
        <w:rPr/>
        <w:t>“</w:t>
      </w:r>
      <w:r>
        <w:rPr>
          <w:rFonts w:ascii="Times New Roman;serif" w:hAnsi="Times New Roman;serif"/>
          <w:b w:val="false"/>
          <w:sz w:val="22"/>
          <w:u w:val="single"/>
        </w:rPr>
        <w:t>LC Disbursement</w:t>
      </w:r>
      <w:r>
        <w:rPr>
          <w:rFonts w:ascii="Times New Roman" w:hAnsi="Times New Roman"/>
          <w:sz w:val="20"/>
        </w:rPr>
        <w:t xml:space="preserve">” </w:t>
      </w:r>
      <w:r>
        <w:rPr>
          <w:rFonts w:ascii="Times New Roman;serif" w:hAnsi="Times New Roman;serif"/>
          <w:b w:val="false"/>
          <w:sz w:val="22"/>
        </w:rPr>
        <w:t>means an honoring of a drawing by an Issuing Bank pursuant to a Letter of Credit.</w:t>
      </w:r>
    </w:p>
    <w:p>
      <w:pPr>
        <w:pStyle w:val="TextBody"/>
        <w:bidi w:val="0"/>
        <w:spacing w:before="0" w:after="240"/>
        <w:jc w:val="both"/>
        <w:rPr/>
      </w:pPr>
      <w:bookmarkStart w:id="415" w:name="docxtextref557"/>
      <w:bookmarkEnd w:id="415"/>
      <w:r>
        <w:rPr/>
        <w:t>“</w:t>
      </w:r>
      <w:r>
        <w:rPr>
          <w:rFonts w:ascii="Times New Roman;serif" w:hAnsi="Times New Roman;serif"/>
          <w:b w:val="false"/>
          <w:sz w:val="22"/>
          <w:u w:val="single"/>
        </w:rPr>
        <w:t>LC Exposure</w:t>
      </w:r>
      <w:r>
        <w:rPr>
          <w:rFonts w:ascii="Times New Roman" w:hAnsi="Times New Roman"/>
          <w:sz w:val="20"/>
        </w:rPr>
        <w:t xml:space="preserve">” </w:t>
      </w:r>
      <w:r>
        <w:rPr>
          <w:rFonts w:ascii="Times New Roman;serif" w:hAnsi="Times New Roman;serif"/>
          <w:b w:val="false"/>
          <w:sz w:val="22"/>
        </w:rPr>
        <w:t>means, at any time, the sum of (a)</w:t>
      </w:r>
      <w:r>
        <w:rPr>
          <w:rFonts w:ascii="Times New Roman" w:hAnsi="Times New Roman"/>
          <w:sz w:val="20"/>
        </w:rPr>
        <w:t xml:space="preserve"> </w:t>
      </w:r>
      <w:r>
        <w:rPr>
          <w:rFonts w:ascii="Times New Roman;serif" w:hAnsi="Times New Roman;serif"/>
          <w:b w:val="false"/>
          <w:sz w:val="22"/>
        </w:rPr>
        <w:t xml:space="preserve">the aggregate amount of all Letters of Credit that remains available for drawing at such time and </w:t>
      </w:r>
      <w:bookmarkStart w:id="416" w:name="docxtextref558"/>
      <w:bookmarkEnd w:id="41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aggregate amount of all LC Disbursements that have not yet been reimbursed by or on behalf of the applicable Borrower at such time. The LC Exposure of any Revolving Lender at any time shall be its Applicable Percentage of the total LC Exposure at such time. For all purposes of this Agreement, if on any date of determination a Letter of Credit has expired by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417" w:name="docxtextref555"/>
      <w:bookmarkEnd w:id="417"/>
      <w:r>
        <w:rPr>
          <w:rFonts w:ascii="Times New Roman;serif" w:hAnsi="Times New Roman;serif"/>
          <w:b w:val="false"/>
          <w:sz w:val="22"/>
        </w:rPr>
        <w:t>its terms but any amount may still be drawn thereunder by reason of the operation of Rule 3.13</w:t>
      </w:r>
      <w:r>
        <w:rPr>
          <w:rFonts w:ascii="Times New Roman" w:hAnsi="Times New Roman"/>
          <w:sz w:val="20"/>
        </w:rPr>
        <w:t xml:space="preserve"> </w:t>
      </w:r>
      <w:r>
        <w:rPr>
          <w:rFonts w:ascii="Times New Roman;serif" w:hAnsi="Times New Roman;serif"/>
          <w:b w:val="false"/>
          <w:sz w:val="22"/>
        </w:rPr>
        <w:t xml:space="preserve">or </w:t>
      </w:r>
      <w:bookmarkStart w:id="418" w:name="docxtextref556"/>
      <w:bookmarkEnd w:id="418"/>
      <w:r>
        <w:rPr>
          <w:rFonts w:ascii="Times New Roman;serif" w:hAnsi="Times New Roman;serif"/>
          <w:b w:val="false"/>
          <w:sz w:val="22"/>
        </w:rPr>
        <w:t>3.14</w:t>
      </w:r>
      <w:r>
        <w:rPr>
          <w:rFonts w:ascii="Times New Roman" w:hAnsi="Times New Roman"/>
          <w:sz w:val="20"/>
        </w:rPr>
        <w:t xml:space="preserve"> </w:t>
      </w:r>
      <w:r>
        <w:rPr>
          <w:rFonts w:ascii="Times New Roman;serif" w:hAnsi="Times New Roman;serif"/>
          <w:b w:val="false"/>
          <w:sz w:val="22"/>
        </w:rPr>
        <w:t xml:space="preserve">of the ISP or for any Letter of Credit issued with the exclusion of </w:t>
      </w:r>
      <w:bookmarkStart w:id="419" w:name="docxtextref554"/>
      <w:bookmarkEnd w:id="419"/>
      <w:r>
        <w:rPr>
          <w:rFonts w:ascii="Times New Roman;serif" w:hAnsi="Times New Roman;serif"/>
          <w:b w:val="false"/>
          <w:sz w:val="22"/>
        </w:rPr>
        <w:t>Article 36</w:t>
      </w:r>
      <w:r>
        <w:rPr>
          <w:rFonts w:ascii="Times New Roman" w:hAnsi="Times New Roman"/>
          <w:sz w:val="20"/>
        </w:rPr>
        <w:t xml:space="preserve"> </w:t>
      </w:r>
      <w:r>
        <w:rPr>
          <w:rFonts w:ascii="Times New Roman;serif" w:hAnsi="Times New Roman;serif"/>
          <w:b w:val="false"/>
          <w:sz w:val="22"/>
        </w:rPr>
        <w:t xml:space="preserve">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240"/>
        <w:jc w:val="both"/>
        <w:rPr/>
      </w:pPr>
      <w:r>
        <w:rPr/>
        <w:t>“</w:t>
      </w:r>
      <w:r>
        <w:rPr>
          <w:rFonts w:ascii="Times New Roman;serif" w:hAnsi="Times New Roman;serif"/>
          <w:b w:val="false"/>
          <w:sz w:val="22"/>
          <w:u w:val="single"/>
        </w:rPr>
        <w:t>LC Reimbursement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2.04(f)</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LCT Election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LCT Test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1.06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Legal Reservations</w:t>
      </w:r>
      <w:r>
        <w:rPr>
          <w:rFonts w:ascii="Times New Roman" w:hAnsi="Times New Roman"/>
          <w:sz w:val="20"/>
        </w:rPr>
        <w:t xml:space="preserve">” </w:t>
      </w:r>
      <w:r>
        <w:rPr>
          <w:rFonts w:ascii="Times New Roman;serif" w:hAnsi="Times New Roman;serif"/>
          <w:b w:val="false"/>
          <w:sz w:val="22"/>
        </w:rPr>
        <w:t>means (a) the principle that equitable remedies are remedies which may be granted or refused at the discretion of the court and principles of good faith and fair dealing, (b) applicable Debtor Relief Laws, (c) the existence of timing limitations with respect to the bringing of claims under applicable limitation laws and the defenses of acquiescence, set-off or counterclaim and the possibility that an undertaking to assume liability for, or to indemnify a Person against, non-payment of stamp duty may be void, (d) the principle that in certain jurisdictions and under certain circumstances a Lien granted by way of fixed charge may be re-characterized as a floating charge or that security purported to be constituted as an assignment may be re-characterized as a charge, (e) the principle that additional interest imposed pursuant to any relevant agreement may be held to be unenforceable on the grounds that it is a penalty and thus void, (f) the principle that a court may not give effect to an indemnity for legal costs incurred by an unsuccessful litigant, (g) the principle that the creation or purported creation of collateral over any claim, other right, contract or agreement which is subject to a prohibition on transfer, assignment or charging may be void, ineffective or invalid and may give rise to a breach of the contract or agreement (or contract or agreement relating to or governing the claim or other right) over which security has purportedly been created, (h) the principle that a court may not give effect to any parallel debt provisions, covenants to pay or other similar provisions, (i) the principle that certain remedies in relation to regulated entities may require further approval from government or regulatory bodies or pursuant to agreements with such bodies, (j) the principles of private and procedural laws which affect the enforcement of a foreign court judgment, (k) similar principles, rights and defenses under the laws of any relevant jurisdiction and (l) any other matters which are set out as qualifications or reservations (however described) in any legal opinion delivered pursuant to the Loan Documents.</w:t>
      </w:r>
    </w:p>
    <w:p>
      <w:pPr>
        <w:pStyle w:val="TextBody"/>
        <w:bidi w:val="0"/>
        <w:spacing w:before="0" w:after="240"/>
        <w:jc w:val="both"/>
        <w:rPr/>
      </w:pPr>
      <w:bookmarkStart w:id="420" w:name="docxtextref562"/>
      <w:bookmarkEnd w:id="420"/>
      <w:r>
        <w:rPr/>
        <w:t>“</w:t>
      </w:r>
      <w:r>
        <w:rPr>
          <w:rFonts w:ascii="Times New Roman;serif" w:hAnsi="Times New Roman;serif"/>
          <w:b w:val="false"/>
          <w:sz w:val="22"/>
          <w:u w:val="single"/>
        </w:rPr>
        <w:t>Lenders</w:t>
      </w:r>
      <w:r>
        <w:rPr>
          <w:rFonts w:ascii="Times New Roman" w:hAnsi="Times New Roman"/>
          <w:sz w:val="20"/>
        </w:rPr>
        <w:t xml:space="preserve">” </w:t>
      </w:r>
      <w:r>
        <w:rPr>
          <w:rFonts w:ascii="Times New Roman;serif" w:hAnsi="Times New Roman;serif"/>
          <w:b w:val="false"/>
          <w:sz w:val="22"/>
        </w:rPr>
        <w:t xml:space="preserve">means the Persons listed on </w:t>
      </w:r>
      <w:r>
        <w:rPr>
          <w:rFonts w:ascii="Times New Roman;serif" w:hAnsi="Times New Roman;serif"/>
          <w:b w:val="false"/>
          <w:sz w:val="22"/>
          <w:u w:val="single"/>
        </w:rPr>
        <w:t>Schedule 2.01</w:t>
      </w:r>
      <w:r>
        <w:rPr>
          <w:rFonts w:ascii="Times New Roman" w:hAnsi="Times New Roman"/>
          <w:sz w:val="20"/>
        </w:rPr>
        <w:t xml:space="preserve"> </w:t>
      </w:r>
      <w:r>
        <w:rPr>
          <w:rFonts w:ascii="Times New Roman;serif" w:hAnsi="Times New Roman;serif"/>
          <w:b w:val="false"/>
          <w:sz w:val="22"/>
        </w:rPr>
        <w:t>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pStyle w:val="TextBody"/>
        <w:bidi w:val="0"/>
        <w:spacing w:before="0" w:after="240"/>
        <w:jc w:val="both"/>
        <w:rPr/>
      </w:pPr>
      <w:r>
        <w:rPr/>
        <w:t>“</w:t>
      </w:r>
      <w:r>
        <w:rPr>
          <w:rFonts w:ascii="Times New Roman;serif" w:hAnsi="Times New Roman;serif"/>
          <w:b w:val="false"/>
          <w:sz w:val="22"/>
          <w:u w:val="single"/>
        </w:rPr>
        <w:t>Letter of Credit</w:t>
      </w:r>
      <w:r>
        <w:rPr>
          <w:rFonts w:ascii="Times New Roman" w:hAnsi="Times New Roman"/>
          <w:sz w:val="20"/>
        </w:rPr>
        <w:t xml:space="preserve">” </w:t>
      </w:r>
      <w:r>
        <w:rPr>
          <w:rFonts w:ascii="Times New Roman;serif" w:hAnsi="Times New Roman;serif"/>
          <w:b w:val="false"/>
          <w:sz w:val="22"/>
        </w:rPr>
        <w:t xml:space="preserve">means any letter of credit or bank guarantee by an Issuing Bank issued pursuant to this Agreement or deemed outstanding under this Agreement (other than any such letter of credit or bank guarantee that shall have ceased to be a “Letter of Credit” outstanding hereunder pursuant to </w:t>
      </w:r>
      <w:r>
        <w:rPr>
          <w:rFonts w:ascii="Times New Roman;serif" w:hAnsi="Times New Roman;serif"/>
          <w:b w:val="false"/>
          <w:sz w:val="22"/>
          <w:u w:val="single"/>
        </w:rPr>
        <w:t>Section 9.05)</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Letter of Credit Request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2.04(b)</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Letter of Credit Sublimit</w:t>
      </w:r>
      <w:r>
        <w:rPr>
          <w:rFonts w:ascii="Times New Roman" w:hAnsi="Times New Roman"/>
          <w:sz w:val="20"/>
        </w:rPr>
        <w:t xml:space="preserve">” </w:t>
      </w:r>
      <w:r>
        <w:rPr>
          <w:rFonts w:ascii="Times New Roman;serif" w:hAnsi="Times New Roman;serif"/>
          <w:b w:val="false"/>
          <w:sz w:val="22"/>
        </w:rPr>
        <w:t>means an amount equal to $100,000,000. The Letter of Credit Sublimit is part of and not in addition to the aggregate Revolving Commitments.</w:t>
      </w:r>
    </w:p>
    <w:p>
      <w:pPr>
        <w:pStyle w:val="TextBody"/>
        <w:bidi w:val="0"/>
        <w:spacing w:before="0" w:after="240"/>
        <w:jc w:val="both"/>
        <w:rPr/>
      </w:pPr>
      <w:bookmarkStart w:id="421" w:name="docxtextref566"/>
      <w:bookmarkEnd w:id="421"/>
      <w:r>
        <w:rPr/>
        <w:t>“</w:t>
      </w:r>
      <w:r>
        <w:rPr>
          <w:rFonts w:ascii="Times New Roman;serif" w:hAnsi="Times New Roman;serif"/>
          <w:b w:val="false"/>
          <w:sz w:val="22"/>
          <w:u w:val="single"/>
        </w:rPr>
        <w:t>LIBO Rate</w:t>
      </w:r>
      <w:r>
        <w:rPr>
          <w:rFonts w:ascii="Times New Roman" w:hAnsi="Times New Roman"/>
          <w:sz w:val="20"/>
        </w:rPr>
        <w:t xml:space="preserve">” </w:t>
      </w:r>
      <w:r>
        <w:rPr>
          <w:rFonts w:ascii="Times New Roman;serif" w:hAnsi="Times New Roman;serif"/>
          <w:b w:val="false"/>
          <w:sz w:val="22"/>
        </w:rPr>
        <w:t>means for any Interest Period, (a)</w:t>
      </w:r>
      <w:r>
        <w:rPr>
          <w:rFonts w:ascii="Times New Roman" w:hAnsi="Times New Roman"/>
          <w:sz w:val="20"/>
        </w:rPr>
        <w:t xml:space="preserve"> </w:t>
      </w:r>
      <w:r>
        <w:rPr>
          <w:rFonts w:ascii="Times New Roman;serif" w:hAnsi="Times New Roman;serif"/>
          <w:b w:val="false"/>
          <w:sz w:val="22"/>
        </w:rPr>
        <w:t xml:space="preserve">with respect to any Eurodollar Borrowing in dollars, Sterling, Swiss Francs, or Yen (as the case may be), the rate per annum equal to </w:t>
      </w:r>
      <w:bookmarkStart w:id="422" w:name="docxtextref567"/>
      <w:bookmarkEnd w:id="42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ICE Benchmark Administration LIBOR Rate or the successor thereto if the ICE Benchmark Administration is no longer making a LIBOR rate available, as published by Reuters (or such other commercially available source providing quotations of ICE LIBOR as may be designated by the Administrative Agent from time to time) at approximately 11:00 a.m., London time, two </w:t>
      </w:r>
      <w:bookmarkStart w:id="423" w:name="docxtextref565"/>
      <w:bookmarkEnd w:id="423"/>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London Banking Days prior to the commencement of such Interest Period, for dollar deposits (for delivery on the first day of such Interest Period) with a term equivalent to such Interest Period or (ii) if such published rate is not available at such time for any reason, then the “LIBO Rate” for such Interest Period shall be the Interpolated Rate, </w:t>
      </w:r>
      <w:bookmarkStart w:id="424" w:name="docxtextref568"/>
      <w:bookmarkEnd w:id="42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with respect to any Eurodollar Borrowing in Canadian Dollars, the rate for Canadian Dollar denominated bankers’ acceptances on the Reuters Page CDOR (or on any successor or substitute page of such page or such other commercially available source providing quotations of CDOR as may be designated by the Administrative Agent from time to time) at approximately 10:00 a.m., Toronto time, two (2) Business Days prior to the commencement of such Interest Period, for Canadian Dollar denominated bankers’ acceptances (for delivery on the first day of such Interest Period) with a term equivalent to such Interest Period, (c) with respect to any Eurodollar Borrowing in Euros, the euro interbank offered rate administered by the Banking Federation of the European Union or the successor thereto if the Banking Federation of the European Union is no longer making a EURIBOR rate available, as published by Reuters (or such other commercially available source providing quotations of EURIBOR as may be designated by the Administrative Agent from time to time) at approximately 11:00 a.m., Brussels time, two (2) Business Days prior to the commencement of such Interest Period, for Euro deposits (for delivery on the first day of such Interest Period) with a term equivalent to such Interest Period and (d) with respect to any Eurodollar Borrowing in an Alternative Currency other than Euros, Sterling, Swiss Francs, Yen or Canadian Dollars, such reference rate for loans or deposits in such currency for such Interest Period as the Administrative Agent, Bidco and all Revolving Lenders shall agree.</w:t>
      </w:r>
    </w:p>
    <w:p>
      <w:pPr>
        <w:pStyle w:val="TextBody"/>
        <w:bidi w:val="0"/>
        <w:spacing w:before="0" w:after="240"/>
        <w:jc w:val="both"/>
        <w:rPr>
          <w:rFonts w:ascii="Times New Roman" w:hAnsi="Times New Roman"/>
          <w:sz w:val="20"/>
        </w:rPr>
      </w:pPr>
      <w:bookmarkStart w:id="425" w:name="docxtextref569"/>
      <w:bookmarkEnd w:id="425"/>
      <w:r>
        <w:rPr>
          <w:rFonts w:ascii="Times New Roman;serif" w:hAnsi="Times New Roman;serif"/>
          <w:b w:val="false"/>
          <w:sz w:val="22"/>
        </w:rPr>
        <w:t>Notwithstanding anything to the contrary contained in this Agreement or the other Loan Documents, the term “LIBO Rate” may be amended to refer to (x)</w:t>
      </w:r>
      <w:r>
        <w:rPr>
          <w:rFonts w:ascii="Times New Roman" w:hAnsi="Times New Roman"/>
          <w:sz w:val="20"/>
        </w:rPr>
        <w:t xml:space="preserve"> </w:t>
      </w:r>
      <w:r>
        <w:rPr>
          <w:rFonts w:ascii="Times New Roman;serif" w:hAnsi="Times New Roman;serif"/>
          <w:b w:val="false"/>
          <w:sz w:val="22"/>
        </w:rPr>
        <w:t xml:space="preserve">a comparable successor rate, with the consent of </w:t>
      </w:r>
      <w:bookmarkStart w:id="426" w:name="docxtextref570"/>
      <w:bookmarkEnd w:id="42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only the Administrative Agent (but not, for the avoidance of doubt, any other Lender) (such consent not to be unreasonably withheld or delayed) and Bidco (such consent not to be unreasonably withheld or delayed) (provided that such amendment shall be effective only to the extent the Required Lenders do not object to such proposed amendment within five business days after the Administrative Agent has posted such amendment to all Lenders) or (ii) the Required Lenders and Bidco, or </w:t>
      </w:r>
      <w:bookmarkStart w:id="427" w:name="docxtextref571"/>
      <w:bookmarkEnd w:id="42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to the extent the Administrative Agent determines in good faith that the consents referenced in the preceding clause (x)(i) are not attainable following commercially reasonable efforts to obtain such consents, a comparable successor rate that is the prevailing market standard for credit agreements of this type for the replacement of, or successors to, the eurodollar rate in the U.S. syndicated loan market as reasonably determined by the Administrative Agent (in consultation with Bidco), and the Administrative Agent shall promptly notify each Lender of such amendment;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amendment shall be effective to the extent the Required Lenders do not object to such proposed amendment within five business days after the Administrative Agent has posted such amendment to all Lenders;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any successor rate under clause (x) or (y) above shall not be less than 1.00% per annum.</w:t>
      </w:r>
    </w:p>
    <w:p>
      <w:pPr>
        <w:pStyle w:val="TextBody"/>
        <w:bidi w:val="0"/>
        <w:spacing w:before="0" w:after="240"/>
        <w:jc w:val="both"/>
        <w:rPr/>
      </w:pPr>
      <w:r>
        <w:rPr/>
        <w:t>“</w:t>
      </w:r>
      <w:r>
        <w:rPr>
          <w:rFonts w:ascii="Times New Roman;serif" w:hAnsi="Times New Roman;serif"/>
          <w:b w:val="false"/>
          <w:sz w:val="22"/>
          <w:u w:val="single"/>
        </w:rPr>
        <w:t>Lien</w:t>
      </w:r>
      <w:r>
        <w:rPr>
          <w:rFonts w:ascii="Times New Roman" w:hAnsi="Times New Roman"/>
          <w:sz w:val="20"/>
        </w:rPr>
        <w:t xml:space="preserve">” </w:t>
      </w:r>
      <w:r>
        <w:rPr>
          <w:rFonts w:ascii="Times New Roman;serif" w:hAnsi="Times New Roman;serif"/>
          <w:b w:val="false"/>
          <w:sz w:val="22"/>
        </w:rPr>
        <w:t xml:space="preserve">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in no event shall an operating lease be deemed to constitute a Lien.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bookmarkStart w:id="428" w:name="docxtextref572"/>
      <w:bookmarkEnd w:id="428"/>
      <w:r>
        <w:rPr/>
        <w:t>“</w:t>
      </w:r>
      <w:r>
        <w:rPr>
          <w:rFonts w:ascii="Times New Roman;serif" w:hAnsi="Times New Roman;serif"/>
          <w:b w:val="false"/>
          <w:sz w:val="22"/>
          <w:u w:val="single"/>
        </w:rPr>
        <w:t>Limited Condition Transaction</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acquisition (including by way of merger), Investment, Asset Sale, Restricted Payment requiring declaration (as determined by Bidco) in advance thereof or other transaction by Bidco or one or more of the Restricted Subsidiaries permitted pursuant to this Agreement whose consummation is not conditioned upon the availability of, or on obtaining, third party financing (or, if such a condition does exist, Bidco or any Restricted Subsidiary, as applicable, would be required to pay any fee, liquidated damages or other amount or be subject to any indemnity, claim or other liability as a result of such third party financing not having been available or obtained) or </w:t>
      </w:r>
      <w:bookmarkStart w:id="429" w:name="docxtextref573"/>
      <w:bookmarkEnd w:id="42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prepayment, repurchase or redemption of Indebtedness requiring irrevocable notice in advance of such prepayment, repurchase or redemption.</w:t>
      </w:r>
    </w:p>
    <w:p>
      <w:pPr>
        <w:pStyle w:val="TextBody"/>
        <w:bidi w:val="0"/>
        <w:spacing w:before="0" w:after="240"/>
        <w:jc w:val="both"/>
        <w:rPr/>
      </w:pPr>
      <w:bookmarkStart w:id="430" w:name="docxtextref574"/>
      <w:bookmarkEnd w:id="430"/>
      <w:r>
        <w:rPr/>
        <w:t>“</w:t>
      </w:r>
      <w:r>
        <w:rPr>
          <w:rFonts w:ascii="Times New Roman;serif" w:hAnsi="Times New Roman;serif"/>
          <w:b w:val="false"/>
          <w:sz w:val="22"/>
          <w:u w:val="single"/>
        </w:rPr>
        <w:t>Loan Document Obligations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due and punctual payment by the Borrowers of </w:t>
      </w:r>
      <w:bookmarkStart w:id="431" w:name="docxtextref575"/>
      <w:bookmarkEnd w:id="43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Borrowers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w:t>
      </w:r>
      <w:bookmarkStart w:id="432" w:name="docxtextref576"/>
      <w:bookmarkEnd w:id="43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due and punctual payment and performance of all other obligations of the Borrowers under or pursuant to each of the Loan Documents and </w:t>
      </w:r>
      <w:bookmarkStart w:id="433" w:name="docxtextref577"/>
      <w:bookmarkEnd w:id="43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pStyle w:val="TextBody"/>
        <w:bidi w:val="0"/>
        <w:spacing w:before="0" w:after="240"/>
        <w:jc w:val="both"/>
        <w:rPr/>
      </w:pPr>
      <w:r>
        <w:rPr/>
        <w:t>“</w:t>
      </w:r>
      <w:r>
        <w:rPr>
          <w:rFonts w:ascii="Times New Roman;serif" w:hAnsi="Times New Roman;serif"/>
          <w:b w:val="false"/>
          <w:sz w:val="22"/>
          <w:u w:val="single"/>
        </w:rPr>
        <w:t>Loan Documents</w:t>
      </w:r>
      <w:r>
        <w:rPr>
          <w:rFonts w:ascii="Times New Roman" w:hAnsi="Times New Roman"/>
          <w:sz w:val="20"/>
        </w:rPr>
        <w:t xml:space="preserve">” </w:t>
      </w:r>
      <w:r>
        <w:rPr>
          <w:rFonts w:ascii="Times New Roman;serif" w:hAnsi="Times New Roman;serif"/>
          <w:b w:val="false"/>
          <w:sz w:val="22"/>
        </w:rPr>
        <w:t xml:space="preserve">means this Agreement, any Refinancing Amendment, any Loan Modification Agreement, any Incremental Facility Amendment, the Guarantee Agreement, the Collateral Agreement, the other Security Documents, any Customary Intercreditor Agreement, any Additional Borrower Agreement and, except for purposes of </w:t>
      </w:r>
      <w:r>
        <w:rPr>
          <w:rFonts w:ascii="Times New Roman;serif" w:hAnsi="Times New Roman;serif"/>
          <w:b w:val="false"/>
          <w:sz w:val="22"/>
          <w:u w:val="single"/>
        </w:rPr>
        <w:t>Section 9.02</w:t>
      </w:r>
      <w:r>
        <w:rPr>
          <w:rFonts w:ascii="Times New Roman;serif" w:hAnsi="Times New Roman;serif"/>
          <w:b w:val="false"/>
          <w:sz w:val="22"/>
        </w:rPr>
        <w:t xml:space="preserve">, the Fee Letter and any Note delivered pursuant to </w:t>
      </w:r>
      <w:r>
        <w:rPr>
          <w:rFonts w:ascii="Times New Roman;serif" w:hAnsi="Times New Roman;serif"/>
          <w:b w:val="false"/>
          <w:sz w:val="22"/>
          <w:u w:val="single"/>
        </w:rPr>
        <w:t>Section 2.08(e)</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Loan Modification Agreement</w:t>
      </w:r>
      <w:r>
        <w:rPr>
          <w:rFonts w:ascii="Times New Roman" w:hAnsi="Times New Roman"/>
          <w:sz w:val="20"/>
        </w:rPr>
        <w:t xml:space="preserve">” </w:t>
      </w:r>
      <w:r>
        <w:rPr>
          <w:rFonts w:ascii="Times New Roman;serif" w:hAnsi="Times New Roman;serif"/>
          <w:b w:val="false"/>
          <w:sz w:val="22"/>
        </w:rPr>
        <w:t xml:space="preserve">means a Loan Modification Agreement, in form reasonably satisfactory to the Administrative Agent, among the Borrowers, the Administrative Agent and one or more Accepting Lenders, effecting one or more Permitted Amendments and such other amendments hereto and to the other Loan Documents as are contemplated by </w:t>
      </w:r>
      <w:r>
        <w:rPr>
          <w:rFonts w:ascii="Times New Roman;serif" w:hAnsi="Times New Roman;serif"/>
          <w:b w:val="false"/>
          <w:sz w:val="22"/>
          <w:u w:val="single"/>
        </w:rPr>
        <w:t>Section 2.23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Loan Modification Offer</w:t>
      </w:r>
      <w:r>
        <w:rPr>
          <w:rFonts w:ascii="Times New Roman" w:hAnsi="Times New Roman"/>
          <w:sz w:val="20"/>
        </w:rPr>
        <w:t xml:space="preserve">” </w:t>
      </w:r>
      <w:r>
        <w:rPr>
          <w:rFonts w:ascii="Times New Roman;serif" w:hAnsi="Times New Roman;serif"/>
          <w:b w:val="false"/>
          <w:sz w:val="22"/>
        </w:rPr>
        <w:t xml:space="preserve">has the meaning specified in </w:t>
      </w:r>
      <w:r>
        <w:rPr>
          <w:rFonts w:ascii="Times New Roman;serif" w:hAnsi="Times New Roman;serif"/>
          <w:b w:val="false"/>
          <w:sz w:val="22"/>
          <w:u w:val="single"/>
        </w:rPr>
        <w:t>Section 2.23(a)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Loan Parties</w:t>
      </w:r>
      <w:r>
        <w:rPr>
          <w:rFonts w:ascii="Times New Roman" w:hAnsi="Times New Roman"/>
          <w:sz w:val="20"/>
        </w:rPr>
        <w:t xml:space="preserve">” </w:t>
      </w:r>
      <w:r>
        <w:rPr>
          <w:rFonts w:ascii="Times New Roman;serif" w:hAnsi="Times New Roman;serif"/>
          <w:b w:val="false"/>
          <w:sz w:val="22"/>
        </w:rPr>
        <w:t>means Holdings, any Intermediate Parent, Bidco, the Borrowers and the Subsidiary Loan Parties.</w:t>
      </w:r>
    </w:p>
    <w:p>
      <w:pPr>
        <w:pStyle w:val="TextBody"/>
        <w:bidi w:val="0"/>
        <w:spacing w:before="0" w:after="240"/>
        <w:jc w:val="both"/>
        <w:rPr/>
      </w:pPr>
      <w:r>
        <w:rPr/>
        <w:t>“</w:t>
      </w:r>
      <w:r>
        <w:rPr>
          <w:rFonts w:ascii="Times New Roman;serif" w:hAnsi="Times New Roman;serif"/>
          <w:b w:val="false"/>
          <w:sz w:val="22"/>
          <w:u w:val="single"/>
        </w:rPr>
        <w:t>Loans</w:t>
      </w:r>
      <w:r>
        <w:rPr>
          <w:rFonts w:ascii="Times New Roman" w:hAnsi="Times New Roman"/>
          <w:sz w:val="20"/>
        </w:rPr>
        <w:t xml:space="preserve">” </w:t>
      </w:r>
      <w:r>
        <w:rPr>
          <w:rFonts w:ascii="Times New Roman;serif" w:hAnsi="Times New Roman;serif"/>
          <w:b w:val="false"/>
          <w:sz w:val="22"/>
        </w:rPr>
        <w:t>means the loans made by the Lenders to the Borrowers pursuant to this Agreement.</w:t>
      </w:r>
    </w:p>
    <w:p>
      <w:pPr>
        <w:pStyle w:val="TextBody"/>
        <w:bidi w:val="0"/>
        <w:spacing w:before="0" w:after="240"/>
        <w:jc w:val="both"/>
        <w:rPr/>
      </w:pPr>
      <w:r>
        <w:rPr/>
        <w:t>“</w:t>
      </w:r>
      <w:r>
        <w:rPr>
          <w:rFonts w:ascii="Times New Roman;serif" w:hAnsi="Times New Roman;serif"/>
          <w:b w:val="false"/>
          <w:sz w:val="22"/>
          <w:u w:val="single"/>
        </w:rPr>
        <w:t>London Banking Day</w:t>
      </w:r>
      <w:r>
        <w:rPr>
          <w:rFonts w:ascii="Times New Roman" w:hAnsi="Times New Roman"/>
          <w:sz w:val="20"/>
        </w:rPr>
        <w:t xml:space="preserve">” </w:t>
      </w:r>
      <w:r>
        <w:rPr>
          <w:rFonts w:ascii="Times New Roman;serif" w:hAnsi="Times New Roman;serif"/>
          <w:b w:val="false"/>
          <w:sz w:val="22"/>
        </w:rPr>
        <w:t>means any day on which dealings in dollar deposits are conducted by and between banks in the London interbank eurodollar market.</w:t>
      </w:r>
    </w:p>
    <w:p>
      <w:pPr>
        <w:pStyle w:val="TextBody"/>
        <w:bidi w:val="0"/>
        <w:spacing w:before="0" w:after="240"/>
        <w:jc w:val="both"/>
        <w:rPr/>
      </w:pPr>
      <w:r>
        <w:rPr/>
        <w:t>“</w:t>
      </w:r>
      <w:r>
        <w:rPr>
          <w:rFonts w:ascii="Times New Roman;serif" w:hAnsi="Times New Roman;serif"/>
          <w:b w:val="false"/>
          <w:sz w:val="22"/>
          <w:u w:val="single"/>
        </w:rPr>
        <w:t>Luxembourg</w:t>
      </w:r>
      <w:r>
        <w:rPr>
          <w:rFonts w:ascii="Times New Roman" w:hAnsi="Times New Roman"/>
          <w:sz w:val="20"/>
        </w:rPr>
        <w:t xml:space="preserve">” </w:t>
      </w:r>
      <w:r>
        <w:rPr>
          <w:rFonts w:ascii="Times New Roman;serif" w:hAnsi="Times New Roman;serif"/>
          <w:b w:val="false"/>
          <w:sz w:val="22"/>
        </w:rPr>
        <w:t>means the Grand Duchy of Luxembourg.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-59-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Luxembourg Companies Register</w:t>
      </w:r>
      <w:r>
        <w:rPr>
          <w:rFonts w:ascii="Times New Roman" w:hAnsi="Times New Roman"/>
          <w:sz w:val="20"/>
        </w:rPr>
        <w:t xml:space="preserve">” </w:t>
      </w:r>
      <w:r>
        <w:rPr>
          <w:rFonts w:ascii="Times New Roman;serif" w:hAnsi="Times New Roman;serif"/>
          <w:b w:val="false"/>
          <w:sz w:val="22"/>
        </w:rPr>
        <w:t>means the Luxembourg Register of Commerce and Companies (R.C.S. Luxembourg).</w:t>
      </w:r>
    </w:p>
    <w:p>
      <w:pPr>
        <w:pStyle w:val="TextBody"/>
        <w:bidi w:val="0"/>
        <w:spacing w:before="0" w:after="240"/>
        <w:jc w:val="both"/>
        <w:rPr/>
      </w:pPr>
      <w:r>
        <w:rPr/>
        <w:t>“</w:t>
      </w:r>
      <w:r>
        <w:rPr>
          <w:rFonts w:ascii="Times New Roman;serif" w:hAnsi="Times New Roman;serif"/>
          <w:b w:val="false"/>
          <w:sz w:val="22"/>
          <w:u w:val="single"/>
        </w:rPr>
        <w:t>Luxembourg Loan Party</w:t>
      </w:r>
      <w:r>
        <w:rPr>
          <w:rFonts w:ascii="Times New Roman" w:hAnsi="Times New Roman"/>
          <w:sz w:val="20"/>
        </w:rPr>
        <w:t xml:space="preserve">” </w:t>
      </w:r>
      <w:r>
        <w:rPr>
          <w:rFonts w:ascii="Times New Roman;serif" w:hAnsi="Times New Roman;serif"/>
          <w:b w:val="false"/>
          <w:sz w:val="22"/>
        </w:rPr>
        <w:t>means any Loan Party having its registered office or central administration in Luxembourg, including as of the date of this Agreement, the Finco Borrower.</w:t>
      </w:r>
    </w:p>
    <w:p>
      <w:pPr>
        <w:pStyle w:val="TextBody"/>
        <w:bidi w:val="0"/>
        <w:spacing w:before="0" w:after="240"/>
        <w:jc w:val="both"/>
        <w:rPr/>
      </w:pPr>
      <w:r>
        <w:rPr/>
        <w:t>“</w:t>
      </w:r>
      <w:r>
        <w:rPr>
          <w:rFonts w:ascii="Times New Roman;serif" w:hAnsi="Times New Roman;serif"/>
          <w:b w:val="false"/>
          <w:sz w:val="22"/>
          <w:u w:val="single"/>
        </w:rPr>
        <w:t>MLI</w:t>
      </w:r>
      <w:r>
        <w:rPr>
          <w:rFonts w:ascii="Times New Roman" w:hAnsi="Times New Roman"/>
          <w:sz w:val="20"/>
        </w:rPr>
        <w:t xml:space="preserve">” </w:t>
      </w:r>
      <w:r>
        <w:rPr>
          <w:rFonts w:ascii="Times New Roman;serif" w:hAnsi="Times New Roman;serif"/>
          <w:b w:val="false"/>
          <w:sz w:val="22"/>
        </w:rPr>
        <w:t>means the Multilateral Convention to Implement Tax Treaty Related Measures to Prevent Base Erosion and Profit Shifting of November 24, 2016.</w:t>
      </w:r>
    </w:p>
    <w:p>
      <w:pPr>
        <w:pStyle w:val="TextBody"/>
        <w:bidi w:val="0"/>
        <w:spacing w:before="0" w:after="240"/>
        <w:jc w:val="both"/>
        <w:rPr/>
      </w:pPr>
      <w:r>
        <w:rPr/>
        <w:t>“</w:t>
      </w:r>
      <w:r>
        <w:rPr>
          <w:rFonts w:ascii="Times New Roman;serif" w:hAnsi="Times New Roman;serif"/>
          <w:b w:val="false"/>
          <w:sz w:val="22"/>
          <w:u w:val="single"/>
        </w:rPr>
        <w:t>Major Events of Default</w:t>
      </w:r>
      <w:r>
        <w:rPr>
          <w:rFonts w:ascii="Times New Roman" w:hAnsi="Times New Roman"/>
          <w:sz w:val="20"/>
        </w:rPr>
        <w:t xml:space="preserve">” </w:t>
      </w:r>
      <w:r>
        <w:rPr>
          <w:rFonts w:ascii="Times New Roman;serif" w:hAnsi="Times New Roman;serif"/>
          <w:b w:val="false"/>
          <w:sz w:val="22"/>
        </w:rPr>
        <w:t xml:space="preserve">means those Events of Default set forth in </w:t>
      </w:r>
      <w:r>
        <w:rPr>
          <w:rFonts w:ascii="Times New Roman;serif" w:hAnsi="Times New Roman;serif"/>
          <w:b w:val="false"/>
          <w:sz w:val="22"/>
          <w:u w:val="single"/>
        </w:rPr>
        <w:t>Sections 7.01(a)</w:t>
      </w:r>
      <w:r>
        <w:rPr>
          <w:rFonts w:ascii="Times New Roman;serif" w:hAnsi="Times New Roman;serif"/>
          <w:b w:val="false"/>
          <w:sz w:val="22"/>
        </w:rPr>
        <w:t xml:space="preserve">, </w:t>
      </w:r>
      <w:r>
        <w:rPr>
          <w:rFonts w:ascii="Times New Roman;serif" w:hAnsi="Times New Roman;serif"/>
          <w:b w:val="false"/>
          <w:sz w:val="22"/>
          <w:u w:val="single"/>
        </w:rPr>
        <w:t>7.01(b)</w:t>
      </w:r>
      <w:r>
        <w:rPr>
          <w:rFonts w:ascii="Times New Roman" w:hAnsi="Times New Roman"/>
          <w:sz w:val="20"/>
        </w:rPr>
        <w:t xml:space="preserve"> </w:t>
      </w:r>
      <w:r>
        <w:rPr>
          <w:rFonts w:ascii="Times New Roman;serif" w:hAnsi="Times New Roman;serif"/>
          <w:b w:val="false"/>
          <w:sz w:val="22"/>
        </w:rPr>
        <w:t xml:space="preserve">(in the case of </w:t>
      </w:r>
      <w:r>
        <w:rPr>
          <w:rFonts w:ascii="Times New Roman;serif" w:hAnsi="Times New Roman;serif"/>
          <w:b w:val="false"/>
          <w:sz w:val="22"/>
          <w:u w:val="single"/>
        </w:rPr>
        <w:t>Sections 7.01(a)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7.01(b)</w:t>
      </w:r>
      <w:r>
        <w:rPr>
          <w:rFonts w:ascii="Times New Roman;serif" w:hAnsi="Times New Roman;serif"/>
          <w:b w:val="false"/>
          <w:sz w:val="22"/>
        </w:rPr>
        <w:t xml:space="preserve">, with respect to the failure to pay any amount of principal, interest or fees (but not other amounts) (in each case other than where failure to pay is caused by administrative error or delay or technical error or delay in the transmission of funds or a market disruption event and payment is made within five Business Days after such administrative error, delay, technical error, delay in the transmission of funds or market disruption event is cured)), </w:t>
      </w:r>
      <w:r>
        <w:rPr>
          <w:rFonts w:ascii="Times New Roman;serif" w:hAnsi="Times New Roman;serif"/>
          <w:b w:val="false"/>
          <w:sz w:val="22"/>
          <w:u w:val="single"/>
        </w:rPr>
        <w:t>7.01(c)</w:t>
      </w:r>
      <w:r>
        <w:rPr>
          <w:rFonts w:ascii="Times New Roman" w:hAnsi="Times New Roman"/>
          <w:sz w:val="20"/>
        </w:rPr>
        <w:t xml:space="preserve"> </w:t>
      </w:r>
      <w:r>
        <w:rPr>
          <w:rFonts w:ascii="Times New Roman;serif" w:hAnsi="Times New Roman;serif"/>
          <w:b w:val="false"/>
          <w:sz w:val="22"/>
        </w:rPr>
        <w:t xml:space="preserve">(solely as it relates to any Major Representation), </w:t>
      </w:r>
      <w:r>
        <w:rPr>
          <w:rFonts w:ascii="Times New Roman;serif" w:hAnsi="Times New Roman;serif"/>
          <w:b w:val="false"/>
          <w:sz w:val="22"/>
          <w:u w:val="single"/>
        </w:rPr>
        <w:t>7.01(d)(i)</w:t>
      </w:r>
      <w:r>
        <w:rPr>
          <w:rFonts w:ascii="Times New Roman" w:hAnsi="Times New Roman"/>
          <w:sz w:val="20"/>
        </w:rPr>
        <w:t xml:space="preserve"> </w:t>
      </w:r>
      <w:r>
        <w:rPr>
          <w:rFonts w:ascii="Times New Roman;serif" w:hAnsi="Times New Roman;serif"/>
          <w:b w:val="false"/>
          <w:sz w:val="22"/>
        </w:rPr>
        <w:t xml:space="preserve">(solely as it relates to any Major Undertaking), </w:t>
      </w:r>
      <w:r>
        <w:rPr>
          <w:rFonts w:ascii="Times New Roman;serif" w:hAnsi="Times New Roman;serif"/>
          <w:b w:val="false"/>
          <w:sz w:val="22"/>
          <w:u w:val="single"/>
        </w:rPr>
        <w:t>7.01(h)</w:t>
      </w:r>
      <w:r>
        <w:rPr>
          <w:rFonts w:ascii="Times New Roman;serif" w:hAnsi="Times New Roman;serif"/>
          <w:b w:val="false"/>
          <w:sz w:val="22"/>
        </w:rPr>
        <w:t xml:space="preserve">, </w:t>
      </w:r>
      <w:r>
        <w:rPr>
          <w:rFonts w:ascii="Times New Roman;serif" w:hAnsi="Times New Roman;serif"/>
          <w:b w:val="false"/>
          <w:sz w:val="22"/>
          <w:u w:val="single"/>
        </w:rPr>
        <w:t>7.01(i)</w:t>
      </w:r>
      <w:r>
        <w:rPr>
          <w:rFonts w:ascii="Times New Roman;serif" w:hAnsi="Times New Roman;serif"/>
          <w:b w:val="false"/>
          <w:sz w:val="22"/>
        </w:rPr>
        <w:t xml:space="preserve">, </w:t>
      </w:r>
      <w:r>
        <w:rPr>
          <w:rFonts w:ascii="Times New Roman;serif" w:hAnsi="Times New Roman;serif"/>
          <w:b w:val="false"/>
          <w:sz w:val="22"/>
          <w:u w:val="single"/>
        </w:rPr>
        <w:t>7.01(l)</w:t>
      </w:r>
      <w:r>
        <w:rPr>
          <w:rFonts w:ascii="Times New Roman;serif" w:hAnsi="Times New Roman;serif"/>
          <w:b w:val="false"/>
          <w:sz w:val="22"/>
        </w:rPr>
        <w:t xml:space="preserve">, </w:t>
      </w:r>
      <w:r>
        <w:rPr>
          <w:rFonts w:ascii="Times New Roman;serif" w:hAnsi="Times New Roman;serif"/>
          <w:b w:val="false"/>
          <w:sz w:val="22"/>
          <w:u w:val="single"/>
        </w:rPr>
        <w:t>7.01(m)</w:t>
      </w:r>
      <w:r>
        <w:rPr>
          <w:rFonts w:ascii="Times New Roman;serif" w:hAnsi="Times New Roman;serif"/>
          <w:b w:val="false"/>
          <w:sz w:val="22"/>
        </w:rPr>
        <w:t xml:space="preserve">, </w:t>
      </w:r>
      <w:r>
        <w:rPr>
          <w:rFonts w:ascii="Times New Roman;serif" w:hAnsi="Times New Roman;serif"/>
          <w:b w:val="false"/>
          <w:sz w:val="22"/>
          <w:u w:val="single"/>
        </w:rPr>
        <w:t>7.01(n)</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7.01(o)</w:t>
      </w:r>
      <w:r>
        <w:rPr>
          <w:rFonts w:ascii="Times New Roman;serif" w:hAnsi="Times New Roman;serif"/>
          <w:b w:val="false"/>
          <w:sz w:val="22"/>
        </w:rPr>
        <w:t xml:space="preserve">, in each case solely to the extent that they relate to any Certain Funds Loan Party; </w:t>
      </w:r>
      <w:r>
        <w:rPr>
          <w:rFonts w:ascii="Times New Roman;serif" w:hAnsi="Times New Roman;serif"/>
          <w:b w:val="false"/>
          <w:sz w:val="22"/>
          <w:u w:val="single"/>
        </w:rPr>
        <w:t>provided</w:t>
      </w:r>
      <w:r>
        <w:rPr>
          <w:rFonts w:ascii="Times New Roman;serif" w:hAnsi="Times New Roman;serif"/>
          <w:b w:val="false"/>
          <w:sz w:val="22"/>
        </w:rPr>
        <w:t>, that for the avoidance of doubt, a Major Event of Default shall not apply in respect of or relate to the Company or any of its subsidiaries, or any of the assets of the Company or any of its subsidiaries, or a breach of a procuring obligation with respect to the Company or any of its subsidiaries.</w:t>
      </w:r>
    </w:p>
    <w:p>
      <w:pPr>
        <w:pStyle w:val="TextBody"/>
        <w:bidi w:val="0"/>
        <w:spacing w:before="0" w:after="240"/>
        <w:jc w:val="both"/>
        <w:rPr/>
      </w:pPr>
      <w:r>
        <w:rPr/>
        <w:t>“</w:t>
      </w:r>
      <w:r>
        <w:rPr>
          <w:rFonts w:ascii="Times New Roman;serif" w:hAnsi="Times New Roman;serif"/>
          <w:b w:val="false"/>
          <w:sz w:val="22"/>
          <w:u w:val="single"/>
        </w:rPr>
        <w:t>Major Representations</w:t>
      </w:r>
      <w:r>
        <w:rPr>
          <w:rFonts w:ascii="Times New Roman" w:hAnsi="Times New Roman"/>
          <w:sz w:val="20"/>
        </w:rPr>
        <w:t xml:space="preserve">” </w:t>
      </w:r>
      <w:r>
        <w:rPr>
          <w:rFonts w:ascii="Times New Roman;serif" w:hAnsi="Times New Roman;serif"/>
          <w:b w:val="false"/>
          <w:sz w:val="22"/>
        </w:rPr>
        <w:t xml:space="preserve">means those representations and warranties set forth in </w:t>
      </w:r>
      <w:r>
        <w:rPr>
          <w:rFonts w:ascii="Times New Roman;serif" w:hAnsi="Times New Roman;serif"/>
          <w:b w:val="false"/>
          <w:sz w:val="22"/>
          <w:u w:val="single"/>
        </w:rPr>
        <w:t>Sections 3.01(a)</w:t>
      </w:r>
      <w:r>
        <w:rPr>
          <w:rFonts w:ascii="Times New Roman;serif" w:hAnsi="Times New Roman;serif"/>
          <w:b w:val="false"/>
          <w:sz w:val="22"/>
        </w:rPr>
        <w:t xml:space="preserve">, </w:t>
      </w:r>
      <w:r>
        <w:rPr>
          <w:rFonts w:ascii="Times New Roman;serif" w:hAnsi="Times New Roman;serif"/>
          <w:b w:val="false"/>
          <w:sz w:val="22"/>
          <w:u w:val="single"/>
        </w:rPr>
        <w:t>3.01(b)</w:t>
      </w:r>
      <w:r>
        <w:rPr>
          <w:rFonts w:ascii="Times New Roman;serif" w:hAnsi="Times New Roman;serif"/>
          <w:b w:val="false"/>
          <w:sz w:val="22"/>
        </w:rPr>
        <w:t xml:space="preserve">, </w:t>
      </w:r>
      <w:r>
        <w:rPr>
          <w:rFonts w:ascii="Times New Roman;serif" w:hAnsi="Times New Roman;serif"/>
          <w:b w:val="false"/>
          <w:sz w:val="22"/>
          <w:u w:val="single"/>
        </w:rPr>
        <w:t>3.02</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3.03(b)</w:t>
      </w:r>
      <w:r>
        <w:rPr>
          <w:rFonts w:ascii="Times New Roman;serif" w:hAnsi="Times New Roman;serif"/>
          <w:b w:val="false"/>
          <w:sz w:val="22"/>
        </w:rPr>
        <w:t xml:space="preserve">, in each case, solely to the extent that they relate to any Certain Funds Loan Party; </w:t>
      </w:r>
      <w:r>
        <w:rPr>
          <w:rFonts w:ascii="Times New Roman;serif" w:hAnsi="Times New Roman;serif"/>
          <w:b w:val="false"/>
          <w:sz w:val="22"/>
          <w:u w:val="single"/>
        </w:rPr>
        <w:t>provided</w:t>
      </w:r>
      <w:r>
        <w:rPr>
          <w:rFonts w:ascii="Times New Roman;serif" w:hAnsi="Times New Roman;serif"/>
          <w:b w:val="false"/>
          <w:sz w:val="22"/>
        </w:rPr>
        <w:t>, that, for the avoidance of doubt, a Major Event of Default as it relates to a Major Representation shall not apply in respect of or relate to the Company or any of the Company’s subsidiaries, or any of the assets of the Company or any of the Company’s subsidiaries, or a breach of a procuring obligation with respect to the Company or any of the Company’s subsidiaries.</w:t>
      </w:r>
    </w:p>
    <w:p>
      <w:pPr>
        <w:pStyle w:val="TextBody"/>
        <w:bidi w:val="0"/>
        <w:spacing w:before="0" w:after="240"/>
        <w:jc w:val="both"/>
        <w:rPr/>
      </w:pPr>
      <w:r>
        <w:rPr/>
        <w:t>“</w:t>
      </w:r>
      <w:r>
        <w:rPr>
          <w:rFonts w:ascii="Times New Roman;serif" w:hAnsi="Times New Roman;serif"/>
          <w:b w:val="false"/>
          <w:sz w:val="22"/>
          <w:u w:val="single"/>
        </w:rPr>
        <w:t>Major Undertakings</w:t>
      </w:r>
      <w:r>
        <w:rPr>
          <w:rFonts w:ascii="Times New Roman" w:hAnsi="Times New Roman"/>
          <w:sz w:val="20"/>
        </w:rPr>
        <w:t xml:space="preserve">” </w:t>
      </w:r>
      <w:r>
        <w:rPr>
          <w:rFonts w:ascii="Times New Roman;serif" w:hAnsi="Times New Roman;serif"/>
          <w:b w:val="false"/>
          <w:sz w:val="22"/>
        </w:rPr>
        <w:t xml:space="preserve">means those undertakings set forth in </w:t>
      </w:r>
      <w:r>
        <w:rPr>
          <w:rFonts w:ascii="Times New Roman;serif" w:hAnsi="Times New Roman;serif"/>
          <w:b w:val="false"/>
          <w:sz w:val="22"/>
          <w:u w:val="single"/>
        </w:rPr>
        <w:t>Sections 5.19</w:t>
      </w:r>
      <w:r>
        <w:rPr>
          <w:rFonts w:ascii="Times New Roman;serif" w:hAnsi="Times New Roman;serif"/>
          <w:b w:val="false"/>
          <w:sz w:val="22"/>
        </w:rPr>
        <w:t xml:space="preserve">, </w:t>
      </w:r>
      <w:r>
        <w:rPr>
          <w:rFonts w:ascii="Times New Roman;serif" w:hAnsi="Times New Roman;serif"/>
          <w:b w:val="false"/>
          <w:sz w:val="22"/>
          <w:u w:val="single"/>
        </w:rPr>
        <w:t>6.01</w:t>
      </w:r>
      <w:r>
        <w:rPr>
          <w:rFonts w:ascii="Times New Roman;serif" w:hAnsi="Times New Roman;serif"/>
          <w:b w:val="false"/>
          <w:sz w:val="22"/>
        </w:rPr>
        <w:t xml:space="preserve">, </w:t>
      </w:r>
      <w:r>
        <w:rPr>
          <w:rFonts w:ascii="Times New Roman;serif" w:hAnsi="Times New Roman;serif"/>
          <w:b w:val="false"/>
          <w:sz w:val="22"/>
          <w:u w:val="single"/>
        </w:rPr>
        <w:t>6.02</w:t>
      </w:r>
      <w:r>
        <w:rPr>
          <w:rFonts w:ascii="Times New Roman;serif" w:hAnsi="Times New Roman;serif"/>
          <w:b w:val="false"/>
          <w:sz w:val="22"/>
        </w:rPr>
        <w:t xml:space="preserve">, </w:t>
      </w:r>
      <w:r>
        <w:rPr>
          <w:rFonts w:ascii="Times New Roman;serif" w:hAnsi="Times New Roman;serif"/>
          <w:b w:val="false"/>
          <w:sz w:val="22"/>
          <w:u w:val="single"/>
        </w:rPr>
        <w:t>6.03</w:t>
      </w:r>
      <w:r>
        <w:rPr>
          <w:rFonts w:ascii="Times New Roman;serif" w:hAnsi="Times New Roman;serif"/>
          <w:b w:val="false"/>
          <w:sz w:val="22"/>
        </w:rPr>
        <w:t xml:space="preserve">, </w:t>
      </w:r>
      <w:r>
        <w:rPr>
          <w:rFonts w:ascii="Times New Roman;serif" w:hAnsi="Times New Roman;serif"/>
          <w:b w:val="false"/>
          <w:sz w:val="22"/>
          <w:u w:val="single"/>
        </w:rPr>
        <w:t>6.04</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6.05</w:t>
      </w:r>
      <w:r>
        <w:rPr>
          <w:rFonts w:ascii="Times New Roman;serif" w:hAnsi="Times New Roman;serif"/>
          <w:b w:val="false"/>
          <w:sz w:val="22"/>
        </w:rPr>
        <w:t xml:space="preserve">, solely to the extent that they relate to any Certain Funds Loan Party; </w:t>
      </w:r>
      <w:r>
        <w:rPr>
          <w:rFonts w:ascii="Times New Roman;serif" w:hAnsi="Times New Roman;serif"/>
          <w:b w:val="false"/>
          <w:sz w:val="22"/>
          <w:u w:val="single"/>
        </w:rPr>
        <w:t>provided</w:t>
      </w:r>
      <w:r>
        <w:rPr>
          <w:rFonts w:ascii="Times New Roman;serif" w:hAnsi="Times New Roman;serif"/>
          <w:b w:val="false"/>
          <w:sz w:val="22"/>
        </w:rPr>
        <w:t>, that, for the avoidance of doubt, a Major Event of Default as it relates to a Major Undertaking shall not apply in respect of or relate to the Company or any of the Company’s subsidiaries, or any of the assets of the Company or any of the Company’s subsidiaries, or a breach of a procuring obligation with respect to the Company or any of the Company’s subsidiaries.</w:t>
      </w:r>
    </w:p>
    <w:p>
      <w:pPr>
        <w:pStyle w:val="TextBody"/>
        <w:bidi w:val="0"/>
        <w:spacing w:before="0" w:after="240"/>
        <w:jc w:val="both"/>
        <w:rPr/>
      </w:pPr>
      <w:bookmarkStart w:id="434" w:name="docxtextref582"/>
      <w:bookmarkEnd w:id="434"/>
      <w:r>
        <w:rPr/>
        <w:t>“</w:t>
      </w:r>
      <w:r>
        <w:rPr>
          <w:rFonts w:ascii="Times New Roman;serif" w:hAnsi="Times New Roman;serif"/>
          <w:b w:val="false"/>
          <w:sz w:val="22"/>
          <w:u w:val="single"/>
        </w:rPr>
        <w:t>Majority in Interest</w:t>
      </w:r>
      <w:r>
        <w:rPr>
          <w:rFonts w:ascii="Times New Roman" w:hAnsi="Times New Roman"/>
          <w:sz w:val="20"/>
        </w:rPr>
        <w:t>”</w:t>
      </w:r>
      <w:r>
        <w:rPr>
          <w:rFonts w:ascii="Times New Roman;serif" w:hAnsi="Times New Roman;serif"/>
          <w:b w:val="false"/>
          <w:sz w:val="22"/>
        </w:rPr>
        <w:t>, when used in reference to Lenders of any Class, means, at any time, (a)</w:t>
      </w:r>
      <w:r>
        <w:rPr>
          <w:rFonts w:ascii="Times New Roman" w:hAnsi="Times New Roman"/>
          <w:sz w:val="20"/>
        </w:rPr>
        <w:t xml:space="preserve"> </w:t>
      </w:r>
      <w:r>
        <w:rPr>
          <w:rFonts w:ascii="Times New Roman;serif" w:hAnsi="Times New Roman;serif"/>
          <w:b w:val="false"/>
          <w:sz w:val="22"/>
        </w:rPr>
        <w:t xml:space="preserve">in the case of the Revolving Lenders, Lenders having Revolving Exposures and unused Revolving Commitments representing more than 50% of the sum of the aggregate Revolving Exposures and the unused aggregate Revolving Commitments at such time and </w:t>
      </w:r>
      <w:bookmarkStart w:id="435" w:name="docxtextref583"/>
      <w:bookmarkEnd w:id="43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serif" w:hAnsi="Times New Roman;serif"/>
          <w:b w:val="false"/>
          <w:sz w:val="22"/>
          <w:u w:val="single"/>
        </w:rPr>
        <w:t xml:space="preserve">provided </w:t>
      </w:r>
      <w:r>
        <w:rPr>
          <w:rFonts w:ascii="Times New Roman;serif" w:hAnsi="Times New Roman;serif"/>
          <w:b w:val="false"/>
          <w:sz w:val="22"/>
        </w:rPr>
        <w:t>that whenever there are one or more Defaulting Lenders, the total outstanding Term Loans and Revolving Exposures of, and the unused Revolving Commitments and unused Term Commitments of, each Defaulting Lender shall be excluded for purposes of making a determination of the Majority in Interest.</w:t>
      </w:r>
    </w:p>
    <w:p>
      <w:pPr>
        <w:pStyle w:val="TextBody"/>
        <w:bidi w:val="0"/>
        <w:spacing w:before="0" w:after="240"/>
        <w:jc w:val="both"/>
        <w:rPr/>
      </w:pPr>
      <w:r>
        <w:rPr/>
        <w:t>“</w:t>
      </w:r>
      <w:r>
        <w:rPr>
          <w:rFonts w:ascii="Times New Roman;serif" w:hAnsi="Times New Roman;serif"/>
          <w:b w:val="false"/>
          <w:sz w:val="22"/>
          <w:u w:val="single"/>
        </w:rPr>
        <w:t>Management Investors</w:t>
      </w:r>
      <w:r>
        <w:rPr>
          <w:rFonts w:ascii="Times New Roman" w:hAnsi="Times New Roman"/>
          <w:sz w:val="20"/>
        </w:rPr>
        <w:t xml:space="preserve">” </w:t>
      </w:r>
      <w:r>
        <w:rPr>
          <w:rFonts w:ascii="Times New Roman;serif" w:hAnsi="Times New Roman;serif"/>
          <w:b w:val="false"/>
          <w:sz w:val="22"/>
        </w:rPr>
        <w:t>means the members of the Board of Directors, officers and employees of Holdings, Bidco and/or its Subsidiaries who are (directly or indirectly through one or more investment vehicles) investors in Holdings (or any direct or indirect parent thereof).</w:t>
      </w:r>
    </w:p>
    <w:p>
      <w:pPr>
        <w:pStyle w:val="TextBody"/>
        <w:bidi w:val="0"/>
        <w:spacing w:before="0" w:after="240"/>
        <w:jc w:val="both"/>
        <w:rPr/>
      </w:pPr>
      <w:r>
        <w:rPr/>
        <w:t>“</w:t>
      </w:r>
      <w:r>
        <w:rPr>
          <w:rFonts w:ascii="Times New Roman;serif" w:hAnsi="Times New Roman;serif"/>
          <w:b w:val="false"/>
          <w:sz w:val="22"/>
          <w:u w:val="single"/>
        </w:rPr>
        <w:t>Master Agreement</w:t>
      </w:r>
      <w:r>
        <w:rPr>
          <w:rFonts w:ascii="Times New Roman" w:hAnsi="Times New Roman"/>
          <w:sz w:val="20"/>
        </w:rPr>
        <w:t xml:space="preserve">” </w:t>
      </w:r>
      <w:r>
        <w:rPr>
          <w:rFonts w:ascii="Times New Roman;serif" w:hAnsi="Times New Roman;serif"/>
          <w:b w:val="false"/>
          <w:sz w:val="22"/>
        </w:rPr>
        <w:t>has the meaning assigned to such term in the definition of “Swap Agreement.”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bookmarkStart w:id="436" w:name="docxtextref584"/>
      <w:bookmarkEnd w:id="436"/>
      <w:r>
        <w:rPr/>
        <w:t>“</w:t>
      </w:r>
      <w:r>
        <w:rPr>
          <w:rFonts w:ascii="Times New Roman;serif" w:hAnsi="Times New Roman;serif"/>
          <w:b w:val="false"/>
          <w:sz w:val="22"/>
          <w:u w:val="single"/>
        </w:rPr>
        <w:t>Material Adverse Effect</w:t>
      </w:r>
      <w:r>
        <w:rPr>
          <w:rFonts w:ascii="Times New Roman" w:hAnsi="Times New Roman"/>
          <w:sz w:val="20"/>
        </w:rPr>
        <w:t xml:space="preserve">” </w:t>
      </w:r>
      <w:r>
        <w:rPr>
          <w:rFonts w:ascii="Times New Roman;serif" w:hAnsi="Times New Roman;serif"/>
          <w:b w:val="false"/>
          <w:sz w:val="22"/>
        </w:rPr>
        <w:t>means a circumstance or condition affecting the business, financial condition, or results of operations of Bidco and its Subsidiaries, taken as a whole, that would reasonably be expected to have a materially adverse effect on (a)</w:t>
      </w:r>
      <w:r>
        <w:rPr>
          <w:rFonts w:ascii="Times New Roman" w:hAnsi="Times New Roman"/>
          <w:sz w:val="20"/>
        </w:rPr>
        <w:t xml:space="preserve"> </w:t>
      </w:r>
      <w:r>
        <w:rPr>
          <w:rFonts w:ascii="Times New Roman;serif" w:hAnsi="Times New Roman;serif"/>
          <w:b w:val="false"/>
          <w:sz w:val="22"/>
        </w:rPr>
        <w:t xml:space="preserve">the ability of Bidco and the other Loan Parties, taken as a whole, to perform their payment obligations under the Loan Documents or </w:t>
      </w:r>
      <w:bookmarkStart w:id="437" w:name="docxtextref585"/>
      <w:bookmarkEnd w:id="43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material rights and remedies of the Administrative Agent, the Issuing Banks and the Lenders under the Loan Documents.</w:t>
      </w:r>
    </w:p>
    <w:p>
      <w:pPr>
        <w:pStyle w:val="TextBody"/>
        <w:bidi w:val="0"/>
        <w:spacing w:before="0" w:after="240"/>
        <w:jc w:val="both"/>
        <w:rPr/>
      </w:pPr>
      <w:bookmarkStart w:id="438" w:name="docxtextref587"/>
      <w:bookmarkEnd w:id="438"/>
      <w:r>
        <w:rPr/>
        <w:t>“</w:t>
      </w:r>
      <w:r>
        <w:rPr>
          <w:rFonts w:ascii="Times New Roman;serif" w:hAnsi="Times New Roman;serif"/>
          <w:b w:val="false"/>
          <w:sz w:val="22"/>
          <w:u w:val="single"/>
        </w:rPr>
        <w:t>Material Indebtedness</w:t>
      </w:r>
      <w:r>
        <w:rPr>
          <w:rFonts w:ascii="Times New Roman" w:hAnsi="Times New Roman"/>
          <w:sz w:val="20"/>
        </w:rPr>
        <w:t xml:space="preserve">” </w:t>
      </w:r>
      <w:r>
        <w:rPr>
          <w:rFonts w:ascii="Times New Roman;serif" w:hAnsi="Times New Roman;serif"/>
          <w:b w:val="false"/>
          <w:sz w:val="22"/>
        </w:rPr>
        <w:t>means Indebtedness for borrowed money (other than the Loan Document Obligations), Capitalized Lease Obligations, unreimbursed obligations for letter of credit drawings and financial guarantees (other than ordinary course of business contingent reimbursement obligations) or obligations in respect of one or more Swap Agreements, of any one or more of Bidco and the Restricted Subsidiaries in an aggregate principal amount exceeding the greater of (x)</w:t>
      </w:r>
      <w:r>
        <w:rPr>
          <w:rFonts w:ascii="Times New Roman" w:hAnsi="Times New Roman"/>
          <w:sz w:val="20"/>
        </w:rPr>
        <w:t xml:space="preserve"> </w:t>
      </w:r>
      <w:r>
        <w:rPr>
          <w:rFonts w:ascii="Times New Roman;serif" w:hAnsi="Times New Roman;serif"/>
          <w:b w:val="false"/>
          <w:sz w:val="22"/>
        </w:rPr>
        <w:t xml:space="preserve">$250,000,000 and </w:t>
      </w:r>
      <w:bookmarkStart w:id="439" w:name="docxtextref588"/>
      <w:bookmarkEnd w:id="439"/>
      <w:r>
        <w:rPr>
          <w:rFonts w:ascii="Times New Roman;serif" w:hAnsi="Times New Roman;serif"/>
          <w:b w:val="false"/>
          <w:sz w:val="22"/>
        </w:rPr>
        <w:t>(y)</w:t>
      </w:r>
      <w:r>
        <w:rPr>
          <w:rFonts w:ascii="Times New Roman" w:hAnsi="Times New Roman"/>
          <w:sz w:val="20"/>
        </w:rPr>
        <w:t xml:space="preserve"> </w:t>
      </w:r>
      <w:bookmarkStart w:id="440" w:name="docxtextref586"/>
      <w:bookmarkEnd w:id="440"/>
      <w:r>
        <w:rPr>
          <w:rFonts w:ascii="Times New Roman;serif" w:hAnsi="Times New Roman;serif"/>
          <w:b w:val="false"/>
          <w:sz w:val="22"/>
        </w:rPr>
        <w:t>33.33% of Consolidated EBITDA for the most recently ended Test Period as of such date, calculated on a Pro Forma Basis. For purposes of determining Material Indebtedness, the “principal amount” of the obligations in respect of any Swap Agreement at any time shall be the maximum aggregate amount (giving effect to any netting agreements) that Bidco or such Restricted Subsidiary would be required to pay if such Swap Agreement were terminated at such time.</w:t>
      </w:r>
    </w:p>
    <w:p>
      <w:pPr>
        <w:pStyle w:val="TextBody"/>
        <w:bidi w:val="0"/>
        <w:spacing w:before="0" w:after="240"/>
        <w:jc w:val="both"/>
        <w:rPr/>
      </w:pPr>
      <w:bookmarkStart w:id="441" w:name="docxtextref589"/>
      <w:bookmarkEnd w:id="441"/>
      <w:r>
        <w:rPr/>
        <w:t>“</w:t>
      </w:r>
      <w:r>
        <w:rPr>
          <w:rFonts w:ascii="Times New Roman;serif" w:hAnsi="Times New Roman;serif"/>
          <w:b w:val="false"/>
          <w:sz w:val="22"/>
          <w:u w:val="single"/>
        </w:rPr>
        <w:t>Material Non-Public Information</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if Holdings is a public reporting company, material non-public information with respect to Holdings or its subsidiaries, or the respective securities of any of the foregoing for purposes of United States Federal and state securities laws, and </w:t>
      </w:r>
      <w:bookmarkStart w:id="442" w:name="docxtextref590"/>
      <w:bookmarkEnd w:id="44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if Holdings is not a public reporting company, information that is </w:t>
      </w:r>
      <w:bookmarkStart w:id="443" w:name="docxtextref591"/>
      <w:bookmarkEnd w:id="44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of the type that would be required to be made publicly available if Holdings or any of its subsidiaries were a public reporting company and (ii) material with respect to Holdings and its subsidiaries or any of their respective securities for purposes of United States Federal or state securities laws.</w:t>
      </w:r>
    </w:p>
    <w:p>
      <w:pPr>
        <w:pStyle w:val="TextBody"/>
        <w:bidi w:val="0"/>
        <w:spacing w:before="0" w:after="240"/>
        <w:jc w:val="both"/>
        <w:rPr/>
      </w:pPr>
      <w:bookmarkStart w:id="444" w:name="docxtextref592"/>
      <w:bookmarkEnd w:id="444"/>
      <w:r>
        <w:rPr/>
        <w:t>“</w:t>
      </w:r>
      <w:r>
        <w:rPr>
          <w:rFonts w:ascii="Times New Roman;serif" w:hAnsi="Times New Roman;serif"/>
          <w:b w:val="false"/>
          <w:sz w:val="22"/>
          <w:u w:val="single"/>
        </w:rPr>
        <w:t>Material Subsidiary</w:t>
      </w:r>
      <w:r>
        <w:rPr>
          <w:rFonts w:ascii="Times New Roman" w:hAnsi="Times New Roman"/>
          <w:sz w:val="20"/>
        </w:rPr>
        <w:t xml:space="preserve">” </w:t>
      </w:r>
      <w:r>
        <w:rPr>
          <w:rFonts w:ascii="Times New Roman;serif" w:hAnsi="Times New Roman;serif"/>
          <w:b w:val="false"/>
          <w:sz w:val="22"/>
        </w:rPr>
        <w:t xml:space="preserve">means each Wholly Owned Restricted Subsidiary that, as of the last day of the fiscal quarter of Bidco most recently ended, had net revenues or total assets for such quarter in excess of 5.0% of the consolidated net revenues or total assets, as applicable, of Bidco and the Restricted Subsidiaries for such quarter;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in the event that the Immaterial Subsidiaries, taken together, had as of the last day of the fiscal quarter of Bidco most recently ended net revenues or total assets in excess of </w:t>
      </w:r>
      <w:bookmarkStart w:id="445" w:name="docxtextref593"/>
      <w:bookmarkEnd w:id="445"/>
      <w:r>
        <w:rPr>
          <w:rFonts w:ascii="Times New Roman;serif" w:hAnsi="Times New Roman;serif"/>
          <w:b w:val="false"/>
          <w:sz w:val="22"/>
        </w:rPr>
        <w:t xml:space="preserve">10.0% of the consolidated revenues or total assets, as applicable, of Bidco and the Restricted Subsidiaries for such quarter, Bidco shall designate at its sole discretion one or more Immaterial Subsidiaries to be a Material Subsidiary as may be necessary such that the foregoing </w:t>
      </w:r>
      <w:bookmarkStart w:id="446" w:name="docxtextref594"/>
      <w:bookmarkEnd w:id="446"/>
      <w:r>
        <w:rPr>
          <w:rFonts w:ascii="Times New Roman;serif" w:hAnsi="Times New Roman;serif"/>
          <w:b w:val="false"/>
          <w:sz w:val="22"/>
        </w:rPr>
        <w:t xml:space="preserve">10.0% limit shall not be exceeded, and any such Subsidiary shall thereafter be deemed to be an Material Subsidiary hereunder;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Bidco may re-designate Material Subsidiaries as Immaterial Subsidiaries so long as Bidco is in compliance with the foregoing.</w:t>
      </w:r>
    </w:p>
    <w:p>
      <w:pPr>
        <w:pStyle w:val="TextBody"/>
        <w:bidi w:val="0"/>
        <w:spacing w:before="0" w:after="240"/>
        <w:jc w:val="both"/>
        <w:rPr/>
      </w:pPr>
      <w:r>
        <w:rPr/>
        <w:t>“</w:t>
      </w:r>
      <w:r>
        <w:rPr>
          <w:rFonts w:ascii="Times New Roman;serif" w:hAnsi="Times New Roman;serif"/>
          <w:b w:val="false"/>
          <w:sz w:val="22"/>
          <w:u w:val="single"/>
        </w:rPr>
        <w:t>Maximum Rate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9.16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Minimum Equity Requirement</w:t>
      </w:r>
      <w:r>
        <w:rPr>
          <w:rFonts w:ascii="Times New Roman" w:hAnsi="Times New Roman"/>
          <w:sz w:val="20"/>
        </w:rPr>
        <w:t xml:space="preserve">” </w:t>
      </w:r>
      <w:r>
        <w:rPr>
          <w:rFonts w:ascii="Times New Roman;serif" w:hAnsi="Times New Roman;serif"/>
          <w:b w:val="false"/>
          <w:sz w:val="22"/>
        </w:rPr>
        <w:t>means, as at the relevant date of calculation, that the Equity Contributions are not less than 35% of the Capitalized Amount.</w:t>
      </w:r>
    </w:p>
    <w:p>
      <w:pPr>
        <w:pStyle w:val="TextBody"/>
        <w:bidi w:val="0"/>
        <w:spacing w:before="0" w:after="240"/>
        <w:jc w:val="both"/>
        <w:rPr/>
      </w:pPr>
      <w:r>
        <w:rPr/>
        <w:t>“</w:t>
      </w:r>
      <w:r>
        <w:rPr>
          <w:rFonts w:ascii="Times New Roman;serif" w:hAnsi="Times New Roman;serif"/>
          <w:b w:val="false"/>
          <w:sz w:val="22"/>
          <w:u w:val="single"/>
        </w:rPr>
        <w:t>Model</w:t>
      </w:r>
      <w:r>
        <w:rPr>
          <w:rFonts w:ascii="Times New Roman" w:hAnsi="Times New Roman"/>
          <w:sz w:val="20"/>
        </w:rPr>
        <w:t xml:space="preserve">” </w:t>
      </w:r>
      <w:r>
        <w:rPr>
          <w:rFonts w:ascii="Times New Roman;serif" w:hAnsi="Times New Roman;serif"/>
          <w:b w:val="false"/>
          <w:sz w:val="22"/>
        </w:rPr>
        <w:t>means that certain financial model delivered to the Joint Lead Arrangers on March 2, 2019 (together with any updates or modifications thereto reasonably agreed between Bidco and the Administrative Agent).</w:t>
      </w:r>
    </w:p>
    <w:p>
      <w:pPr>
        <w:pStyle w:val="TextBody"/>
        <w:bidi w:val="0"/>
        <w:spacing w:before="0" w:after="240"/>
        <w:jc w:val="both"/>
        <w:rPr/>
      </w:pPr>
      <w:r>
        <w:rPr/>
        <w:t>“</w:t>
      </w:r>
      <w:r>
        <w:rPr>
          <w:rFonts w:ascii="Times New Roman;serif" w:hAnsi="Times New Roman;serif"/>
          <w:b w:val="false"/>
          <w:sz w:val="22"/>
          <w:u w:val="single"/>
        </w:rPr>
        <w:t>Moody’s</w:t>
      </w:r>
      <w:r>
        <w:rPr>
          <w:rFonts w:ascii="Times New Roman" w:hAnsi="Times New Roman"/>
          <w:sz w:val="20"/>
        </w:rPr>
        <w:t xml:space="preserve">” </w:t>
      </w:r>
      <w:r>
        <w:rPr>
          <w:rFonts w:ascii="Times New Roman;serif" w:hAnsi="Times New Roman;serif"/>
          <w:b w:val="false"/>
          <w:sz w:val="22"/>
        </w:rPr>
        <w:t>means Moody’s Investors Service, Inc. and any successor to its rating agency business.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Multiemployer Plan</w:t>
      </w:r>
      <w:r>
        <w:rPr>
          <w:rFonts w:ascii="Times New Roman" w:hAnsi="Times New Roman"/>
          <w:sz w:val="20"/>
        </w:rPr>
        <w:t xml:space="preserve">” </w:t>
      </w:r>
      <w:r>
        <w:rPr>
          <w:rFonts w:ascii="Times New Roman;serif" w:hAnsi="Times New Roman;serif"/>
          <w:b w:val="false"/>
          <w:sz w:val="22"/>
        </w:rPr>
        <w:t>means a multiemployer plan as defined in Section 4001(a)(3) of ERISA.</w:t>
      </w:r>
    </w:p>
    <w:p>
      <w:pPr>
        <w:pStyle w:val="TextBody"/>
        <w:bidi w:val="0"/>
        <w:spacing w:before="0" w:after="240"/>
        <w:jc w:val="both"/>
        <w:rPr/>
      </w:pPr>
      <w:r>
        <w:rPr/>
        <w:t>“</w:t>
      </w:r>
      <w:r>
        <w:rPr>
          <w:rFonts w:ascii="Times New Roman;serif" w:hAnsi="Times New Roman;serif"/>
          <w:b w:val="false"/>
          <w:sz w:val="22"/>
          <w:u w:val="single"/>
        </w:rPr>
        <w:t>Net Income</w:t>
      </w:r>
      <w:r>
        <w:rPr>
          <w:rFonts w:ascii="Times New Roman" w:hAnsi="Times New Roman"/>
          <w:sz w:val="20"/>
        </w:rPr>
        <w:t xml:space="preserve">” </w:t>
      </w:r>
      <w:r>
        <w:rPr>
          <w:rFonts w:ascii="Times New Roman;serif" w:hAnsi="Times New Roman;serif"/>
          <w:b w:val="false"/>
          <w:sz w:val="22"/>
        </w:rPr>
        <w:t>means, with respect to any Person, the net income (loss) of such Person, determined in accordance with IFRS and before any reduction in respect of Preferred Stock dividends.</w:t>
      </w:r>
    </w:p>
    <w:p>
      <w:pPr>
        <w:pStyle w:val="TextBody"/>
        <w:bidi w:val="0"/>
        <w:spacing w:before="0" w:after="240"/>
        <w:jc w:val="both"/>
        <w:rPr/>
      </w:pPr>
      <w:bookmarkStart w:id="447" w:name="docxtextref597"/>
      <w:bookmarkEnd w:id="447"/>
      <w:r>
        <w:rPr/>
        <w:t>“</w:t>
      </w:r>
      <w:r>
        <w:rPr>
          <w:rFonts w:ascii="Times New Roman;serif" w:hAnsi="Times New Roman;serif"/>
          <w:b w:val="false"/>
          <w:sz w:val="22"/>
          <w:u w:val="single"/>
        </w:rPr>
        <w:t>Net Proceeds</w:t>
      </w:r>
      <w:r>
        <w:rPr>
          <w:rFonts w:ascii="Times New Roman" w:hAnsi="Times New Roman"/>
          <w:sz w:val="20"/>
        </w:rPr>
        <w:t xml:space="preserve">” </w:t>
      </w:r>
      <w:r>
        <w:rPr>
          <w:rFonts w:ascii="Times New Roman;serif" w:hAnsi="Times New Roman;serif"/>
          <w:b w:val="false"/>
          <w:sz w:val="22"/>
        </w:rPr>
        <w:t>means, with respect to any event, (a)</w:t>
      </w:r>
      <w:r>
        <w:rPr>
          <w:rFonts w:ascii="Times New Roman" w:hAnsi="Times New Roman"/>
          <w:sz w:val="20"/>
        </w:rPr>
        <w:t xml:space="preserve"> </w:t>
      </w:r>
      <w:r>
        <w:rPr>
          <w:rFonts w:ascii="Times New Roman;serif" w:hAnsi="Times New Roman;serif"/>
          <w:b w:val="false"/>
          <w:sz w:val="22"/>
        </w:rPr>
        <w:t xml:space="preserve">the proceeds received in respect of such event in cash or Cash Equivalents, including </w:t>
      </w:r>
      <w:bookmarkStart w:id="448" w:name="docxtextref598"/>
      <w:bookmarkEnd w:id="44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any cash or Cash Equivalents received in respect of any non</w:t>
        <w:noBreakHyphen/>
        <w:t xml:space="preserve">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serif" w:hAnsi="Times New Roman;serif"/>
          <w:b w:val="false"/>
          <w:sz w:val="22"/>
          <w:u w:val="single"/>
        </w:rPr>
        <w:t>minus</w:t>
      </w:r>
      <w:r>
        <w:rPr>
          <w:rFonts w:ascii="Times New Roman" w:hAnsi="Times New Roman"/>
          <w:sz w:val="20"/>
        </w:rPr>
        <w:t xml:space="preserve"> </w:t>
      </w:r>
      <w:bookmarkStart w:id="449" w:name="docxtextref599"/>
      <w:bookmarkEnd w:id="44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without duplication the sum of </w:t>
      </w:r>
      <w:bookmarkStart w:id="450" w:name="docxtextref600"/>
      <w:bookmarkEnd w:id="450"/>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all fees and out</w:t>
        <w:noBreakHyphen/>
        <w:t>of</w:t>
        <w:noBreakHyphen/>
        <w:t xml:space="preserve">pocket expenses paid by Bidco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w:t>
      </w:r>
      <w:bookmarkStart w:id="451" w:name="docxtextref601"/>
      <w:bookmarkEnd w:id="451"/>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the amount of all payments that are permitted hereunder and are made by Bidco and the Restricted Subsidiaries as a result of such event to repay Indebtedness (other than the Loans) secured by such asset or otherwise subject to mandatory prepayment as a result of such event, </w:t>
      </w:r>
      <w:bookmarkStart w:id="452" w:name="docxtextref602"/>
      <w:bookmarkEnd w:id="452"/>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the pro rata portion of net cash proceeds thereof (calculated without regard to this clause (y)) attributable to minority interests and not available for distribution to or for the account of Bidco or the Restricted Subsidiaries as a result thereof and </w:t>
      </w:r>
      <w:bookmarkStart w:id="453" w:name="docxtextref603"/>
      <w:bookmarkEnd w:id="453"/>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the amount of any liabilities directly associated with such asset and retained by Bidco or any Restricted Subsidiary and (iii) the amount of all taxes paid (or reasonably estimated to be payable), the amount of Tax Distributions, dividends and other Restricted Payments that Bidco and/or the Restricted Subsidiaries may make pursuant to </w:t>
      </w:r>
      <w:r>
        <w:rPr>
          <w:rFonts w:ascii="Times New Roman;serif" w:hAnsi="Times New Roman;serif"/>
          <w:b w:val="false"/>
          <w:sz w:val="22"/>
          <w:u w:val="single"/>
        </w:rPr>
        <w:t>Section 6.05(b)(xv)(B)</w:t>
      </w:r>
      <w:r>
        <w:rPr>
          <w:rFonts w:ascii="Times New Roman" w:hAnsi="Times New Roman"/>
          <w:sz w:val="20"/>
        </w:rPr>
        <w:t xml:space="preserve"> </w:t>
      </w:r>
      <w:r>
        <w:rPr>
          <w:rFonts w:ascii="Times New Roman;serif" w:hAnsi="Times New Roman;serif"/>
          <w:b w:val="false"/>
          <w:sz w:val="22"/>
        </w:rPr>
        <w:t xml:space="preserve">as a result of such event, and the amount of any reserves established by Holdings, any Intermediate Parent, Bidco and the Restricted Subsidiaries to fund contingent liabilities reasonably estimated to be payable, that are directly attributable to such event,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reduction at any time in the amount of any such reserves (other than as a result of payments made in respect thereof) shall be deemed to constitute the receipt by Bidco at such time of Net Proceeds in the amount of such reduction.</w:t>
      </w:r>
    </w:p>
    <w:p>
      <w:pPr>
        <w:pStyle w:val="TextBody"/>
        <w:bidi w:val="0"/>
        <w:spacing w:before="0" w:after="240"/>
        <w:jc w:val="both"/>
        <w:rPr/>
      </w:pPr>
      <w:r>
        <w:rPr/>
        <w:t>“</w:t>
      </w:r>
      <w:r>
        <w:rPr>
          <w:rFonts w:ascii="Times New Roman;serif" w:hAnsi="Times New Roman;serif"/>
          <w:b w:val="false"/>
          <w:sz w:val="22"/>
          <w:u w:val="single"/>
        </w:rPr>
        <w:t>New Contracts</w:t>
      </w:r>
      <w:r>
        <w:rPr>
          <w:rFonts w:ascii="Times New Roman" w:hAnsi="Times New Roman"/>
          <w:sz w:val="20"/>
        </w:rPr>
        <w:t xml:space="preserve">” </w:t>
      </w:r>
      <w:r>
        <w:rPr>
          <w:rFonts w:ascii="Times New Roman;serif" w:hAnsi="Times New Roman;serif"/>
          <w:b w:val="false"/>
          <w:sz w:val="22"/>
        </w:rPr>
        <w:t>means executed agreements with new customers that have contracted with Bidco and its Subsidiaries, for which pricing, volumes and margins from the covered product categories are readily identified.</w:t>
      </w:r>
    </w:p>
    <w:p>
      <w:pPr>
        <w:pStyle w:val="TextBody"/>
        <w:bidi w:val="0"/>
        <w:spacing w:before="0" w:after="240"/>
        <w:jc w:val="both"/>
        <w:rPr/>
      </w:pPr>
      <w:r>
        <w:rPr/>
        <w:t>“</w:t>
      </w:r>
      <w:r>
        <w:rPr>
          <w:rFonts w:ascii="Times New Roman;serif" w:hAnsi="Times New Roman;serif"/>
          <w:b w:val="false"/>
          <w:sz w:val="22"/>
          <w:u w:val="single"/>
        </w:rPr>
        <w:t>Non-Accepting Lender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2.23(c)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Non-Cash Compensation Expense</w:t>
      </w:r>
      <w:r>
        <w:rPr>
          <w:rFonts w:ascii="Times New Roman" w:hAnsi="Times New Roman"/>
          <w:sz w:val="20"/>
        </w:rPr>
        <w:t xml:space="preserve">” </w:t>
      </w:r>
      <w:r>
        <w:rPr>
          <w:rFonts w:ascii="Times New Roman;serif" w:hAnsi="Times New Roman;serif"/>
          <w:b w:val="false"/>
          <w:sz w:val="22"/>
        </w:rPr>
        <w:t>means any non-cash expenses and costs that result from the issuance of stock-based awards, partnership interest-based awards and similar incentive based compensation awards or arrangements.</w:t>
      </w:r>
    </w:p>
    <w:p>
      <w:pPr>
        <w:pStyle w:val="TextBody"/>
        <w:bidi w:val="0"/>
        <w:spacing w:before="0" w:after="240"/>
        <w:jc w:val="both"/>
        <w:rPr/>
      </w:pPr>
      <w:r>
        <w:rPr/>
        <w:t>“</w:t>
      </w:r>
      <w:r>
        <w:rPr>
          <w:rFonts w:ascii="Times New Roman;serif" w:hAnsi="Times New Roman;serif"/>
          <w:b w:val="false"/>
          <w:sz w:val="22"/>
          <w:u w:val="single"/>
        </w:rPr>
        <w:t>Non-Consenting Lender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9.02(c)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Non-U.S. Loan Party</w:t>
      </w:r>
      <w:r>
        <w:rPr>
          <w:rFonts w:ascii="Times New Roman" w:hAnsi="Times New Roman"/>
          <w:sz w:val="20"/>
        </w:rPr>
        <w:t xml:space="preserve">” </w:t>
      </w:r>
      <w:r>
        <w:rPr>
          <w:rFonts w:ascii="Times New Roman;serif" w:hAnsi="Times New Roman;serif"/>
          <w:b w:val="false"/>
          <w:sz w:val="22"/>
        </w:rPr>
        <w:t>means any Loan Party organized in any jurisdiction other than the United States, any state thereof or the District of Columbia.</w:t>
      </w:r>
    </w:p>
    <w:p>
      <w:pPr>
        <w:pStyle w:val="TextBody"/>
        <w:bidi w:val="0"/>
        <w:spacing w:before="0" w:after="240"/>
        <w:jc w:val="both"/>
        <w:rPr/>
      </w:pPr>
      <w:r>
        <w:rPr/>
        <w:t>“</w:t>
      </w:r>
      <w:r>
        <w:rPr>
          <w:rFonts w:ascii="Times New Roman;serif" w:hAnsi="Times New Roman;serif"/>
          <w:b w:val="false"/>
          <w:sz w:val="22"/>
          <w:u w:val="single"/>
        </w:rPr>
        <w:t>Non-U.S. Restricted Subsidiary</w:t>
      </w:r>
      <w:r>
        <w:rPr>
          <w:rFonts w:ascii="Times New Roman" w:hAnsi="Times New Roman"/>
          <w:sz w:val="20"/>
        </w:rPr>
        <w:t xml:space="preserve">” </w:t>
      </w:r>
      <w:r>
        <w:rPr>
          <w:rFonts w:ascii="Times New Roman;serif" w:hAnsi="Times New Roman;serif"/>
          <w:b w:val="false"/>
          <w:sz w:val="22"/>
        </w:rPr>
        <w:t>means any Subsidiary of Bidco organized in any jurisdiction other than the United States, any state thereof or the District of Columbia that is not an Unrestricted Subsidiary.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Non-U.S. Security Agreement</w:t>
      </w:r>
      <w:r>
        <w:rPr>
          <w:rFonts w:ascii="Times New Roman" w:hAnsi="Times New Roman"/>
          <w:sz w:val="20"/>
        </w:rPr>
        <w:t xml:space="preserve">” </w:t>
      </w:r>
      <w:r>
        <w:rPr>
          <w:rFonts w:ascii="Times New Roman;serif" w:hAnsi="Times New Roman;serif"/>
          <w:b w:val="false"/>
          <w:sz w:val="22"/>
        </w:rPr>
        <w:t xml:space="preserve">means (a) each security agreement executed by a Non-U.S. Restricted Subsidiary and listed on </w:t>
      </w:r>
      <w:r>
        <w:rPr>
          <w:rFonts w:ascii="Times New Roman;serif" w:hAnsi="Times New Roman;serif"/>
          <w:b w:val="false"/>
          <w:sz w:val="22"/>
          <w:u w:val="single"/>
        </w:rPr>
        <w:t>Schedule 1.01(d)</w:t>
      </w:r>
      <w:r>
        <w:rPr>
          <w:rFonts w:ascii="Times New Roman" w:hAnsi="Times New Roman"/>
          <w:sz w:val="20"/>
        </w:rPr>
        <w:t xml:space="preserve"> </w:t>
      </w:r>
      <w:r>
        <w:rPr>
          <w:rFonts w:ascii="Times New Roman;serif" w:hAnsi="Times New Roman;serif"/>
          <w:b w:val="false"/>
          <w:sz w:val="22"/>
        </w:rPr>
        <w:t xml:space="preserve">and (b) each other security agreement executed by the Non-U.S. Restricted Subsidiary pursuant to </w:t>
      </w:r>
      <w:r>
        <w:rPr>
          <w:rFonts w:ascii="Times New Roman;serif" w:hAnsi="Times New Roman;serif"/>
          <w:b w:val="false"/>
          <w:sz w:val="22"/>
          <w:u w:val="single"/>
        </w:rPr>
        <w:t>Section 5.12</w:t>
      </w:r>
      <w:r>
        <w:rPr>
          <w:rFonts w:ascii="Times New Roman" w:hAnsi="Times New Roman"/>
          <w:sz w:val="20"/>
        </w:rPr>
        <w:t xml:space="preserve"> </w:t>
      </w:r>
      <w:r>
        <w:rPr>
          <w:rFonts w:ascii="Times New Roman;serif" w:hAnsi="Times New Roman;serif"/>
          <w:b w:val="false"/>
          <w:sz w:val="22"/>
        </w:rPr>
        <w:t>in accordance with the Agreed Security Principles.</w:t>
      </w:r>
    </w:p>
    <w:p>
      <w:pPr>
        <w:pStyle w:val="TextBody"/>
        <w:bidi w:val="0"/>
        <w:spacing w:before="0" w:after="240"/>
        <w:jc w:val="both"/>
        <w:rPr/>
      </w:pPr>
      <w:r>
        <w:rPr/>
        <w:t>“</w:t>
      </w:r>
      <w:r>
        <w:rPr>
          <w:rFonts w:ascii="Times New Roman;serif" w:hAnsi="Times New Roman;serif"/>
          <w:b w:val="false"/>
          <w:sz w:val="22"/>
          <w:u w:val="single"/>
        </w:rPr>
        <w:t>Non-Wholly Owned Subsidiary</w:t>
      </w:r>
      <w:r>
        <w:rPr>
          <w:rFonts w:ascii="Times New Roman" w:hAnsi="Times New Roman"/>
          <w:sz w:val="20"/>
        </w:rPr>
        <w:t xml:space="preserve">” </w:t>
      </w:r>
      <w:r>
        <w:rPr>
          <w:rFonts w:ascii="Times New Roman;serif" w:hAnsi="Times New Roman;serif"/>
          <w:b w:val="false"/>
          <w:sz w:val="22"/>
        </w:rPr>
        <w:t>of any Person means any Subsidiary of such Person other than a Wholly Owned Subsidiary.</w:t>
      </w:r>
    </w:p>
    <w:p>
      <w:pPr>
        <w:pStyle w:val="TextBody"/>
        <w:bidi w:val="0"/>
        <w:spacing w:before="0" w:after="240"/>
        <w:jc w:val="both"/>
        <w:rPr/>
      </w:pPr>
      <w:r>
        <w:rPr/>
        <w:t>“</w:t>
      </w:r>
      <w:r>
        <w:rPr>
          <w:rFonts w:ascii="Times New Roman;serif" w:hAnsi="Times New Roman;serif"/>
          <w:b w:val="false"/>
          <w:sz w:val="22"/>
          <w:u w:val="single"/>
        </w:rPr>
        <w:t>Note</w:t>
      </w:r>
      <w:r>
        <w:rPr>
          <w:rFonts w:ascii="Times New Roman" w:hAnsi="Times New Roman"/>
          <w:sz w:val="20"/>
        </w:rPr>
        <w:t xml:space="preserve">” </w:t>
      </w:r>
      <w:r>
        <w:rPr>
          <w:rFonts w:ascii="Times New Roman;serif" w:hAnsi="Times New Roman;serif"/>
          <w:b w:val="false"/>
          <w:sz w:val="22"/>
        </w:rPr>
        <w:t xml:space="preserve">means a promissory note of the Borrowers, in substantially the form of </w:t>
      </w:r>
      <w:r>
        <w:rPr>
          <w:rFonts w:ascii="Times New Roman;serif" w:hAnsi="Times New Roman;serif"/>
          <w:b w:val="false"/>
          <w:sz w:val="22"/>
          <w:u w:val="single"/>
        </w:rPr>
        <w:t>Exhibit R</w:t>
      </w:r>
      <w:r>
        <w:rPr>
          <w:rFonts w:ascii="Times New Roman;serif" w:hAnsi="Times New Roman;serif"/>
          <w:b w:val="false"/>
          <w:sz w:val="22"/>
        </w:rPr>
        <w:t>, payable to a Lender in a principal amount equal to the principal amount of the Revolving Commitment or Term Loans, as applicable, of such Lender.</w:t>
      </w:r>
    </w:p>
    <w:p>
      <w:pPr>
        <w:pStyle w:val="TextBody"/>
        <w:bidi w:val="0"/>
        <w:spacing w:before="0" w:after="240"/>
        <w:jc w:val="both"/>
        <w:rPr/>
      </w:pPr>
      <w:r>
        <w:rPr/>
        <w:t>“</w:t>
      </w:r>
      <w:r>
        <w:rPr>
          <w:rFonts w:ascii="Times New Roman;serif" w:hAnsi="Times New Roman;serif"/>
          <w:b w:val="false"/>
          <w:sz w:val="22"/>
          <w:u w:val="single"/>
        </w:rPr>
        <w:t>Offered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Offered Discount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Organizational Documents</w:t>
      </w:r>
      <w:r>
        <w:rPr>
          <w:rFonts w:ascii="Times New Roman" w:hAnsi="Times New Roman"/>
          <w:sz w:val="20"/>
        </w:rPr>
        <w:t xml:space="preserve">” </w:t>
      </w:r>
      <w:r>
        <w:rPr>
          <w:rFonts w:ascii="Times New Roman;serif" w:hAnsi="Times New Roman;serif"/>
          <w:b w:val="false"/>
          <w:sz w:val="22"/>
        </w:rPr>
        <w:t>means, with respect to any Person, the charter, articles or certificate of organization, constitution or incorporation and bylaws or other organizational or governing documents of such Person.</w:t>
      </w:r>
    </w:p>
    <w:p>
      <w:pPr>
        <w:pStyle w:val="TextBody"/>
        <w:bidi w:val="0"/>
        <w:spacing w:before="0" w:after="240"/>
        <w:jc w:val="both"/>
        <w:rPr/>
      </w:pPr>
      <w:r>
        <w:rPr/>
        <w:t>“</w:t>
      </w:r>
      <w:r>
        <w:rPr>
          <w:rFonts w:ascii="Times New Roman;serif" w:hAnsi="Times New Roman;serif"/>
          <w:b w:val="false"/>
          <w:sz w:val="22"/>
          <w:u w:val="single"/>
        </w:rPr>
        <w:t>Other Connection Taxes</w:t>
      </w:r>
      <w:r>
        <w:rPr>
          <w:rFonts w:ascii="Times New Roman" w:hAnsi="Times New Roman"/>
          <w:sz w:val="20"/>
        </w:rPr>
        <w:t xml:space="preserve">” </w:t>
      </w:r>
      <w:r>
        <w:rPr>
          <w:rFonts w:ascii="Times New Roman;serif" w:hAnsi="Times New Roman;serif"/>
          <w:b w:val="false"/>
          <w:sz w:val="22"/>
        </w:rPr>
        <w:t>means, with respect to any Lender, Taxes that would otherwise be “Other Taxes and which are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t>“</w:t>
      </w:r>
      <w:r>
        <w:rPr>
          <w:rFonts w:ascii="Times New Roman;serif" w:hAnsi="Times New Roman;serif"/>
          <w:b w:val="false"/>
          <w:sz w:val="22"/>
          <w:u w:val="single"/>
        </w:rPr>
        <w:t>Other Revolving Commitments</w:t>
      </w:r>
      <w:r>
        <w:rPr>
          <w:rFonts w:ascii="Times New Roman" w:hAnsi="Times New Roman"/>
          <w:sz w:val="20"/>
        </w:rPr>
        <w:t xml:space="preserve">” </w:t>
      </w:r>
      <w:r>
        <w:rPr>
          <w:rFonts w:ascii="Times New Roman;serif" w:hAnsi="Times New Roman;serif"/>
          <w:b w:val="false"/>
          <w:sz w:val="22"/>
        </w:rPr>
        <w:t>means one or more Classes of Revolving Commitments hereunder or extended Revolving Commitments that result from a Refinancing Amendment or a Loan Modification Agreement.</w:t>
      </w:r>
    </w:p>
    <w:p>
      <w:pPr>
        <w:pStyle w:val="TextBody"/>
        <w:bidi w:val="0"/>
        <w:spacing w:before="0" w:after="240"/>
        <w:jc w:val="both"/>
        <w:rPr/>
      </w:pPr>
      <w:r>
        <w:rPr/>
        <w:t>“</w:t>
      </w:r>
      <w:r>
        <w:rPr>
          <w:rFonts w:ascii="Times New Roman;serif" w:hAnsi="Times New Roman;serif"/>
          <w:b w:val="false"/>
          <w:sz w:val="22"/>
          <w:u w:val="single"/>
        </w:rPr>
        <w:t>Other Revolving Loans</w:t>
      </w:r>
      <w:r>
        <w:rPr>
          <w:rFonts w:ascii="Times New Roman" w:hAnsi="Times New Roman"/>
          <w:sz w:val="20"/>
        </w:rPr>
        <w:t xml:space="preserve">” </w:t>
      </w:r>
      <w:r>
        <w:rPr>
          <w:rFonts w:ascii="Times New Roman;serif" w:hAnsi="Times New Roman;serif"/>
          <w:b w:val="false"/>
          <w:sz w:val="22"/>
        </w:rPr>
        <w:t>means one or more classes or Revolving Loans made pursuant to any Other Revolving Commitment or a Loan Modification Agreement.</w:t>
      </w:r>
    </w:p>
    <w:p>
      <w:pPr>
        <w:pStyle w:val="TextBody"/>
        <w:bidi w:val="0"/>
        <w:spacing w:before="0" w:after="240"/>
        <w:jc w:val="both"/>
        <w:rPr/>
      </w:pPr>
      <w:r>
        <w:rPr/>
        <w:t>“</w:t>
      </w:r>
      <w:r>
        <w:rPr>
          <w:rFonts w:ascii="Times New Roman;serif" w:hAnsi="Times New Roman;serif"/>
          <w:b w:val="false"/>
          <w:sz w:val="22"/>
          <w:u w:val="single"/>
        </w:rPr>
        <w:t>Other Taxes</w:t>
      </w:r>
      <w:r>
        <w:rPr>
          <w:rFonts w:ascii="Times New Roman" w:hAnsi="Times New Roman"/>
          <w:sz w:val="20"/>
        </w:rPr>
        <w:t xml:space="preserve">” </w:t>
      </w:r>
      <w:r>
        <w:rPr>
          <w:rFonts w:ascii="Times New Roman;serif" w:hAnsi="Times New Roman;serif"/>
          <w:b w:val="false"/>
          <w:sz w:val="22"/>
        </w:rPr>
        <w:t xml:space="preserve">means any and all present or future recording, stamp, documentary, excise, transfer, sales, property or similar Taxes, charges or levies arising from any payment made under any Loan Document or from the execution, delivery, performance, or enforcement of, or from the receipt or perfection of a security interest under, or otherwise with respect to, any Loan Document excluding, in each case, any Other Connection Taxes or U.K. stamp duty or stamp duty reserve tax imposed as a result of a Lender’s Assignment and Assumption, grant of a participation, transfer or assignment to or designation of a new applicable Lending Office or other office for receiving payments under any Loan Document (other than where any of the foregoing results from a request by the Borrowers under </w:t>
      </w:r>
      <w:r>
        <w:rPr>
          <w:rFonts w:ascii="Times New Roman;serif" w:hAnsi="Times New Roman;serif"/>
          <w:b w:val="false"/>
          <w:sz w:val="22"/>
          <w:u w:val="single"/>
        </w:rPr>
        <w:t>Section 2.1</w:t>
      </w:r>
      <w:r>
        <w:rPr>
          <w:rFonts w:ascii="Times New Roman;serif" w:hAnsi="Times New Roman;serif"/>
          <w:b w:val="false"/>
          <w:sz w:val="22"/>
        </w:rPr>
        <w:t xml:space="preserve">8 hereto), and VAT (which, if applicable, shall be dealt with in accordance with </w:t>
      </w:r>
      <w:r>
        <w:rPr>
          <w:rFonts w:ascii="Times New Roman;serif" w:hAnsi="Times New Roman;serif"/>
          <w:b w:val="false"/>
          <w:sz w:val="22"/>
          <w:u w:val="single"/>
        </w:rPr>
        <w:t>Section 2.16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Other Term Commitments</w:t>
      </w:r>
      <w:r>
        <w:rPr>
          <w:rFonts w:ascii="Times New Roman" w:hAnsi="Times New Roman"/>
          <w:sz w:val="20"/>
        </w:rPr>
        <w:t xml:space="preserve">” </w:t>
      </w:r>
      <w:r>
        <w:rPr>
          <w:rFonts w:ascii="Times New Roman;serif" w:hAnsi="Times New Roman;serif"/>
          <w:b w:val="false"/>
          <w:sz w:val="22"/>
        </w:rPr>
        <w:t>means one or more Classes of term loan commitments that result from a Refinancing Amendment or a Loan Modification Agreement.</w:t>
      </w:r>
    </w:p>
    <w:p>
      <w:pPr>
        <w:pStyle w:val="TextBody"/>
        <w:bidi w:val="0"/>
        <w:spacing w:before="0" w:after="240"/>
        <w:jc w:val="both"/>
        <w:rPr/>
      </w:pPr>
      <w:r>
        <w:rPr/>
        <w:t>“</w:t>
      </w:r>
      <w:r>
        <w:rPr>
          <w:rFonts w:ascii="Times New Roman;serif" w:hAnsi="Times New Roman;serif"/>
          <w:b w:val="false"/>
          <w:sz w:val="22"/>
          <w:u w:val="single"/>
        </w:rPr>
        <w:t>Other Term Loans</w:t>
      </w:r>
      <w:r>
        <w:rPr>
          <w:rFonts w:ascii="Times New Roman" w:hAnsi="Times New Roman"/>
          <w:sz w:val="20"/>
        </w:rPr>
        <w:t xml:space="preserve">” </w:t>
      </w:r>
      <w:r>
        <w:rPr>
          <w:rFonts w:ascii="Times New Roman;serif" w:hAnsi="Times New Roman;serif"/>
          <w:b w:val="false"/>
          <w:sz w:val="22"/>
        </w:rPr>
        <w:t>means one or more Classes of Term Loans hereunder that result from a Refinancing Amendment or a Loan Modification Agreement.</w:t>
      </w:r>
    </w:p>
    <w:p>
      <w:pPr>
        <w:pStyle w:val="TextBody"/>
        <w:bidi w:val="0"/>
        <w:spacing w:before="0" w:after="240"/>
        <w:jc w:val="both"/>
        <w:rPr/>
      </w:pPr>
      <w:r>
        <w:rPr/>
        <w:t>“</w:t>
      </w:r>
      <w:r>
        <w:rPr>
          <w:rFonts w:ascii="Times New Roman;serif" w:hAnsi="Times New Roman;serif"/>
          <w:b w:val="false"/>
          <w:sz w:val="22"/>
          <w:u w:val="single"/>
        </w:rPr>
        <w:t>Panel</w:t>
      </w:r>
      <w:r>
        <w:rPr>
          <w:rFonts w:ascii="Times New Roman" w:hAnsi="Times New Roman"/>
          <w:sz w:val="20"/>
        </w:rPr>
        <w:t xml:space="preserve">” </w:t>
      </w:r>
      <w:r>
        <w:rPr>
          <w:rFonts w:ascii="Times New Roman;serif" w:hAnsi="Times New Roman;serif"/>
          <w:b w:val="false"/>
          <w:sz w:val="22"/>
        </w:rPr>
        <w:t>means the Panel on Takeovers and Mergers.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Pari Passu Intercreditor Agreement</w:t>
      </w:r>
      <w:r>
        <w:rPr>
          <w:rFonts w:ascii="Times New Roman" w:hAnsi="Times New Roman"/>
          <w:sz w:val="20"/>
        </w:rPr>
        <w:t xml:space="preserve">” </w:t>
      </w:r>
      <w:r>
        <w:rPr>
          <w:rFonts w:ascii="Times New Roman;serif" w:hAnsi="Times New Roman;serif"/>
          <w:b w:val="false"/>
          <w:sz w:val="22"/>
        </w:rPr>
        <w:t xml:space="preserve">means the Pari Passu Intercreditor Agreement substantially in the form of </w:t>
      </w:r>
      <w:r>
        <w:rPr>
          <w:rFonts w:ascii="Times New Roman;serif" w:hAnsi="Times New Roman;serif"/>
          <w:b w:val="false"/>
          <w:sz w:val="22"/>
          <w:u w:val="single"/>
        </w:rPr>
        <w:t>Exhibit F</w:t>
      </w:r>
      <w:r>
        <w:rPr>
          <w:rFonts w:ascii="Times New Roman" w:hAnsi="Times New Roman"/>
          <w:sz w:val="20"/>
        </w:rPr>
        <w:t xml:space="preserve"> </w:t>
      </w:r>
      <w:r>
        <w:rPr>
          <w:rFonts w:ascii="Times New Roman;serif" w:hAnsi="Times New Roman;serif"/>
          <w:b w:val="false"/>
          <w:sz w:val="22"/>
        </w:rPr>
        <w:t xml:space="preserve">among the Administrative Agent and one or more Senior Representatives for holders of Indebtedness permitted by this Agreement to be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basis. On the Effective Date, the Administrative Agent entered into a Pari Passu Intercreditor Agreement with Wilmington Trust, National Association, as the Initial Additional Collateral Agent (as defined therein) and the Initial Additional Authorized Representative (as defined therein), and the other parties party thereto.</w:t>
      </w:r>
    </w:p>
    <w:p>
      <w:pPr>
        <w:pStyle w:val="TextBody"/>
        <w:bidi w:val="0"/>
        <w:spacing w:before="0" w:after="240"/>
        <w:jc w:val="both"/>
        <w:rPr/>
      </w:pPr>
      <w:r>
        <w:rPr/>
        <w:t>“</w:t>
      </w:r>
      <w:r>
        <w:rPr>
          <w:rFonts w:ascii="Times New Roman;serif" w:hAnsi="Times New Roman;serif"/>
          <w:b w:val="false"/>
          <w:sz w:val="22"/>
          <w:u w:val="single"/>
        </w:rPr>
        <w:t>Participant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9.04(c)(i)</w:t>
      </w:r>
      <w:r>
        <w:rPr>
          <w:rFonts w:ascii="Times New Roman" w:hAnsi="Times New Roman"/>
          <w:sz w:val="20"/>
        </w:rPr>
        <w:t xml:space="preserve"> </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Participant Register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9.04(c)(ii)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Participating Lender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Participating Member State</w:t>
      </w:r>
      <w:r>
        <w:rPr>
          <w:rFonts w:ascii="Times New Roman" w:hAnsi="Times New Roman"/>
          <w:sz w:val="20"/>
        </w:rPr>
        <w:t xml:space="preserve">” </w:t>
      </w:r>
      <w:r>
        <w:rPr>
          <w:rFonts w:ascii="Times New Roman;serif" w:hAnsi="Times New Roman;serif"/>
          <w:b w:val="false"/>
          <w:sz w:val="22"/>
        </w:rPr>
        <w:t>means each state so described in any EMU Legislation.</w:t>
      </w:r>
    </w:p>
    <w:p>
      <w:pPr>
        <w:pStyle w:val="TextBody"/>
        <w:bidi w:val="0"/>
        <w:spacing w:before="0" w:after="240"/>
        <w:jc w:val="both"/>
        <w:rPr/>
      </w:pPr>
      <w:r>
        <w:rPr/>
        <w:t>“</w:t>
      </w:r>
      <w:r>
        <w:rPr>
          <w:rFonts w:ascii="Times New Roman;serif" w:hAnsi="Times New Roman;serif"/>
          <w:b w:val="false"/>
          <w:sz w:val="22"/>
          <w:u w:val="single"/>
        </w:rPr>
        <w:t>PBGC</w:t>
      </w:r>
      <w:r>
        <w:rPr>
          <w:rFonts w:ascii="Times New Roman" w:hAnsi="Times New Roman"/>
          <w:sz w:val="20"/>
        </w:rPr>
        <w:t xml:space="preserve">” </w:t>
      </w:r>
      <w:r>
        <w:rPr>
          <w:rFonts w:ascii="Times New Roman;serif" w:hAnsi="Times New Roman;serif"/>
          <w:b w:val="false"/>
          <w:sz w:val="22"/>
        </w:rPr>
        <w:t>means the Pension Benefit Guaranty Corporation referred to and defined in ERISA and any successor entity performing similar functions.</w:t>
      </w:r>
    </w:p>
    <w:p>
      <w:pPr>
        <w:pStyle w:val="TextBody"/>
        <w:bidi w:val="0"/>
        <w:spacing w:before="0" w:after="240"/>
        <w:jc w:val="both"/>
        <w:rPr/>
      </w:pPr>
      <w:r>
        <w:rPr/>
        <w:t>“</w:t>
      </w:r>
      <w:r>
        <w:rPr>
          <w:rFonts w:ascii="Times New Roman;serif" w:hAnsi="Times New Roman;serif"/>
          <w:b w:val="false"/>
          <w:sz w:val="22"/>
          <w:u w:val="single"/>
        </w:rPr>
        <w:t>Perfection Certificate</w:t>
      </w:r>
      <w:r>
        <w:rPr>
          <w:rFonts w:ascii="Times New Roman" w:hAnsi="Times New Roman"/>
          <w:sz w:val="20"/>
        </w:rPr>
        <w:t xml:space="preserve">” </w:t>
      </w:r>
      <w:r>
        <w:rPr>
          <w:rFonts w:ascii="Times New Roman;serif" w:hAnsi="Times New Roman;serif"/>
          <w:b w:val="false"/>
          <w:sz w:val="22"/>
        </w:rPr>
        <w:t xml:space="preserve">means a certificate substantially in the form of </w:t>
      </w:r>
      <w:r>
        <w:rPr>
          <w:rFonts w:ascii="Times New Roman;serif" w:hAnsi="Times New Roman;serif"/>
          <w:b w:val="false"/>
          <w:sz w:val="22"/>
          <w:u w:val="single"/>
        </w:rPr>
        <w:t>Exhibit C</w:t>
      </w:r>
      <w:r>
        <w:rPr>
          <w:rFonts w:ascii="Times New Roman;serif" w:hAnsi="Times New Roman;serif"/>
          <w:b w:val="false"/>
          <w:sz w:val="22"/>
        </w:rPr>
        <w:t>.</w:t>
      </w:r>
    </w:p>
    <w:p>
      <w:pPr>
        <w:pStyle w:val="TextBody"/>
        <w:bidi w:val="0"/>
        <w:spacing w:before="0" w:after="240"/>
        <w:jc w:val="both"/>
        <w:rPr/>
      </w:pPr>
      <w:bookmarkStart w:id="454" w:name="docxtextref618"/>
      <w:bookmarkEnd w:id="454"/>
      <w:r>
        <w:rPr/>
        <w:t>“</w:t>
      </w:r>
      <w:r>
        <w:rPr>
          <w:rFonts w:ascii="Times New Roman;serif" w:hAnsi="Times New Roman;serif"/>
          <w:b w:val="false"/>
          <w:sz w:val="22"/>
          <w:u w:val="single"/>
        </w:rPr>
        <w:t>Permitted Acquisition</w:t>
      </w:r>
      <w:r>
        <w:rPr>
          <w:rFonts w:ascii="Times New Roman" w:hAnsi="Times New Roman"/>
          <w:sz w:val="20"/>
        </w:rPr>
        <w:t xml:space="preserve">” </w:t>
      </w:r>
      <w:r>
        <w:rPr>
          <w:rFonts w:ascii="Times New Roman;serif" w:hAnsi="Times New Roman;serif"/>
          <w:b w:val="false"/>
          <w:sz w:val="22"/>
        </w:rPr>
        <w:t>has the meaning assigned to such term in clause (3)</w:t>
      </w:r>
      <w:r>
        <w:rPr>
          <w:rFonts w:ascii="Times New Roman" w:hAnsi="Times New Roman"/>
          <w:sz w:val="20"/>
        </w:rPr>
        <w:t xml:space="preserve"> </w:t>
      </w:r>
      <w:r>
        <w:rPr>
          <w:rFonts w:ascii="Times New Roman;serif" w:hAnsi="Times New Roman;serif"/>
          <w:b w:val="false"/>
          <w:sz w:val="22"/>
        </w:rPr>
        <w:t>of the definition of “Permitted Investment”.</w:t>
      </w:r>
    </w:p>
    <w:p>
      <w:pPr>
        <w:pStyle w:val="TextBody"/>
        <w:bidi w:val="0"/>
        <w:spacing w:before="0" w:after="240"/>
        <w:jc w:val="both"/>
        <w:rPr/>
      </w:pPr>
      <w:bookmarkStart w:id="455" w:name="docxtextref620"/>
      <w:bookmarkEnd w:id="455"/>
      <w:r>
        <w:rPr/>
        <w:t>“</w:t>
      </w:r>
      <w:r>
        <w:rPr>
          <w:rFonts w:ascii="Times New Roman;serif" w:hAnsi="Times New Roman;serif"/>
          <w:b w:val="false"/>
          <w:sz w:val="22"/>
          <w:u w:val="single"/>
        </w:rPr>
        <w:t>Permitted Amendment</w:t>
      </w:r>
      <w:r>
        <w:rPr>
          <w:rFonts w:ascii="Times New Roman" w:hAnsi="Times New Roman"/>
          <w:sz w:val="20"/>
        </w:rPr>
        <w:t xml:space="preserve">” </w:t>
      </w:r>
      <w:r>
        <w:rPr>
          <w:rFonts w:ascii="Times New Roman;serif" w:hAnsi="Times New Roman;serif"/>
          <w:b w:val="false"/>
          <w:sz w:val="22"/>
        </w:rPr>
        <w:t xml:space="preserve">means an amendment to this Agreement and, if applicable the other Loan Documents, effected in connection with a Loan Modification Offer pursuant to </w:t>
      </w:r>
      <w:r>
        <w:rPr>
          <w:rFonts w:ascii="Times New Roman;serif" w:hAnsi="Times New Roman;serif"/>
          <w:b w:val="false"/>
          <w:sz w:val="22"/>
          <w:u w:val="single"/>
        </w:rPr>
        <w:t>Section 2.23</w:t>
      </w:r>
      <w:r>
        <w:rPr>
          <w:rFonts w:ascii="Times New Roman;serif" w:hAnsi="Times New Roman;serif"/>
          <w:b w:val="false"/>
          <w:sz w:val="22"/>
        </w:rPr>
        <w:t>, providing for an extension of a maturity date applicable to the Loans and/or Commitments of the Accepting Lenders and, in connection therewith, (a)</w:t>
      </w:r>
      <w:r>
        <w:rPr>
          <w:rFonts w:ascii="Times New Roman" w:hAnsi="Times New Roman"/>
          <w:sz w:val="20"/>
        </w:rPr>
        <w:t xml:space="preserve"> </w:t>
      </w:r>
      <w:r>
        <w:rPr>
          <w:rFonts w:ascii="Times New Roman;serif" w:hAnsi="Times New Roman;serif"/>
          <w:b w:val="false"/>
          <w:sz w:val="22"/>
        </w:rPr>
        <w:t xml:space="preserve">a change in the Applicable Rate with respect to the Loans and/or Commitments of the Accepting Lenders and/or </w:t>
      </w:r>
      <w:bookmarkStart w:id="456" w:name="docxtextref621"/>
      <w:bookmarkEnd w:id="45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 change in the fees payable to, or the inclusion of new fees to be payable to, the Accepting Lenders and/or </w:t>
      </w:r>
      <w:bookmarkStart w:id="457" w:name="docxtextref622"/>
      <w:bookmarkEnd w:id="45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Administrative Agent or any of the Lenders if such covenant, event of default, guarantee or other provision is either </w:t>
      </w:r>
      <w:bookmarkStart w:id="458" w:name="docxtextref623"/>
      <w:bookmarkEnd w:id="45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also added or modified for the benefit of any corresponding Loans remaining outstanding after the issuance or incurrence of such Loans and/or Commitments, (ii) with respect to any financial maintenance covenant or other covenant only applicable to, or for the benefit of, a revolving credit facility, also added for the benefit of each revolving credit facility hereunder (and not for the benefit of any term loan facility hereunder) or (iii) only applicable after the Latest Maturity Date at the time of such Loan Modification Offer);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notwithstanding anything to the contrary, such Loans and/or Commitments, as applicable, shall not be subject to any “most favored nation” pricing adjustments set forth in this Agreement.</w:t>
      </w:r>
    </w:p>
    <w:p>
      <w:pPr>
        <w:pStyle w:val="TextBody"/>
        <w:bidi w:val="0"/>
        <w:spacing w:before="0" w:after="240"/>
        <w:jc w:val="both"/>
        <w:rPr/>
      </w:pPr>
      <w:r>
        <w:rPr/>
        <w:t>“</w:t>
      </w:r>
      <w:r>
        <w:rPr>
          <w:rFonts w:ascii="Times New Roman;serif" w:hAnsi="Times New Roman;serif"/>
          <w:b w:val="false"/>
          <w:sz w:val="22"/>
          <w:u w:val="single"/>
        </w:rPr>
        <w:t>Permitted Asset Swap</w:t>
      </w:r>
      <w:r>
        <w:rPr>
          <w:rFonts w:ascii="Times New Roman" w:hAnsi="Times New Roman"/>
          <w:sz w:val="20"/>
        </w:rPr>
        <w:t xml:space="preserve">” </w:t>
      </w:r>
      <w:r>
        <w:rPr>
          <w:rFonts w:ascii="Times New Roman;serif" w:hAnsi="Times New Roman;serif"/>
          <w:b w:val="false"/>
          <w:sz w:val="22"/>
        </w:rPr>
        <w:t xml:space="preserve">means the concurrent purchase and sale or exchange of assets used or useful in a Similar Business or a combination of such assets and cash or Cash Equivalents between Bidco or any of its Restricted Subsidiaries and another Person;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any cash or Cash Equivalents received in excess of the value of any cash or Cash Equivalents sold or exchanged must be applied in accordance with </w:t>
      </w:r>
      <w:r>
        <w:rPr>
          <w:rFonts w:ascii="Times New Roman;serif" w:hAnsi="Times New Roman;serif"/>
          <w:b w:val="false"/>
          <w:sz w:val="22"/>
          <w:u w:val="single"/>
        </w:rPr>
        <w:t>Section 6.04</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pPr>
      <w:bookmarkStart w:id="459" w:name="docxtextref625"/>
      <w:bookmarkEnd w:id="459"/>
      <w:r>
        <w:rPr/>
        <w:t>“</w:t>
      </w:r>
      <w:r>
        <w:rPr>
          <w:rFonts w:ascii="Times New Roman;serif" w:hAnsi="Times New Roman;serif"/>
          <w:b w:val="false"/>
          <w:sz w:val="22"/>
          <w:u w:val="single"/>
        </w:rPr>
        <w:t>Permitted Holders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Investors, </w:t>
      </w:r>
      <w:bookmarkStart w:id="460" w:name="docxtextref626"/>
      <w:bookmarkEnd w:id="46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Management Investors, </w:t>
      </w:r>
      <w:bookmarkStart w:id="461" w:name="docxtextref627"/>
      <w:bookmarkEnd w:id="46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any Person who is acting solely as an underwriter in connection with a public or private offering of Equity Interests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462" w:name="docxtextref628"/>
      <w:bookmarkEnd w:id="462"/>
      <w:r>
        <w:rPr>
          <w:rFonts w:ascii="Times New Roman;serif" w:hAnsi="Times New Roman;serif"/>
          <w:b w:val="false"/>
          <w:sz w:val="22"/>
        </w:rPr>
        <w:t>any parent entity of Bidco or Bidco, acting in such capacity, (d)</w:t>
      </w:r>
      <w:r>
        <w:rPr>
          <w:rFonts w:ascii="Times New Roman" w:hAnsi="Times New Roman"/>
          <w:sz w:val="20"/>
        </w:rPr>
        <w:t xml:space="preserve"> </w:t>
      </w:r>
      <w:r>
        <w:rPr>
          <w:rFonts w:ascii="Times New Roman;serif" w:hAnsi="Times New Roman;serif"/>
          <w:b w:val="false"/>
          <w:sz w:val="22"/>
        </w:rPr>
        <w:t xml:space="preserve">any group (within the meaning of Section 13(d)(3) or Section 14(d)(2) of the Exchange Act or any successor provision) of which any of the foregoing are members if a majority of the Equity Interests owned by the group is owned by Permitted Holders under clause (a) or </w:t>
      </w:r>
      <w:bookmarkStart w:id="463" w:name="docxtextref629"/>
      <w:bookmarkEnd w:id="46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above and </w:t>
      </w:r>
      <w:bookmarkStart w:id="464" w:name="docxtextref630"/>
      <w:bookmarkEnd w:id="464"/>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any Permitted Parent.</w:t>
      </w:r>
    </w:p>
    <w:p>
      <w:pPr>
        <w:pStyle w:val="TextBody"/>
        <w:bidi w:val="0"/>
        <w:spacing w:before="0" w:after="240"/>
        <w:jc w:val="both"/>
        <w:rPr/>
      </w:pPr>
      <w:bookmarkStart w:id="465" w:name="docxtextref631"/>
      <w:bookmarkEnd w:id="465"/>
      <w:r>
        <w:rPr/>
        <w:t>“</w:t>
      </w:r>
      <w:r>
        <w:rPr>
          <w:rFonts w:ascii="Times New Roman;serif" w:hAnsi="Times New Roman;serif"/>
          <w:b w:val="false"/>
          <w:sz w:val="22"/>
          <w:u w:val="single"/>
        </w:rPr>
        <w:t>Permitted Intercompany Activities</w:t>
      </w:r>
      <w:r>
        <w:rPr>
          <w:rFonts w:ascii="Times New Roman" w:hAnsi="Times New Roman"/>
          <w:sz w:val="20"/>
        </w:rPr>
        <w:t xml:space="preserve">” </w:t>
      </w:r>
      <w:r>
        <w:rPr>
          <w:rFonts w:ascii="Times New Roman;serif" w:hAnsi="Times New Roman;serif"/>
          <w:b w:val="false"/>
          <w:sz w:val="22"/>
        </w:rPr>
        <w:t>means any transactions (A)</w:t>
      </w:r>
      <w:r>
        <w:rPr>
          <w:rFonts w:ascii="Times New Roman" w:hAnsi="Times New Roman"/>
          <w:sz w:val="20"/>
        </w:rPr>
        <w:t xml:space="preserve"> </w:t>
      </w:r>
      <w:r>
        <w:rPr>
          <w:rFonts w:ascii="Times New Roman;serif" w:hAnsi="Times New Roman;serif"/>
          <w:b w:val="false"/>
          <w:sz w:val="22"/>
        </w:rPr>
        <w:t xml:space="preserve">between or among Bidco and its Restricted Subsidiaries that are entered into in connection with the Transactions and/or in the ordinary course of business or consistent with past practice of Bidco and its Restricted Subsidiaries and, in the reasonable determination of Bidco are necessary or advisable in connection with the ownership or operation of the business of Bidco and its Restricted Subsidiaries, including </w:t>
      </w:r>
      <w:bookmarkStart w:id="466" w:name="docxtextref632"/>
      <w:bookmarkEnd w:id="46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payroll, cash management, purchasing, insurance and hedging arrangements; (ii) management, technology and licensing arrangements; and (iii) customary loyalty and rewards programs; and </w:t>
      </w:r>
      <w:bookmarkStart w:id="467" w:name="docxtextref633"/>
      <w:bookmarkEnd w:id="46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between or among Bidco and its Restricted Subsidiaries.</w:t>
      </w:r>
    </w:p>
    <w:p>
      <w:pPr>
        <w:pStyle w:val="TextBody"/>
        <w:bidi w:val="0"/>
        <w:spacing w:before="0" w:after="240"/>
        <w:jc w:val="both"/>
        <w:rPr/>
      </w:pPr>
      <w:r>
        <w:rPr/>
        <w:t>“</w:t>
      </w:r>
      <w:r>
        <w:rPr>
          <w:rFonts w:ascii="Times New Roman;serif" w:hAnsi="Times New Roman;serif"/>
          <w:b w:val="false"/>
          <w:sz w:val="22"/>
          <w:u w:val="single"/>
        </w:rPr>
        <w:t>Permitted Investments</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any Investment in Bidco or any of its Restricted Subsidiaries; provided that Investments by any Loan Party in any Restricted Subsidiary that is not a Loan Party made pursuant to this clause (1), taken together with all other Investments by any Loan Party in any Restricted Subsidiary that is not a Loan Party made pursuant to this clause (1) and clause (3) below, that are at that time outstanding, shall not exceed $300,000,000 (with the Fair Market Value of each Investment being measured at the time made and without giving effect to subsequent changes in value);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any Investment in cash and Cash Equivalents or Investment Grade Securities;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(3) any Investment in a Person (including to the extent constituting an Investment, in assets of a Person that represent substantially all of its assets or a division, business unit or product line or line of business, including research and development and related assets in respect of any product);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as a result of such Investment (a “</w:t>
      </w:r>
      <w:r>
        <w:rPr>
          <w:rFonts w:ascii="Times New Roman;serif" w:hAnsi="Times New Roman;serif"/>
          <w:b w:val="false"/>
          <w:sz w:val="22"/>
          <w:u w:val="single"/>
        </w:rPr>
        <w:t>Permitted Acquisition</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such Person, upon the consummation of such purchase or acquisition, will be a Restricted Subsidiary (including as a result of a merger, amalgamation or consolidation between any Subsidiary and such Person);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Bidco or a Restricted Subsidiary,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and, in each case, any Investment held by such Person;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Investment was not acquired by such Person in contemplation of such acquisition, merger, amalgamation, consolidation or transfer;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xml:space="preserve">, that the actions set forth in the definition of the term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designated as an Unrestricted Subsidiary pursuant to </w:t>
      </w:r>
      <w:r>
        <w:rPr>
          <w:rFonts w:ascii="Times New Roman;serif" w:hAnsi="Times New Roman;serif"/>
          <w:b w:val="false"/>
          <w:sz w:val="22"/>
          <w:u w:val="single"/>
        </w:rPr>
        <w:t>Section 5.13</w:t>
      </w:r>
      <w:r>
        <w:rPr>
          <w:rFonts w:ascii="Times New Roman" w:hAnsi="Times New Roman"/>
          <w:sz w:val="20"/>
        </w:rPr>
        <w:t xml:space="preserve"> </w:t>
      </w:r>
      <w:r>
        <w:rPr>
          <w:rFonts w:ascii="Times New Roman;serif" w:hAnsi="Times New Roman;serif"/>
          <w:b w:val="false"/>
          <w:sz w:val="22"/>
        </w:rPr>
        <w:t xml:space="preserve">or is otherwise an Excluded Subsidiary);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Investments by any Loan Party in any Restricted Subsidiary that is not a Loan Party made pursuant to this clause (3), taken together with all other Investments by any Loan Party in any Restricted Subsidiary that is not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Loan Party made pursuant to this clause (3) and clause (1) above, that are at that time outstanding, shall not exceed $300,000,000 (with the Fair Market Value of each Investment being measured at the time made and without giving effect to subsequent changes in value);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(4) any Investment in securities, promissory notes or other assets not constituting cash, Cash Equivalents or Investment Grade Securities and received in connection with an Asset Sale made pursuant to the provisions of </w:t>
      </w:r>
      <w:r>
        <w:rPr>
          <w:rFonts w:ascii="Times New Roman;serif" w:hAnsi="Times New Roman;serif"/>
          <w:b w:val="false"/>
          <w:sz w:val="22"/>
          <w:u w:val="single"/>
        </w:rPr>
        <w:t>Section 6.04</w:t>
      </w:r>
      <w:r>
        <w:rPr>
          <w:rFonts w:ascii="Times New Roman" w:hAnsi="Times New Roman"/>
          <w:sz w:val="20"/>
        </w:rPr>
        <w:t xml:space="preserve"> </w:t>
      </w:r>
      <w:r>
        <w:rPr>
          <w:rFonts w:ascii="Times New Roman;serif" w:hAnsi="Times New Roman;serif"/>
          <w:b w:val="false"/>
          <w:sz w:val="22"/>
        </w:rPr>
        <w:t>hereof or any other disposition of assets not constituting an Asset Sale;</w:t>
      </w:r>
    </w:p>
    <w:p>
      <w:pPr>
        <w:pStyle w:val="TextBody"/>
        <w:bidi w:val="0"/>
        <w:spacing w:before="0" w:after="240"/>
        <w:jc w:val="both"/>
        <w:rPr>
          <w:rFonts w:ascii="Times New Roman" w:hAnsi="Times New Roman"/>
          <w:sz w:val="20"/>
        </w:rPr>
      </w:pPr>
      <w:bookmarkStart w:id="468" w:name="docxtextref636"/>
      <w:bookmarkEnd w:id="468"/>
      <w:r>
        <w:rPr>
          <w:rFonts w:ascii="Times New Roman;serif" w:hAnsi="Times New Roman;serif"/>
          <w:b w:val="false"/>
          <w:sz w:val="22"/>
        </w:rPr>
        <w:t>(5) (a)</w:t>
      </w:r>
      <w:r>
        <w:rPr>
          <w:rFonts w:ascii="Times New Roman" w:hAnsi="Times New Roman"/>
          <w:sz w:val="20"/>
        </w:rPr>
        <w:t xml:space="preserve"> </w:t>
      </w:r>
      <w:r>
        <w:rPr>
          <w:rFonts w:ascii="Times New Roman;serif" w:hAnsi="Times New Roman;serif"/>
          <w:b w:val="false"/>
          <w:sz w:val="22"/>
        </w:rPr>
        <w:t xml:space="preserve">any Investment existing or made pursuant to binding commitments in effect on the Effective Date or an Investment consisting of any extension, modification or renewal of any such Investment and </w:t>
      </w:r>
      <w:bookmarkStart w:id="469" w:name="docxtextref637"/>
      <w:bookmarkEnd w:id="46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Investment existing on the Effective Date by any Borrower or any Restricted Subsidiary in any Borrower or any Restricted Subsidiary or an Investment consisting of any extension, modification or renewal of any such Investment;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amount of any such Investment may be increased in such extension, modification or renewal only </w:t>
      </w:r>
      <w:bookmarkStart w:id="470" w:name="docxtextref638"/>
      <w:bookmarkEnd w:id="470"/>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as required by the terms of such Investment or binding commitment as in existence on the Effective Date (including as a result of the accrual or accretion of interest or original issue discount or the issuance of pay</w:t>
        <w:noBreakHyphen/>
        <w:t>in</w:t>
        <w:noBreakHyphen/>
        <w:t>kind securities and premium payable by the terms of such Investment thereon and fees and expenses associated therewith as of the Effective Date) or (ii) as otherwise permitted under this Agreement;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(6) any Investment (including debt obligations and Equity Interests) acquired by Bidco or any of its Restricted Subsidiaries: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consisting of extensions of trade credit and accommodation guarantees in the ordinary course of business including extensions of credit in the nature of accounts receivable or notes receivable arising from the grant of trade credit;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in exchange for any other Investment or accounts receivable held by Bidco or any such Restricted Subsidiary in connection with or as a result of a bankruptcy, workout, reorganization or recapitalization of the issuer of such other Investment or accounts receivable (including any trade creditor or customer);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in satisfaction of judgments against other Persons;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as a result of a foreclosure by Bidco or any of its Restricted Subsidiaries with respect to any secured Investment or other transfer of title with respect to any secured Investment in default;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(7) Hedging Obligations incurred in the ordinary course of business and not for speculative purposes;</w:t>
      </w:r>
    </w:p>
    <w:p>
      <w:pPr>
        <w:pStyle w:val="TextBody"/>
        <w:bidi w:val="0"/>
        <w:spacing w:before="0" w:after="240"/>
        <w:jc w:val="both"/>
        <w:rPr>
          <w:rFonts w:ascii="Times New Roman" w:hAnsi="Times New Roman"/>
          <w:sz w:val="20"/>
        </w:rPr>
      </w:pPr>
      <w:bookmarkStart w:id="471" w:name="docxtextref639"/>
      <w:bookmarkEnd w:id="471"/>
      <w:r>
        <w:rPr>
          <w:rFonts w:ascii="Times New Roman;serif" w:hAnsi="Times New Roman;serif"/>
          <w:b w:val="false"/>
          <w:sz w:val="22"/>
        </w:rPr>
        <w:t>(8) any Investment in a Similar Business having an aggregate Fair Market Value, taken together with all other Investments made pursuant to this clause (8)</w:t>
      </w:r>
      <w:r>
        <w:rPr>
          <w:rFonts w:ascii="Times New Roman" w:hAnsi="Times New Roman"/>
          <w:sz w:val="20"/>
        </w:rPr>
        <w:t xml:space="preserve"> </w:t>
      </w:r>
      <w:r>
        <w:rPr>
          <w:rFonts w:ascii="Times New Roman;serif" w:hAnsi="Times New Roman;serif"/>
          <w:b w:val="false"/>
          <w:sz w:val="22"/>
        </w:rPr>
        <w:t>that are at that time outstanding, not to exceed the greater of $187,500,000 and 25% of Consolidated EBITDA for the most recently ended Test Period, calculated on a Pro Forma Basis, at the time of such Investment (with the Fair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Market Value of each Investment being measured at the time made and without giving effect to subsequent changes in value);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(9) Investments and other acquisitions the payment for which consists of Equity Interests (other than Disqualified Equity Interests) of Bidco, any of its direct or indirect parent companies or the IPO Entity or any Unrestricted Subsidiary;</w:t>
      </w:r>
    </w:p>
    <w:p>
      <w:pPr>
        <w:pStyle w:val="TextBody"/>
        <w:bidi w:val="0"/>
        <w:spacing w:before="0" w:after="240"/>
        <w:jc w:val="both"/>
        <w:rPr>
          <w:rFonts w:ascii="Times New Roman" w:hAnsi="Times New Roman"/>
          <w:sz w:val="20"/>
        </w:rPr>
      </w:pPr>
      <w:bookmarkStart w:id="472" w:name="docxtextref644"/>
      <w:bookmarkEnd w:id="472"/>
      <w:r>
        <w:rPr>
          <w:rFonts w:ascii="Times New Roman;serif" w:hAnsi="Times New Roman;serif"/>
          <w:b w:val="false"/>
          <w:sz w:val="22"/>
        </w:rPr>
        <w:t>(10) (i)</w:t>
      </w:r>
      <w:r>
        <w:rPr>
          <w:rFonts w:ascii="Times New Roman" w:hAnsi="Times New Roman"/>
          <w:sz w:val="20"/>
        </w:rPr>
        <w:t xml:space="preserve"> </w:t>
      </w:r>
      <w:r>
        <w:rPr>
          <w:rFonts w:ascii="Times New Roman;serif" w:hAnsi="Times New Roman;serif"/>
          <w:b w:val="false"/>
          <w:sz w:val="22"/>
        </w:rPr>
        <w:t xml:space="preserve">Indebtedness and guarantees of Indebtedness permitted under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hereof; the creation of Liens on the assets of Bidco or any Restricted Subsidiary in compliance with </w:t>
      </w:r>
      <w:r>
        <w:rPr>
          <w:rFonts w:ascii="Times New Roman;serif" w:hAnsi="Times New Roman;serif"/>
          <w:b w:val="false"/>
          <w:sz w:val="22"/>
          <w:u w:val="single"/>
        </w:rPr>
        <w:t>Section 6.02</w:t>
      </w:r>
      <w:r>
        <w:rPr>
          <w:rFonts w:ascii="Times New Roman" w:hAnsi="Times New Roman"/>
          <w:sz w:val="20"/>
        </w:rPr>
        <w:t xml:space="preserve"> </w:t>
      </w:r>
      <w:r>
        <w:rPr>
          <w:rFonts w:ascii="Times New Roman;serif" w:hAnsi="Times New Roman;serif"/>
          <w:b w:val="false"/>
          <w:sz w:val="22"/>
        </w:rPr>
        <w:t xml:space="preserve">and Restricted Payments permitted under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(other than by reference to this clause </w:t>
      </w:r>
      <w:bookmarkStart w:id="473" w:name="docxtextref643"/>
      <w:bookmarkEnd w:id="473"/>
      <w:r>
        <w:rPr>
          <w:rFonts w:ascii="Times New Roman;serif" w:hAnsi="Times New Roman;serif"/>
          <w:b w:val="false"/>
          <w:sz w:val="22"/>
        </w:rPr>
        <w:t>(10)) and (ii) performance guarantees and Contingent Obligations with respect to obligations that are not prohibited by the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(11) any transaction to the extent it constitutes an Investment that is permitted by and made in accordance with the provisions of </w:t>
      </w:r>
      <w:r>
        <w:rPr>
          <w:rFonts w:ascii="Times New Roman;serif" w:hAnsi="Times New Roman;serif"/>
          <w:b w:val="false"/>
          <w:sz w:val="22"/>
          <w:u w:val="single"/>
        </w:rPr>
        <w:t>Section 5.17</w:t>
      </w:r>
      <w:r>
        <w:rPr>
          <w:rFonts w:ascii="Times New Roman" w:hAnsi="Times New Roman"/>
          <w:sz w:val="20"/>
        </w:rPr>
        <w:t xml:space="preserve"> </w:t>
      </w:r>
      <w:r>
        <w:rPr>
          <w:rFonts w:ascii="Times New Roman;serif" w:hAnsi="Times New Roman;serif"/>
          <w:b w:val="false"/>
          <w:sz w:val="22"/>
        </w:rPr>
        <w:t xml:space="preserve">hereof (except transactions described in clause (xiv)(B) of </w:t>
      </w:r>
      <w:r>
        <w:rPr>
          <w:rFonts w:ascii="Times New Roman;serif" w:hAnsi="Times New Roman;serif"/>
          <w:b w:val="false"/>
          <w:sz w:val="22"/>
          <w:u w:val="single"/>
        </w:rPr>
        <w:t>Section 5.17</w:t>
      </w:r>
      <w:r>
        <w:rPr>
          <w:rFonts w:ascii="Times New Roman" w:hAnsi="Times New Roman"/>
          <w:sz w:val="20"/>
        </w:rPr>
        <w:t xml:space="preserve"> </w:t>
      </w:r>
      <w:r>
        <w:rPr>
          <w:rFonts w:ascii="Times New Roman;serif" w:hAnsi="Times New Roman;serif"/>
          <w:b w:val="false"/>
          <w:sz w:val="22"/>
        </w:rPr>
        <w:t xml:space="preserve">hereof) or </w:t>
      </w:r>
      <w:r>
        <w:rPr>
          <w:rFonts w:ascii="Times New Roman;serif" w:hAnsi="Times New Roman;serif"/>
          <w:b w:val="false"/>
          <w:sz w:val="22"/>
          <w:u w:val="single"/>
        </w:rPr>
        <w:t>Section 6.03</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(12) to the extent that they constitute Investments, purchases and acquisitions of inventory, supplies, materials or equipment or purchases, acquisitions, licenses or leases of other assets, intellectual property, receivables owing to Bidco or any Restricted Subsidiary or other rights, in each case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(13) (i) to the extent constituting Investments, any payments (including for capital expenditures) under any Satellite Purchase Agreement or any other contracts for the construction, procurement, launch, or insurance of any new Satellites and (ii) Investments in any Subsidiary or joint venture formed for the purpose of selling or leasing Satellite capacity to third-party customers in the ordinary course of business;</w:t>
      </w:r>
    </w:p>
    <w:p>
      <w:pPr>
        <w:pStyle w:val="TextBody"/>
        <w:bidi w:val="0"/>
        <w:spacing w:before="0" w:after="240"/>
        <w:jc w:val="both"/>
        <w:rPr>
          <w:rFonts w:ascii="Times New Roman" w:hAnsi="Times New Roman"/>
          <w:sz w:val="20"/>
        </w:rPr>
      </w:pPr>
      <w:bookmarkStart w:id="474" w:name="docxtextref649"/>
      <w:bookmarkEnd w:id="474"/>
      <w:r>
        <w:rPr>
          <w:rFonts w:ascii="Times New Roman;serif" w:hAnsi="Times New Roman;serif"/>
          <w:b w:val="false"/>
          <w:sz w:val="22"/>
        </w:rPr>
        <w:t>(14) additional Investments having an aggregate Fair Market Value, taken together with all other Investments made pursuant to this clause (14)</w:t>
      </w:r>
      <w:r>
        <w:rPr>
          <w:rFonts w:ascii="Times New Roman" w:hAnsi="Times New Roman"/>
          <w:sz w:val="20"/>
        </w:rPr>
        <w:t xml:space="preserve"> </w:t>
      </w:r>
      <w:r>
        <w:rPr>
          <w:rFonts w:ascii="Times New Roman;serif" w:hAnsi="Times New Roman;serif"/>
          <w:b w:val="false"/>
          <w:sz w:val="22"/>
        </w:rPr>
        <w:t xml:space="preserve">that are at that time outstanding (without giving effect to the sale of an Unrestricted Subsidiary to the extent the proceeds of such sale do not consist of cash or have not been subsequently sold or transferred for cash or marketable securities), not to exceed the sum of </w:t>
      </w:r>
      <w:bookmarkStart w:id="475" w:name="docxtextref651"/>
      <w:bookmarkEnd w:id="475"/>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greater of $450,000,000 and 60% of Consolidated EBITDA for the most recently ended Test Period, calculated on a Pro Forma Basis, at the time of such Investment, </w:t>
      </w:r>
      <w:bookmarkStart w:id="476" w:name="docxtextref652"/>
      <w:bookmarkEnd w:id="47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Available Restricted Payments Amount and </w:t>
      </w:r>
      <w:bookmarkStart w:id="477" w:name="docxtextref653"/>
      <w:bookmarkEnd w:id="47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Available Restricted Debt Payments Amount, plus the amount of any returns (including dividends, payments, interest, distributions, returns of principal, profits on sale, repayments, income and similar amounts) in respect of such Investments (without duplication for purposes of the covenant described in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of any amounts applied pursuant to clause </w:t>
      </w:r>
      <w:bookmarkStart w:id="478" w:name="docxtextref650"/>
      <w:bookmarkEnd w:id="478"/>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of the first paragraph of such covenant) (with the Fair Market Value of each Investment being measured at the time made and without giving effect to subsequent changes in value);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(15) Investments relating to a Receivables Subsidiary that, in the good faith determination of Bidco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Facility or any related Indebtedness;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(16) advances to, or guarantees of Indebtedness of, employees not in excess of the greater of $75,000,000 and 10% of Consolidated EBITDA for the most recently ended Test Period, calculated on a Pro Forma Basis, outstanding at any one time, in the aggregate;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479" w:name="docxtextref654"/>
      <w:bookmarkEnd w:id="479"/>
      <w:r>
        <w:rPr>
          <w:rFonts w:ascii="Times New Roman;serif" w:hAnsi="Times New Roman;serif"/>
          <w:b w:val="false"/>
          <w:sz w:val="22"/>
        </w:rPr>
        <w:t>(17) (x)</w:t>
      </w:r>
      <w:r>
        <w:rPr>
          <w:rFonts w:ascii="Times New Roman" w:hAnsi="Times New Roman"/>
          <w:sz w:val="20"/>
        </w:rPr>
        <w:t xml:space="preserve"> </w:t>
      </w:r>
      <w:r>
        <w:rPr>
          <w:rFonts w:ascii="Times New Roman;serif" w:hAnsi="Times New Roman;serif"/>
          <w:b w:val="false"/>
          <w:sz w:val="22"/>
        </w:rPr>
        <w:t xml:space="preserve">loans and advances to officers, members of the board of directors and employees of direct and indirect parent companies of Bidco, Bidco and its Restricted Subsidiaries </w:t>
      </w:r>
      <w:bookmarkStart w:id="480" w:name="docxtextref655"/>
      <w:bookmarkEnd w:id="480"/>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for business-related travel expenses, entertainment, moving expenses and other similar expenses, for ordinary business purposes, (ii) to fund such Person’s purchase of Equity Interests of Bidco or any direct or indirect parent company thereof and (iii) for payroll payments and </w:t>
      </w:r>
      <w:bookmarkStart w:id="481" w:name="docxtextref656"/>
      <w:bookmarkEnd w:id="481"/>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Investments in the form of Recruitment Notes and other recruiting costs to certain employees or financial advisors in the ordinary course of business;</w:t>
      </w:r>
    </w:p>
    <w:p>
      <w:pPr>
        <w:pStyle w:val="TextBody"/>
        <w:bidi w:val="0"/>
        <w:spacing w:before="0" w:after="240"/>
        <w:jc w:val="both"/>
        <w:rPr>
          <w:rFonts w:ascii="Times New Roman" w:hAnsi="Times New Roman"/>
          <w:sz w:val="20"/>
        </w:rPr>
      </w:pPr>
      <w:bookmarkStart w:id="482" w:name="docxtextref658"/>
      <w:bookmarkEnd w:id="482"/>
      <w:r>
        <w:rPr>
          <w:rFonts w:ascii="Times New Roman;serif" w:hAnsi="Times New Roman;serif"/>
          <w:b w:val="false"/>
          <w:sz w:val="22"/>
        </w:rPr>
        <w:t>(18) Investments in joint ventures and similar entities and Unrestricted Subsidiaries having an aggregate Fair Market Value, taken together with all other Investments made pursuant to this clause (18)</w:t>
      </w:r>
      <w:r>
        <w:rPr>
          <w:rFonts w:ascii="Times New Roman" w:hAnsi="Times New Roman"/>
          <w:sz w:val="20"/>
        </w:rPr>
        <w:t xml:space="preserve"> </w:t>
      </w:r>
      <w:r>
        <w:rPr>
          <w:rFonts w:ascii="Times New Roman;serif" w:hAnsi="Times New Roman;serif"/>
          <w:b w:val="false"/>
          <w:sz w:val="22"/>
        </w:rPr>
        <w:t xml:space="preserve">that are at the time outstanding, without giving effect to the sale of an Unrestricted Subsidiary to the extent the proceeds of such sale do not consist of cash or marketable securities, not to exceed the greater of $187,500,000 and 25% of Consolidated EBITDA for the most recently ended Test Period, calculated on a Pro Forma Basis, at the time of such Investment, plus the amount of any returns (including dividends, payments, interest, distributions, returns of principal, profits on sale, repayments, income and similar amounts) in respect of such Investments (without duplication for purposes of the covenant described in the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of any amounts applied pursuant to clause </w:t>
      </w:r>
      <w:bookmarkStart w:id="483" w:name="docxtextref659"/>
      <w:bookmarkEnd w:id="483"/>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of the first paragraph of such covenant) (with the Fair Market Value of each Investment being measured at the time made and without giving effect to subsequent changes in value);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(19) contributions to a “rabbi” trust for the benefit of employees, directors, consultants, independent contractors or other service providers or other grantor trust subject to claims of creditors in the case of a bankruptcy of Bidco;</w:t>
      </w:r>
    </w:p>
    <w:p>
      <w:pPr>
        <w:pStyle w:val="TextBody"/>
        <w:bidi w:val="0"/>
        <w:spacing w:before="0" w:after="240"/>
        <w:jc w:val="both"/>
        <w:rPr>
          <w:rFonts w:ascii="Times New Roman" w:hAnsi="Times New Roman"/>
          <w:sz w:val="20"/>
        </w:rPr>
      </w:pPr>
      <w:bookmarkStart w:id="484" w:name="docxtextref661"/>
      <w:bookmarkEnd w:id="484"/>
      <w:r>
        <w:rPr>
          <w:rFonts w:ascii="Times New Roman;serif" w:hAnsi="Times New Roman;serif"/>
          <w:b w:val="false"/>
          <w:sz w:val="22"/>
        </w:rPr>
        <w:t>(20) any other Investment (other than Investments in Unrestricted Subsidiaries); provided that (a)</w:t>
      </w:r>
      <w:r>
        <w:rPr>
          <w:rFonts w:ascii="Times New Roman" w:hAnsi="Times New Roman"/>
          <w:sz w:val="20"/>
        </w:rPr>
        <w:t xml:space="preserve"> </w:t>
      </w:r>
      <w:r>
        <w:rPr>
          <w:rFonts w:ascii="Times New Roman;serif" w:hAnsi="Times New Roman;serif"/>
          <w:b w:val="false"/>
          <w:sz w:val="22"/>
        </w:rPr>
        <w:t xml:space="preserve">on a Pro Forma Basis after giving effect to such Investment the Senior Secured First Lien Net Leverage Ratio is equal to or less than 4.60 to 1.00 and </w:t>
      </w:r>
      <w:bookmarkStart w:id="485" w:name="docxtextref662"/>
      <w:bookmarkEnd w:id="48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no Specified Event of Default shall have occurred and be continuing or would result therefrom;</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(21) the Transactions;</w:t>
      </w:r>
    </w:p>
    <w:p>
      <w:pPr>
        <w:pStyle w:val="TextBody"/>
        <w:bidi w:val="0"/>
        <w:spacing w:before="0" w:after="240"/>
        <w:jc w:val="both"/>
        <w:rPr>
          <w:rFonts w:ascii="Times New Roman" w:hAnsi="Times New Roman"/>
          <w:sz w:val="20"/>
        </w:rPr>
      </w:pPr>
      <w:bookmarkStart w:id="486" w:name="docxtextref663"/>
      <w:bookmarkEnd w:id="486"/>
      <w:r>
        <w:rPr>
          <w:rFonts w:ascii="Times New Roman;serif" w:hAnsi="Times New Roman;serif"/>
          <w:b w:val="false"/>
          <w:sz w:val="22"/>
        </w:rPr>
        <w:t>(22) Investments in the ordinary course of business consisting of UCC Article 3</w:t>
      </w:r>
      <w:r>
        <w:rPr>
          <w:rFonts w:ascii="Times New Roman" w:hAnsi="Times New Roman"/>
          <w:sz w:val="20"/>
        </w:rPr>
        <w:t xml:space="preserve"> </w:t>
      </w:r>
      <w:r>
        <w:rPr>
          <w:rFonts w:ascii="Times New Roman;serif" w:hAnsi="Times New Roman;serif"/>
          <w:b w:val="false"/>
          <w:sz w:val="22"/>
        </w:rPr>
        <w:t xml:space="preserve">endorsements for collection or deposit and UCC </w:t>
      </w:r>
      <w:bookmarkStart w:id="487" w:name="docxtextref664"/>
      <w:bookmarkEnd w:id="487"/>
      <w:r>
        <w:rPr>
          <w:rFonts w:ascii="Times New Roman;serif" w:hAnsi="Times New Roman;serif"/>
          <w:b w:val="false"/>
          <w:sz w:val="22"/>
        </w:rPr>
        <w:t>Article 4</w:t>
      </w:r>
      <w:r>
        <w:rPr>
          <w:rFonts w:ascii="Times New Roman" w:hAnsi="Times New Roman"/>
          <w:sz w:val="20"/>
        </w:rPr>
        <w:t xml:space="preserve"> </w:t>
      </w:r>
      <w:r>
        <w:rPr>
          <w:rFonts w:ascii="Times New Roman;serif" w:hAnsi="Times New Roman;serif"/>
          <w:b w:val="false"/>
          <w:sz w:val="22"/>
        </w:rPr>
        <w:t>customary trade arrangements with customers in the ordinary course of business;</w:t>
      </w:r>
    </w:p>
    <w:p>
      <w:pPr>
        <w:pStyle w:val="TextBody"/>
        <w:bidi w:val="0"/>
        <w:spacing w:before="0" w:after="240"/>
        <w:jc w:val="both"/>
        <w:rPr>
          <w:rFonts w:ascii="Times New Roman" w:hAnsi="Times New Roman"/>
          <w:sz w:val="20"/>
        </w:rPr>
      </w:pPr>
      <w:bookmarkStart w:id="488" w:name="docxtextref666"/>
      <w:bookmarkEnd w:id="488"/>
      <w:r>
        <w:rPr>
          <w:rFonts w:ascii="Times New Roman;serif" w:hAnsi="Times New Roman;serif"/>
          <w:b w:val="false"/>
          <w:sz w:val="22"/>
        </w:rPr>
        <w:t>(23) loans and advances to direct and indirect parent companies of Bidco (x)</w:t>
      </w:r>
      <w:r>
        <w:rPr>
          <w:rFonts w:ascii="Times New Roman" w:hAnsi="Times New Roman"/>
          <w:sz w:val="20"/>
        </w:rPr>
        <w:t xml:space="preserve"> </w:t>
      </w:r>
      <w:r>
        <w:rPr>
          <w:rFonts w:ascii="Times New Roman;serif" w:hAnsi="Times New Roman;serif"/>
          <w:b w:val="false"/>
          <w:sz w:val="22"/>
        </w:rPr>
        <w:t xml:space="preserve">in lieu of, and not in excess of the amount of (after giving effect to any other loans, advances or Restricted Payments in respect thereof), Restricted Payments to the extent permitted to be made to such companies in accordance with </w:t>
      </w:r>
      <w:r>
        <w:rPr>
          <w:rFonts w:ascii="Times New Roman;serif" w:hAnsi="Times New Roman;serif"/>
          <w:b w:val="false"/>
          <w:sz w:val="22"/>
          <w:u w:val="single"/>
        </w:rPr>
        <w:t xml:space="preserve">Section 6.05(a) </w:t>
      </w:r>
      <w:r>
        <w:rPr>
          <w:rFonts w:ascii="Times New Roman;serif" w:hAnsi="Times New Roman;serif"/>
          <w:b w:val="false"/>
          <w:sz w:val="22"/>
        </w:rPr>
        <w:t>and</w:t>
      </w:r>
      <w:r>
        <w:rPr>
          <w:rFonts w:ascii="Times New Roman" w:hAnsi="Times New Roman"/>
          <w:sz w:val="20"/>
          <w:u w:val="single"/>
        </w:rPr>
        <w:t xml:space="preserve"> </w:t>
      </w:r>
      <w:bookmarkStart w:id="489" w:name="docxtextref667"/>
      <w:bookmarkEnd w:id="489"/>
      <w:r>
        <w:rPr>
          <w:rFonts w:ascii="Times New Roman;serif" w:hAnsi="Times New Roman;serif"/>
          <w:b w:val="false"/>
          <w:sz w:val="22"/>
          <w:u w:val="single"/>
        </w:rPr>
        <w:t>(b)</w:t>
      </w:r>
      <w:r>
        <w:rPr>
          <w:rFonts w:ascii="Times New Roman" w:hAnsi="Times New Roman"/>
          <w:sz w:val="20"/>
        </w:rPr>
        <w:t xml:space="preserve"> </w:t>
      </w:r>
      <w:r>
        <w:rPr>
          <w:rFonts w:ascii="Times New Roman;serif" w:hAnsi="Times New Roman;serif"/>
          <w:b w:val="false"/>
          <w:sz w:val="22"/>
        </w:rPr>
        <w:t xml:space="preserve">and </w:t>
      </w:r>
      <w:bookmarkStart w:id="490" w:name="docxtextref668"/>
      <w:bookmarkEnd w:id="49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to the extent the proceeds thereof are contributed or loaned or advanced to another Restricted Subsidiary;</w:t>
      </w:r>
    </w:p>
    <w:p>
      <w:pPr>
        <w:pStyle w:val="TextBody"/>
        <w:bidi w:val="0"/>
        <w:spacing w:before="0" w:after="240"/>
        <w:jc w:val="both"/>
        <w:rPr>
          <w:rFonts w:ascii="Times New Roman" w:hAnsi="Times New Roman"/>
          <w:sz w:val="20"/>
        </w:rPr>
      </w:pPr>
      <w:bookmarkStart w:id="491" w:name="docxtextref669"/>
      <w:bookmarkEnd w:id="491"/>
      <w:r>
        <w:rPr>
          <w:rFonts w:ascii="Times New Roman;serif" w:hAnsi="Times New Roman;serif"/>
          <w:b w:val="false"/>
          <w:sz w:val="22"/>
        </w:rPr>
        <w:t>(24) Investments (A)</w:t>
      </w:r>
      <w:r>
        <w:rPr>
          <w:rFonts w:ascii="Times New Roman" w:hAnsi="Times New Roman"/>
          <w:sz w:val="20"/>
        </w:rPr>
        <w:t xml:space="preserve"> </w:t>
      </w:r>
      <w:r>
        <w:rPr>
          <w:rFonts w:ascii="Times New Roman;serif" w:hAnsi="Times New Roman;serif"/>
          <w:b w:val="false"/>
          <w:sz w:val="22"/>
        </w:rPr>
        <w:t xml:space="preserve">for utilities, security deposits, leases and similar prepaid expenses incurred in the ordinary course of business and </w:t>
      </w:r>
      <w:bookmarkStart w:id="492" w:name="docxtextref670"/>
      <w:bookmarkEnd w:id="49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trade accounts created, or prepaid expenses accrued,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(25) non-cash Investments in connection with tax planning and reorganization activities, and Investments in connection with a Permitted Intercompany Activities and Permitted Tax Restructuring;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(26) any Investment in any Subsidiary or any joint venture in connection with intercompany cash management arrangements or related activities arising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(27) Investments by an Unrestricted Subsidiary entered into prior to the day such Unrestricted Subsidiary is redesignated as a Restricted Subsidiary pursuant to the definition of “Unrestricted Subsidiary”;</w:t>
      </w:r>
    </w:p>
    <w:p>
      <w:pPr>
        <w:pStyle w:val="TextBody"/>
        <w:bidi w:val="0"/>
        <w:spacing w:before="0" w:after="240"/>
        <w:jc w:val="both"/>
        <w:rPr>
          <w:rFonts w:ascii="Times New Roman" w:hAnsi="Times New Roman"/>
          <w:sz w:val="20"/>
        </w:rPr>
      </w:pPr>
      <w:bookmarkStart w:id="493" w:name="docxtextref671"/>
      <w:bookmarkEnd w:id="493"/>
      <w:r>
        <w:rPr>
          <w:rFonts w:ascii="Times New Roman;serif" w:hAnsi="Times New Roman;serif"/>
          <w:b w:val="false"/>
          <w:sz w:val="22"/>
        </w:rPr>
        <w:t>(28) Investments (including debt obligations and equity interests) (a)</w:t>
      </w:r>
      <w:r>
        <w:rPr>
          <w:rFonts w:ascii="Times New Roman" w:hAnsi="Times New Roman"/>
          <w:sz w:val="20"/>
        </w:rPr>
        <w:t xml:space="preserve"> </w:t>
      </w:r>
      <w:r>
        <w:rPr>
          <w:rFonts w:ascii="Times New Roman;serif" w:hAnsi="Times New Roman;serif"/>
          <w:b w:val="false"/>
          <w:sz w:val="22"/>
        </w:rPr>
        <w:t xml:space="preserve">in connection with Settlements, </w:t>
      </w:r>
      <w:bookmarkStart w:id="494" w:name="docxtextref672"/>
      <w:bookmarkEnd w:id="49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exchange for any other Investment or accounts receivable, endorsements for collection or deposit held by Bidco or any Restricted Subsidiary, </w:t>
      </w:r>
      <w:bookmarkStart w:id="495" w:name="docxtextref673"/>
      <w:bookmarkEnd w:id="49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as a result of foreclosure, perfection or enforcement of any Lien, </w:t>
      </w:r>
      <w:bookmarkStart w:id="496" w:name="docxtextref674"/>
      <w:bookmarkEnd w:id="496"/>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in satisfaction of judgments or </w:t>
      </w:r>
      <w:bookmarkStart w:id="497" w:name="docxtextref675"/>
      <w:bookmarkEnd w:id="497"/>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(29) Investments made from casualty insurance proceeds in connection with the replacement, substitution, restoration or repair of assets on account of a Casualty Event;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(30) Investments made in the ordinary course of business in connection with obtaining, maintaining or renewing client contacts and loans or advances made to distributors in the ordinary course of business;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(31) Investments arising as a result of Sale and Lease-Back Transactions.</w:t>
      </w:r>
    </w:p>
    <w:p>
      <w:pPr>
        <w:pStyle w:val="TextBody"/>
        <w:bidi w:val="0"/>
        <w:spacing w:before="0" w:after="240"/>
        <w:jc w:val="both"/>
        <w:rPr/>
      </w:pPr>
      <w:r>
        <w:rPr/>
        <w:t>“</w:t>
      </w:r>
      <w:r>
        <w:rPr>
          <w:rFonts w:ascii="Times New Roman;serif" w:hAnsi="Times New Roman;serif"/>
          <w:b w:val="false"/>
          <w:sz w:val="22"/>
          <w:u w:val="single"/>
        </w:rPr>
        <w:t>Permitted Liens</w:t>
      </w:r>
      <w:r>
        <w:rPr>
          <w:rFonts w:ascii="Times New Roman" w:hAnsi="Times New Roman"/>
          <w:sz w:val="20"/>
        </w:rPr>
        <w:t xml:space="preserve">” </w:t>
      </w:r>
      <w:r>
        <w:rPr>
          <w:rFonts w:ascii="Times New Roman;serif" w:hAnsi="Times New Roman;serif"/>
          <w:b w:val="false"/>
          <w:sz w:val="22"/>
        </w:rPr>
        <w:t>means, with respect to any Person:</w:t>
      </w:r>
    </w:p>
    <w:p>
      <w:pPr>
        <w:pStyle w:val="TextBody"/>
        <w:bidi w:val="0"/>
        <w:spacing w:before="0" w:after="240"/>
        <w:jc w:val="both"/>
        <w:rPr>
          <w:rFonts w:ascii="Times New Roman" w:hAnsi="Times New Roman"/>
          <w:sz w:val="20"/>
        </w:rPr>
      </w:pPr>
      <w:bookmarkStart w:id="498" w:name="docxtextref676"/>
      <w:bookmarkEnd w:id="498"/>
      <w:r>
        <w:rPr>
          <w:rFonts w:ascii="Times New Roman;serif" w:hAnsi="Times New Roman;serif"/>
          <w:b w:val="false"/>
          <w:sz w:val="22"/>
        </w:rPr>
        <w:t>(1) Liens incurred or pledges, deposits or security (a)</w:t>
      </w:r>
      <w:r>
        <w:rPr>
          <w:rFonts w:ascii="Times New Roman" w:hAnsi="Times New Roman"/>
          <w:sz w:val="20"/>
        </w:rPr>
        <w:t xml:space="preserve"> </w:t>
      </w:r>
      <w:r>
        <w:rPr>
          <w:rFonts w:ascii="Times New Roman;serif" w:hAnsi="Times New Roman;serif"/>
          <w:b w:val="false"/>
          <w:sz w:val="22"/>
        </w:rPr>
        <w:t xml:space="preserve">in connection with workers’ or workmen’s compensation, unemployment insurance, employers’ health tax, social security, retirement and other similar legislation, or other insurance-related obligations (including, but not limited to, in respect of deductibles, self-insured retention amounts and premiums and adjustments thereto) or </w:t>
      </w:r>
      <w:bookmarkStart w:id="499" w:name="docxtextref677"/>
      <w:bookmarkEnd w:id="49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securing liability for reimbursement or indemnification obligations of (including obligations in respect of letters of credit or bank guarantees or similar instrument for the benefit of) insurance carriers providing property, casualty or liability insurance to Bidco or any Restricted Subsidiary or otherwise supporting the payment of items set forth in the foregoing clause (a) or </w:t>
      </w:r>
      <w:bookmarkStart w:id="500" w:name="docxtextref678"/>
      <w:bookmarkEnd w:id="50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w:t>
      </w:r>
    </w:p>
    <w:p>
      <w:pPr>
        <w:pStyle w:val="TextBody"/>
        <w:bidi w:val="0"/>
        <w:spacing w:before="0" w:after="240"/>
        <w:jc w:val="both"/>
        <w:rPr>
          <w:rFonts w:ascii="Times New Roman" w:hAnsi="Times New Roman"/>
          <w:sz w:val="20"/>
        </w:rPr>
      </w:pPr>
      <w:bookmarkStart w:id="501" w:name="docxtextref679"/>
      <w:bookmarkEnd w:id="501"/>
      <w:r>
        <w:rPr>
          <w:rFonts w:ascii="Times New Roman;serif" w:hAnsi="Times New Roman;serif"/>
          <w:b w:val="false"/>
          <w:sz w:val="22"/>
        </w:rPr>
        <w:t>(2) Liens with respect to outstanding motor vehicle fines and Liens arising or imposed by law, such as landlords’, carriers’, warehousemen’s, mechanics’, materialmen’s, repairmen’s or construction contractors’ Liens and other similar Liens, in each case (a)</w:t>
      </w:r>
      <w:r>
        <w:rPr>
          <w:rFonts w:ascii="Times New Roman" w:hAnsi="Times New Roman"/>
          <w:sz w:val="20"/>
        </w:rPr>
        <w:t xml:space="preserve"> </w:t>
      </w:r>
      <w:r>
        <w:rPr>
          <w:rFonts w:ascii="Times New Roman;serif" w:hAnsi="Times New Roman;serif"/>
          <w:b w:val="false"/>
          <w:sz w:val="22"/>
        </w:rPr>
        <w:t xml:space="preserve">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IFRS or </w:t>
      </w:r>
      <w:bookmarkStart w:id="502" w:name="docxtextref680"/>
      <w:bookmarkEnd w:id="50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so long as such Liens do not individually or in the aggregate have a Material Adverse Effect;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-69-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503" w:name="docxtextref681"/>
      <w:bookmarkEnd w:id="503"/>
      <w:r>
        <w:rPr>
          <w:rFonts w:ascii="Times New Roman;serif" w:hAnsi="Times New Roman;serif"/>
          <w:b w:val="false"/>
          <w:sz w:val="22"/>
        </w:rPr>
        <w:t>(3) Liens for taxes, assessments or other governmental charges (a)</w:t>
      </w:r>
      <w:r>
        <w:rPr>
          <w:rFonts w:ascii="Times New Roman" w:hAnsi="Times New Roman"/>
          <w:sz w:val="20"/>
        </w:rPr>
        <w:t xml:space="preserve"> </w:t>
      </w:r>
      <w:r>
        <w:rPr>
          <w:rFonts w:ascii="Times New Roman;serif" w:hAnsi="Times New Roman;serif"/>
          <w:b w:val="false"/>
          <w:sz w:val="22"/>
        </w:rPr>
        <w:t xml:space="preserve">that are not overdue for a period of more than 30 days, not yet payable or subject to penalties for nonpayment that are being contested in good faith by appropriate proceedings for which adequate reserves with respect thereto are maintained on the books of the applicable Person in accordance with IFRS or </w:t>
      </w:r>
      <w:bookmarkStart w:id="504" w:name="docxtextref682"/>
      <w:bookmarkEnd w:id="50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so long as such Liens do not individually or in the aggregate have a Material Adverse Effect;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(4) 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pStyle w:val="TextBody"/>
        <w:bidi w:val="0"/>
        <w:spacing w:before="0" w:after="240"/>
        <w:jc w:val="both"/>
        <w:rPr>
          <w:rFonts w:ascii="Times New Roman" w:hAnsi="Times New Roman"/>
          <w:sz w:val="20"/>
        </w:rPr>
      </w:pPr>
      <w:bookmarkStart w:id="505" w:name="docxtextref683"/>
      <w:bookmarkEnd w:id="505"/>
      <w:r>
        <w:rPr>
          <w:rFonts w:ascii="Times New Roman;serif" w:hAnsi="Times New Roman;serif"/>
          <w:b w:val="false"/>
          <w:sz w:val="22"/>
        </w:rPr>
        <w:t>(5) (a)</w:t>
      </w:r>
      <w:r>
        <w:rPr>
          <w:rFonts w:ascii="Times New Roman" w:hAnsi="Times New Roman"/>
          <w:sz w:val="20"/>
        </w:rPr>
        <w:t xml:space="preserve"> </w:t>
      </w:r>
      <w:r>
        <w:rPr>
          <w:rFonts w:ascii="Times New Roman;serif" w:hAnsi="Times New Roman;serif"/>
          <w:b w:val="false"/>
          <w:sz w:val="22"/>
        </w:rPr>
        <w:t xml:space="preserve">survey exceptions, encumbrances, easements, ground leases, covenants, conditions, rights-of-way, licenses, servitudes, restrictions, encroachments, protrusions, by-law, reservations of, or rights of others for sewers, electric lines, telegraph and telephone lines and other similar purposes, zoning or other restrictions (including defects and irregularities in title and similar encumbrances) and other similar encumbrances and title defects or irregularities affecting real property, that, in the aggregate, do not materially interfere with the ordinary conduct of the business of Bidco and its Restricted Subsidiaries, taken as a whole, </w:t>
      </w:r>
      <w:bookmarkStart w:id="506" w:name="docxtextref684"/>
      <w:bookmarkEnd w:id="50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rights of recapture of unused real property in favor of the seller of property set forth in customary purchase agreements and related arrangements with any governmental authority, </w:t>
      </w:r>
      <w:bookmarkStart w:id="507" w:name="docxtextref685"/>
      <w:bookmarkEnd w:id="50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Liens arising from the right of distress enjoyed by landlords or Liens otherwise granted to landlords, in either case, to secure the payment of arrears of rent in respect of leased properties, so long as such Liens are not exercised, </w:t>
      </w:r>
      <w:bookmarkStart w:id="508" w:name="docxtextref686"/>
      <w:bookmarkEnd w:id="508"/>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servicing agreements, development agreements, site plan agreements and other agreements with any governmental authority pertaining to the use or development of any of the assets of the Person,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same are complied with in all material respects and do not materially reduce the value of the assets of the Person or materially interfere with the use of such assets in the operation of the business of such Person, </w:t>
      </w:r>
      <w:bookmarkStart w:id="509" w:name="docxtextref687"/>
      <w:bookmarkEnd w:id="509"/>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the reservations in any original grants from the crown of any land or interest therein and statutory exceptions to title and </w:t>
      </w:r>
      <w:bookmarkStart w:id="510" w:name="docxtextref688"/>
      <w:bookmarkEnd w:id="510"/>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other Liens on real property (including ground leases in respect of real property on which facilities owned or leased by Bidco or any of the Restricted Subsidiaries are located);</w:t>
      </w:r>
    </w:p>
    <w:p>
      <w:pPr>
        <w:pStyle w:val="TextBody"/>
        <w:bidi w:val="0"/>
        <w:spacing w:before="0" w:after="240"/>
        <w:jc w:val="both"/>
        <w:rPr>
          <w:rFonts w:ascii="Times New Roman" w:hAnsi="Times New Roman"/>
          <w:sz w:val="20"/>
        </w:rPr>
      </w:pPr>
      <w:bookmarkStart w:id="511" w:name="docxtextref692"/>
      <w:bookmarkEnd w:id="511"/>
      <w:r>
        <w:rPr>
          <w:rFonts w:ascii="Times New Roman;serif" w:hAnsi="Times New Roman;serif"/>
          <w:b w:val="false"/>
          <w:sz w:val="22"/>
        </w:rPr>
        <w:t xml:space="preserve">(6) Liens securing obligations relating to any Indebtedness permitted to be incurred pursuant to clause (i), (iii), (xi), (xii), (xvi), (xix), (xxvi), (xxix), (xxx) or (xxxi)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hereof or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hereof;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for purposes of this clause (6), any Lien securing obligations relating to any Indebtedness that is incurred under clause (xii)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hereof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Liens securing Indebtedness permitted to be incurred pursuant to clause (xvi) are solely on acquired property or the assets of the acquired entity, as the case may be and </w:t>
      </w:r>
      <w:bookmarkStart w:id="512" w:name="docxtextref693"/>
      <w:bookmarkEnd w:id="51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Liens on Collateral securing Indebtedness permitted to be incurred pursuant to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or (xxxi) of </w:t>
      </w:r>
      <w:r>
        <w:rPr>
          <w:rFonts w:ascii="Times New Roman;serif" w:hAnsi="Times New Roman;serif"/>
          <w:b w:val="false"/>
          <w:sz w:val="22"/>
          <w:u w:val="single"/>
        </w:rPr>
        <w:t xml:space="preserve">Section 6.01(b) </w:t>
      </w:r>
      <w:r>
        <w:rPr>
          <w:rFonts w:ascii="Times New Roman;serif" w:hAnsi="Times New Roman;serif"/>
          <w:b w:val="false"/>
          <w:sz w:val="22"/>
        </w:rPr>
        <w:t>shall be subject to a Customary Intercreditor Agreement, as applicable;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(7) Liens existing on the Effective Date and, in each case, any modifications, replacements, renewals, refinancings, or extensions thereof;</w:t>
      </w:r>
    </w:p>
    <w:p>
      <w:pPr>
        <w:pStyle w:val="TextBody"/>
        <w:bidi w:val="0"/>
        <w:spacing w:before="0" w:after="240"/>
        <w:jc w:val="both"/>
        <w:rPr>
          <w:rFonts w:ascii="Times New Roman" w:hAnsi="Times New Roman"/>
          <w:sz w:val="20"/>
        </w:rPr>
      </w:pPr>
      <w:bookmarkStart w:id="513" w:name="docxtextref694"/>
      <w:bookmarkEnd w:id="513"/>
      <w:r>
        <w:rPr>
          <w:rFonts w:ascii="Times New Roman;serif" w:hAnsi="Times New Roman;serif"/>
          <w:b w:val="false"/>
          <w:sz w:val="22"/>
        </w:rPr>
        <w:t>(8) (a)</w:t>
      </w:r>
      <w:r>
        <w:rPr>
          <w:rFonts w:ascii="Times New Roman" w:hAnsi="Times New Roman"/>
          <w:sz w:val="20"/>
        </w:rPr>
        <w:t xml:space="preserve"> </w:t>
      </w:r>
      <w:r>
        <w:rPr>
          <w:rFonts w:ascii="Times New Roman;serif" w:hAnsi="Times New Roman;serif"/>
          <w:b w:val="false"/>
          <w:sz w:val="22"/>
        </w:rPr>
        <w:t xml:space="preserve">Liens on property or shares of stock or other assets of a Person at the time such Person becomes a Subsidiary and </w:t>
      </w:r>
      <w:bookmarkStart w:id="514" w:name="docxtextref695"/>
      <w:bookmarkEnd w:id="51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and Liens existing on property or other assets at the time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its acquisition;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such Liens are not created or incurred in connection with, or in contemplation of, such acquisition, amalgamation, merger or consolidation;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such Liens may not extend to any other property or other assets owned by Bidco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w:t>
      </w:r>
    </w:p>
    <w:p>
      <w:pPr>
        <w:pStyle w:val="TextBody"/>
        <w:bidi w:val="0"/>
        <w:spacing w:before="0" w:after="240"/>
        <w:jc w:val="both"/>
        <w:rPr>
          <w:rFonts w:ascii="Times New Roman" w:hAnsi="Times New Roman"/>
          <w:sz w:val="20"/>
        </w:rPr>
      </w:pPr>
      <w:bookmarkStart w:id="515" w:name="docxtextref696"/>
      <w:bookmarkEnd w:id="515"/>
      <w:r>
        <w:rPr>
          <w:rFonts w:ascii="Times New Roman;serif" w:hAnsi="Times New Roman;serif"/>
          <w:b w:val="false"/>
          <w:sz w:val="22"/>
        </w:rPr>
        <w:t>(9) Liens (a)</w:t>
      </w:r>
      <w:r>
        <w:rPr>
          <w:rFonts w:ascii="Times New Roman" w:hAnsi="Times New Roman"/>
          <w:sz w:val="20"/>
        </w:rPr>
        <w:t xml:space="preserve"> </w:t>
      </w:r>
      <w:r>
        <w:rPr>
          <w:rFonts w:ascii="Times New Roman;serif" w:hAnsi="Times New Roman;serif"/>
          <w:b w:val="false"/>
          <w:sz w:val="22"/>
        </w:rPr>
        <w:t xml:space="preserve">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or any Asset Sale permitted under this Agreement (including any letter of intent or purchase agreement with respect to such Investment or Asset Sale), </w:t>
      </w:r>
      <w:bookmarkStart w:id="516" w:name="docxtextref697"/>
      <w:bookmarkEnd w:id="51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consisting of an agreement to dispose of any property in an Asset Sale permitted under this Agreement, in each case, solely to the extent such Investment or Asset Sale, as the case may be, would have been permitted on the date of the creation of such Lien and </w:t>
      </w:r>
      <w:bookmarkStart w:id="517" w:name="docxtextref698"/>
      <w:bookmarkEnd w:id="51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solely on any cash earnest money deposits made by Bidco or any of its Restricted Subsidiaries in connection with any letter of intent or purchase agreement permitted under this Agreement;</w:t>
      </w:r>
    </w:p>
    <w:p>
      <w:pPr>
        <w:pStyle w:val="TextBody"/>
        <w:bidi w:val="0"/>
        <w:spacing w:before="0" w:after="240"/>
        <w:jc w:val="both"/>
        <w:rPr>
          <w:rFonts w:ascii="Times New Roman" w:hAnsi="Times New Roman"/>
          <w:sz w:val="20"/>
        </w:rPr>
      </w:pPr>
      <w:bookmarkStart w:id="518" w:name="docxtextref700"/>
      <w:bookmarkEnd w:id="518"/>
      <w:r>
        <w:rPr>
          <w:rFonts w:ascii="Times New Roman;serif" w:hAnsi="Times New Roman;serif"/>
          <w:b w:val="false"/>
          <w:sz w:val="22"/>
        </w:rPr>
        <w:t>(10) (a)</w:t>
      </w:r>
      <w:r>
        <w:rPr>
          <w:rFonts w:ascii="Times New Roman" w:hAnsi="Times New Roman"/>
          <w:sz w:val="20"/>
        </w:rPr>
        <w:t xml:space="preserve"> </w:t>
      </w:r>
      <w:r>
        <w:rPr>
          <w:rFonts w:ascii="Times New Roman;serif" w:hAnsi="Times New Roman;serif"/>
          <w:b w:val="false"/>
          <w:sz w:val="22"/>
        </w:rPr>
        <w:t xml:space="preserve">Liens securing Indebtedness or other obligations of a Restricted Subsidiary owing to Bidco or another Restricted Subsidiary permitted to be incurred in accordance with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hereof and </w:t>
      </w:r>
      <w:bookmarkStart w:id="519" w:name="docxtextref701"/>
      <w:bookmarkEnd w:id="51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Liens on assets or property of a Restricted Subsidiary that is not a Guarantor securing Indebtedness and other obligations of any Restricted Subsidiary that is not a Guarantor;</w:t>
      </w:r>
    </w:p>
    <w:p>
      <w:pPr>
        <w:pStyle w:val="TextBody"/>
        <w:bidi w:val="0"/>
        <w:spacing w:before="0" w:after="240"/>
        <w:jc w:val="both"/>
        <w:rPr>
          <w:rFonts w:ascii="Times New Roman" w:hAnsi="Times New Roman"/>
          <w:sz w:val="20"/>
        </w:rPr>
      </w:pPr>
      <w:bookmarkStart w:id="520" w:name="docxtextref702"/>
      <w:bookmarkEnd w:id="520"/>
      <w:r>
        <w:rPr>
          <w:rFonts w:ascii="Times New Roman;serif" w:hAnsi="Times New Roman;serif"/>
          <w:b w:val="false"/>
          <w:sz w:val="22"/>
        </w:rPr>
        <w:t>(11) (a)</w:t>
      </w:r>
      <w:r>
        <w:rPr>
          <w:rFonts w:ascii="Times New Roman" w:hAnsi="Times New Roman"/>
          <w:sz w:val="20"/>
        </w:rPr>
        <w:t xml:space="preserve"> </w:t>
      </w:r>
      <w:r>
        <w:rPr>
          <w:rFonts w:ascii="Times New Roman;serif" w:hAnsi="Times New Roman;serif"/>
          <w:b w:val="false"/>
          <w:sz w:val="22"/>
        </w:rPr>
        <w:t xml:space="preserve">Liens securing Hedging Obligations or on cash or Cash Equivalents securing Hedging Obligations;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with respect to Hedging Obligations relating to Indebtedness, such Indebtedness is permitted under this Agreement, </w:t>
      </w:r>
      <w:bookmarkStart w:id="521" w:name="docxtextref703"/>
      <w:bookmarkEnd w:id="52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Liens on cash and Cash Equivalents used to satisfy or discharge Indebtedness;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such satisfaction or discharge is permitted under this Agreement and </w:t>
      </w:r>
      <w:bookmarkStart w:id="522" w:name="docxtextref704"/>
      <w:bookmarkEnd w:id="52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Liens on cash and Cash Equivalents or other marketable securities securing letters of credit of any Borrower or any Guarantor (which Indebtedness represented by such letters of credit is permitted to be incurred under this Agreement) that are cash collateralized in an amount of cash, Cash Equivalents or other marketable securities with a Fair Market Value of up to 105% of the face amount of such letters of credit being secured;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(12) 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w:t>
      </w:r>
    </w:p>
    <w:p>
      <w:pPr>
        <w:pStyle w:val="TextBody"/>
        <w:bidi w:val="0"/>
        <w:spacing w:before="0" w:after="240"/>
        <w:jc w:val="both"/>
        <w:rPr>
          <w:rFonts w:ascii="Times New Roman" w:hAnsi="Times New Roman"/>
          <w:sz w:val="20"/>
        </w:rPr>
      </w:pPr>
      <w:bookmarkStart w:id="523" w:name="docxtextref705"/>
      <w:bookmarkEnd w:id="523"/>
      <w:r>
        <w:rPr>
          <w:rFonts w:ascii="Times New Roman;serif" w:hAnsi="Times New Roman;serif"/>
          <w:b w:val="false"/>
          <w:sz w:val="22"/>
        </w:rPr>
        <w:t>(13) (a)</w:t>
      </w:r>
      <w:r>
        <w:rPr>
          <w:rFonts w:ascii="Times New Roman" w:hAnsi="Times New Roman"/>
          <w:sz w:val="20"/>
        </w:rPr>
        <w:t xml:space="preserve"> </w:t>
      </w:r>
      <w:r>
        <w:rPr>
          <w:rFonts w:ascii="Times New Roman;serif" w:hAnsi="Times New Roman;serif"/>
          <w:b w:val="false"/>
          <w:sz w:val="22"/>
        </w:rPr>
        <w:t xml:space="preserve">leases, subleases, licenses or sublicenses granted to others in the ordinary course of business or consistent with past practice that do not materially interfere with the operation of the business of Bidco or any of its Restricted Subsidiaries, taken as a whole, </w:t>
      </w:r>
      <w:bookmarkStart w:id="524" w:name="docxtextref706"/>
      <w:bookmarkEnd w:id="52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interest or title of a lessor or licensee under any lease or license entered into by Bidco or any Restricted Subsidiary in the ordinary course of its business or consistent with past practice and </w:t>
      </w:r>
      <w:bookmarkStart w:id="525" w:name="docxtextref707"/>
      <w:bookmarkEnd w:id="52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Liens arising from grants of non-exclusive licenses or sublicenses, or other similar grants of rights, of intellectual property;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(14) Liens arising from UCC (or equivalent statute) financing statement filings regarding operating leases or consignments entered into by Bidco and its Restricted Subsidiaries in the ordinary course of business and other Liens arising solely from precautionary UCC financing statements or similar filings;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(15) Liens in favor of any Borrower or any Guarantor (including, but not limited to, Liens on any assets of Bidco or any of its Restricted Subsidiaries);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(16) Liens on equipment or vehicles of Bidco or any of its Restricted Subsidiaries granted in the ordinary course of business or consistent with past practice;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(17) Liens on accounts receivable and related assets incurred in connection with a Receivables Facility;</w:t>
      </w:r>
    </w:p>
    <w:p>
      <w:pPr>
        <w:pStyle w:val="TextBody"/>
        <w:bidi w:val="0"/>
        <w:spacing w:before="0" w:after="240"/>
        <w:jc w:val="both"/>
        <w:rPr>
          <w:rFonts w:ascii="Times New Roman" w:hAnsi="Times New Roman"/>
          <w:sz w:val="20"/>
        </w:rPr>
      </w:pPr>
      <w:bookmarkStart w:id="526" w:name="docxtextref708"/>
      <w:bookmarkEnd w:id="526"/>
      <w:r>
        <w:rPr>
          <w:rFonts w:ascii="Times New Roman;serif" w:hAnsi="Times New Roman;serif"/>
          <w:b w:val="false"/>
          <w:sz w:val="22"/>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(6), </w:t>
      </w:r>
      <w:bookmarkStart w:id="527" w:name="docxtextref709"/>
      <w:bookmarkEnd w:id="527"/>
      <w:r>
        <w:rPr>
          <w:rFonts w:ascii="Times New Roman;serif" w:hAnsi="Times New Roman;serif"/>
          <w:b w:val="false"/>
          <w:sz w:val="22"/>
        </w:rPr>
        <w:t xml:space="preserve">(7), </w:t>
      </w:r>
      <w:bookmarkStart w:id="528" w:name="docxtextref710"/>
      <w:bookmarkEnd w:id="528"/>
      <w:r>
        <w:rPr>
          <w:rFonts w:ascii="Times New Roman;serif" w:hAnsi="Times New Roman;serif"/>
          <w:b w:val="false"/>
          <w:sz w:val="22"/>
        </w:rPr>
        <w:t xml:space="preserve">(8), and this clause </w:t>
      </w:r>
      <w:bookmarkStart w:id="529" w:name="docxtextref711"/>
      <w:bookmarkEnd w:id="529"/>
      <w:r>
        <w:rPr>
          <w:rFonts w:ascii="Times New Roman;serif" w:hAnsi="Times New Roman;serif"/>
          <w:b w:val="false"/>
          <w:sz w:val="22"/>
        </w:rPr>
        <w:t xml:space="preserve">(18);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w:t>
      </w:r>
      <w:bookmarkStart w:id="530" w:name="docxtextref714"/>
      <w:bookmarkEnd w:id="530"/>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such new Lien shall be limited to all or part of the same property that secured the original Lien (plus improvements on such property) and the proceeds and products thereof, </w:t>
      </w:r>
      <w:bookmarkStart w:id="531" w:name="docxtextref715"/>
      <w:bookmarkEnd w:id="53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Indebtedness secured by such Lien at such time is not increased to any amount greater than the sum of </w:t>
      </w:r>
      <w:bookmarkStart w:id="532" w:name="docxtextref716"/>
      <w:bookmarkEnd w:id="53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outstanding principal amount or, if greater, committed amount of the Indebtedness described under clauses </w:t>
      </w:r>
      <w:bookmarkStart w:id="533" w:name="docxtextref712"/>
      <w:bookmarkEnd w:id="533"/>
      <w:r>
        <w:rPr>
          <w:rFonts w:ascii="Times New Roman;serif" w:hAnsi="Times New Roman;serif"/>
          <w:b w:val="false"/>
          <w:sz w:val="22"/>
        </w:rPr>
        <w:t xml:space="preserve">(6), </w:t>
      </w:r>
      <w:bookmarkStart w:id="534" w:name="docxtextref713"/>
      <w:bookmarkEnd w:id="534"/>
      <w:r>
        <w:rPr>
          <w:rFonts w:ascii="Times New Roman;serif" w:hAnsi="Times New Roman;serif"/>
          <w:b w:val="false"/>
          <w:sz w:val="22"/>
        </w:rPr>
        <w:t>(7)</w:t>
      </w:r>
      <w:r>
        <w:rPr>
          <w:rFonts w:ascii="Times New Roman" w:hAnsi="Times New Roman"/>
          <w:sz w:val="20"/>
        </w:rPr>
        <w:t xml:space="preserve"> </w:t>
      </w:r>
      <w:r>
        <w:rPr>
          <w:rFonts w:ascii="Times New Roman;serif" w:hAnsi="Times New Roman;serif"/>
          <w:b w:val="false"/>
          <w:sz w:val="22"/>
        </w:rPr>
        <w:t>and (8) at the time the original Lien became a Permitted Lien under this Agreement, and (ii) an amount necessary to pay any fees and expenses, including premiums and accrued and unpaid interest, related to such modification, refinancing, refunding, extension, renewal or replacement and (c) any such new Lien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w:t>
      </w:r>
    </w:p>
    <w:p>
      <w:pPr>
        <w:pStyle w:val="TextBody"/>
        <w:bidi w:val="0"/>
        <w:spacing w:before="0" w:after="240"/>
        <w:jc w:val="both"/>
        <w:rPr>
          <w:rFonts w:ascii="Times New Roman" w:hAnsi="Times New Roman"/>
          <w:sz w:val="20"/>
        </w:rPr>
      </w:pPr>
      <w:bookmarkStart w:id="535" w:name="docxtextref717"/>
      <w:bookmarkEnd w:id="535"/>
      <w:r>
        <w:rPr>
          <w:rFonts w:ascii="Times New Roman;serif" w:hAnsi="Times New Roman;serif"/>
          <w:b w:val="false"/>
          <w:sz w:val="22"/>
        </w:rPr>
        <w:t>(19) (a)</w:t>
      </w:r>
      <w:r>
        <w:rPr>
          <w:rFonts w:ascii="Times New Roman" w:hAnsi="Times New Roman"/>
          <w:sz w:val="20"/>
        </w:rPr>
        <w:t xml:space="preserve"> </w:t>
      </w:r>
      <w:r>
        <w:rPr>
          <w:rFonts w:ascii="Times New Roman;serif" w:hAnsi="Times New Roman;serif"/>
          <w:b w:val="false"/>
          <w:sz w:val="22"/>
        </w:rPr>
        <w:t xml:space="preserve">deposits made or other security provided in the ordinary course of business to secure liability to insurance carriers and </w:t>
      </w:r>
      <w:bookmarkStart w:id="536" w:name="docxtextref718"/>
      <w:bookmarkEnd w:id="53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Liens on insurance policies and the proceeds thereof securing the financing of the premiums with respect thereto;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(20) other Liens securing obligations which do not exceed the greater of $450,000,000 and 60% of Consolidated EBITDA for the most recently ended Test Period, calculated on a Pro Forma Basis, at the time of the incurrence of such Lien;</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(21) Liens securing, or otherwise arising from, judgments for the payment of money not constituting an Event of Default under clause (j) under </w:t>
      </w:r>
      <w:r>
        <w:rPr>
          <w:rFonts w:ascii="Times New Roman;serif" w:hAnsi="Times New Roman;serif"/>
          <w:b w:val="false"/>
          <w:sz w:val="22"/>
          <w:u w:val="single"/>
        </w:rPr>
        <w:t>Section 7.01</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(22) Liens in favor of customs and revenue authorities arising as a matter of law to secure payment of customs duties in connection with the importation of goods;</w:t>
      </w:r>
    </w:p>
    <w:p>
      <w:pPr>
        <w:pStyle w:val="TextBody"/>
        <w:bidi w:val="0"/>
        <w:spacing w:before="0" w:after="240"/>
        <w:jc w:val="both"/>
        <w:rPr>
          <w:rFonts w:ascii="Times New Roman" w:hAnsi="Times New Roman"/>
          <w:sz w:val="20"/>
        </w:rPr>
      </w:pPr>
      <w:bookmarkStart w:id="537" w:name="docxtextref721"/>
      <w:bookmarkEnd w:id="537"/>
      <w:r>
        <w:rPr>
          <w:rFonts w:ascii="Times New Roman;serif" w:hAnsi="Times New Roman;serif"/>
          <w:b w:val="false"/>
          <w:sz w:val="22"/>
        </w:rPr>
        <w:t>(23) Liens (a)</w:t>
      </w:r>
      <w:r>
        <w:rPr>
          <w:rFonts w:ascii="Times New Roman" w:hAnsi="Times New Roman"/>
          <w:sz w:val="20"/>
        </w:rPr>
        <w:t xml:space="preserve"> </w:t>
      </w:r>
      <w:r>
        <w:rPr>
          <w:rFonts w:ascii="Times New Roman;serif" w:hAnsi="Times New Roman;serif"/>
          <w:b w:val="false"/>
          <w:sz w:val="22"/>
        </w:rPr>
        <w:t xml:space="preserve">of a collection bank arising under applicable law, including </w:t>
      </w:r>
      <w:bookmarkStart w:id="538" w:name="docxtextref724"/>
      <w:bookmarkEnd w:id="538"/>
      <w:r>
        <w:rPr>
          <w:rFonts w:ascii="Times New Roman;serif" w:hAnsi="Times New Roman;serif"/>
          <w:b w:val="false"/>
          <w:sz w:val="22"/>
        </w:rPr>
        <w:t>Section 4-</w:t>
      </w:r>
      <w:bookmarkStart w:id="539" w:name="docxtextref720"/>
      <w:bookmarkEnd w:id="539"/>
      <w:r>
        <w:rPr>
          <w:rFonts w:ascii="Times New Roman;serif" w:hAnsi="Times New Roman;serif"/>
          <w:b w:val="false"/>
          <w:sz w:val="22"/>
        </w:rPr>
        <w:t>210</w:t>
      </w:r>
      <w:r>
        <w:rPr>
          <w:rFonts w:ascii="Times New Roman" w:hAnsi="Times New Roman"/>
          <w:sz w:val="20"/>
        </w:rPr>
        <w:t xml:space="preserve"> </w:t>
      </w:r>
      <w:r>
        <w:rPr>
          <w:rFonts w:ascii="Times New Roman;serif" w:hAnsi="Times New Roman;serif"/>
          <w:b w:val="false"/>
          <w:sz w:val="22"/>
        </w:rPr>
        <w:t xml:space="preserve">of the UCC, or any comparable or successor provision, on items in the course of collection; </w:t>
      </w:r>
      <w:bookmarkStart w:id="540" w:name="docxtextref722"/>
      <w:bookmarkEnd w:id="54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attaching to pooling, commodity or securities trading accounts or other commodity or securities brokerage accounts incurred in the ordinary course of business; or </w:t>
      </w:r>
      <w:bookmarkStart w:id="541" w:name="docxtextref723"/>
      <w:bookmarkEnd w:id="54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in favor of a banking or other financial institution or entity, or electronic payment service provider, arising as a matter of law or under customary terms and conditions encumbering deposits or other funds maintained with a financial institution (including the right of setoff) and which are within the general parameters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w:t>
      </w:r>
    </w:p>
    <w:p>
      <w:pPr>
        <w:pStyle w:val="TextBody"/>
        <w:bidi w:val="0"/>
        <w:spacing w:before="0" w:after="240"/>
        <w:jc w:val="both"/>
        <w:rPr>
          <w:rFonts w:ascii="Times New Roman" w:hAnsi="Times New Roman"/>
          <w:sz w:val="20"/>
        </w:rPr>
      </w:pPr>
      <w:bookmarkStart w:id="542" w:name="docxtextref726"/>
      <w:bookmarkEnd w:id="542"/>
      <w:r>
        <w:rPr>
          <w:rFonts w:ascii="Times New Roman;serif" w:hAnsi="Times New Roman;serif"/>
          <w:b w:val="false"/>
          <w:sz w:val="22"/>
        </w:rPr>
        <w:t xml:space="preserve">(24) Liens deemed to exist in connection with Investments in repurchase agreements permitted under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hereof, including Liens deemed to exist in connection with Investments in repurchase agreements under clause (12)</w:t>
      </w:r>
      <w:r>
        <w:rPr>
          <w:rFonts w:ascii="Times New Roman" w:hAnsi="Times New Roman"/>
          <w:sz w:val="20"/>
        </w:rPr>
        <w:t xml:space="preserve"> </w:t>
      </w:r>
      <w:r>
        <w:rPr>
          <w:rFonts w:ascii="Times New Roman;serif" w:hAnsi="Times New Roman;serif"/>
          <w:b w:val="false"/>
          <w:sz w:val="22"/>
        </w:rPr>
        <w:t xml:space="preserve">of the definition of the term “Cash Equivalents”;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Liens do not extend to any assets other than those that are the subject of such repurchase agreement;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(25)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jc w:val="both"/>
        <w:rPr>
          <w:rFonts w:ascii="Times New Roman" w:hAnsi="Times New Roman"/>
          <w:sz w:val="20"/>
        </w:rPr>
      </w:pPr>
      <w:bookmarkStart w:id="543" w:name="docxtextref727"/>
      <w:bookmarkEnd w:id="543"/>
      <w:r>
        <w:rPr>
          <w:rFonts w:ascii="Times New Roman;serif" w:hAnsi="Times New Roman;serif"/>
          <w:b w:val="false"/>
          <w:sz w:val="22"/>
        </w:rPr>
        <w:t>(26) Liens that are contractual rights of setoff, banker’s lien, netting agreements and other Liens (a)</w:t>
      </w:r>
      <w:r>
        <w:rPr>
          <w:rFonts w:ascii="Times New Roman" w:hAnsi="Times New Roman"/>
          <w:sz w:val="20"/>
        </w:rPr>
        <w:t xml:space="preserve"> </w:t>
      </w:r>
      <w:r>
        <w:rPr>
          <w:rFonts w:ascii="Times New Roman;serif" w:hAnsi="Times New Roman;serif"/>
          <w:b w:val="false"/>
          <w:sz w:val="22"/>
        </w:rPr>
        <w:t xml:space="preserve">relating to deposit accounts, securities accounts, cash management arrangements or in connection with the issuance of Indebtedness, including letters of credit, bank guarantees or other similar instruments, </w:t>
      </w:r>
      <w:bookmarkStart w:id="544" w:name="docxtextref728"/>
      <w:bookmarkEnd w:id="54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relating to pooled deposit or sweep accounts to permit satisfaction of overdraft or similar obligations incurred in the ordinary course of business of Bidco and its Restricted Subsidiaries or </w:t>
      </w:r>
      <w:bookmarkStart w:id="545" w:name="docxtextref729"/>
      <w:bookmarkEnd w:id="54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relating to purchase orders and other agreements entered into with customers of Bidco or any of its Restricted Subsidiaries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(27) Settlement Liens;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(28) Liens on goods the purchase price of which is financed by a documentary letter of credit issued for the account of Bidco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Lien secures only the obligations of Bidco or such Subsidiaries in respect of such letter of credit to the extent such obligations are permitted under </w:t>
      </w:r>
      <w:r>
        <w:rPr>
          <w:rFonts w:ascii="Times New Roman;serif" w:hAnsi="Times New Roman;serif"/>
          <w:b w:val="false"/>
          <w:sz w:val="22"/>
          <w:u w:val="single"/>
        </w:rPr>
        <w:t>Section 6.01</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546" w:name="docxtextref731"/>
      <w:bookmarkEnd w:id="546"/>
      <w:r>
        <w:rPr>
          <w:rFonts w:ascii="Times New Roman;serif" w:hAnsi="Times New Roman;serif"/>
          <w:b w:val="false"/>
          <w:sz w:val="22"/>
        </w:rPr>
        <w:t>(29) (a) Liens on Equity Interests of an Unrestricted Subsidiary that secure Indebtedness or other obligations of such Unrestricted Subsidiary and (b)</w:t>
      </w:r>
      <w:r>
        <w:rPr>
          <w:rFonts w:ascii="Times New Roman" w:hAnsi="Times New Roman"/>
          <w:sz w:val="20"/>
        </w:rPr>
        <w:t xml:space="preserve"> </w:t>
      </w:r>
      <w:r>
        <w:rPr>
          <w:rFonts w:ascii="Times New Roman;serif" w:hAnsi="Times New Roman;serif"/>
          <w:b w:val="false"/>
          <w:sz w:val="22"/>
        </w:rPr>
        <w:t>Liens then existing with respect to assets of an Unrestricted Subsidiary on the day such Unrestricted Subsidiary is redesignated as a Restricted Subsidiary as described under the definition of “Unrestricted Subsidiaries”;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(30) Receipt of progress payments and advances from customers in the ordinary course of business to the extent the same creates a Lien on the related inventory and proceeds thereof;</w:t>
      </w:r>
    </w:p>
    <w:p>
      <w:pPr>
        <w:pStyle w:val="TextBody"/>
        <w:bidi w:val="0"/>
        <w:spacing w:before="0" w:after="240"/>
        <w:jc w:val="both"/>
        <w:rPr>
          <w:rFonts w:ascii="Times New Roman" w:hAnsi="Times New Roman"/>
          <w:sz w:val="20"/>
        </w:rPr>
      </w:pPr>
      <w:bookmarkStart w:id="547" w:name="docxtextref732"/>
      <w:bookmarkEnd w:id="547"/>
      <w:r>
        <w:rPr>
          <w:rFonts w:ascii="Times New Roman;serif" w:hAnsi="Times New Roman;serif"/>
          <w:b w:val="false"/>
          <w:sz w:val="22"/>
        </w:rPr>
        <w:t>(31) Liens on Equity Interests of any joint venture (a)</w:t>
      </w:r>
      <w:r>
        <w:rPr>
          <w:rFonts w:ascii="Times New Roman" w:hAnsi="Times New Roman"/>
          <w:sz w:val="20"/>
        </w:rPr>
        <w:t xml:space="preserve"> </w:t>
      </w:r>
      <w:r>
        <w:rPr>
          <w:rFonts w:ascii="Times New Roman;serif" w:hAnsi="Times New Roman;serif"/>
          <w:b w:val="false"/>
          <w:sz w:val="22"/>
        </w:rPr>
        <w:t xml:space="preserve">securing obligations of such joint venture or </w:t>
      </w:r>
      <w:bookmarkStart w:id="548" w:name="docxtextref733"/>
      <w:bookmarkEnd w:id="54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pursuant to the relevant joint venture agreement or arrangement;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(32) Liens arising out of conditional sale, title retention, consignment or similar arrangements for the sale or purchase of goods entered into by Bidco or any Restricted Subsidiary in the ordinary course of business;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(33) the rights reserved or vested in any Person by the terms of any lease, license, franchise, grant or permit held by Bidco or any Restricted Subsidiary thereof or by a statutory provision, to terminate any such lease, license, franchise, grant or permit, or to require annual or periodic payments as a condition to the continuance 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549" w:name="docxtextref734"/>
      <w:bookmarkEnd w:id="549"/>
      <w:r>
        <w:rPr>
          <w:rFonts w:ascii="Times New Roman;serif" w:hAnsi="Times New Roman;serif"/>
          <w:b w:val="false"/>
          <w:sz w:val="22"/>
        </w:rPr>
        <w:t xml:space="preserve">(34) additional Liens of Bidco or any of its Restricted Subsidiaries in an aggregate principal amount not to exceed the Available Amount that is not otherwise applied pursuant to </w:t>
      </w:r>
      <w:r>
        <w:rPr>
          <w:rFonts w:ascii="Times New Roman;serif" w:hAnsi="Times New Roman;serif"/>
          <w:b w:val="false"/>
          <w:sz w:val="22"/>
          <w:u w:val="single"/>
        </w:rPr>
        <w:t>Section 6.01(b)(xxiv)</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6.05(a)(A)</w:t>
      </w:r>
      <w:r>
        <w:rPr>
          <w:rFonts w:ascii="Times New Roman" w:hAnsi="Times New Roman"/>
          <w:sz w:val="20"/>
        </w:rPr>
        <w:t xml:space="preserve"> </w:t>
      </w:r>
      <w:r>
        <w:rPr>
          <w:rFonts w:ascii="Times New Roman;serif" w:hAnsi="Times New Roman;serif"/>
          <w:b w:val="false"/>
          <w:sz w:val="22"/>
        </w:rPr>
        <w:t>as in effect immediately prior to the incurrence of such Liens (and after giving Pro Forma Effect thereto);</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(35) additional Liens of Bidco or any of its Restricted Subsidiaries in an aggregate principal amount that does not exceed the amount of Excluded Contributions made since the Effective Date that is not otherwise applied pursuant to </w:t>
      </w:r>
      <w:r>
        <w:rPr>
          <w:rFonts w:ascii="Times New Roman;serif" w:hAnsi="Times New Roman;serif"/>
          <w:b w:val="false"/>
          <w:sz w:val="22"/>
          <w:u w:val="single"/>
        </w:rPr>
        <w:t>Section 6.01(b)(xxv)</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6.05(b)(x)</w:t>
      </w:r>
      <w:r>
        <w:rPr>
          <w:rFonts w:ascii="Times New Roman" w:hAnsi="Times New Roman"/>
          <w:sz w:val="20"/>
        </w:rPr>
        <w:t xml:space="preserve"> </w:t>
      </w:r>
      <w:r>
        <w:rPr>
          <w:rFonts w:ascii="Times New Roman;serif" w:hAnsi="Times New Roman;serif"/>
          <w:b w:val="false"/>
          <w:sz w:val="22"/>
        </w:rPr>
        <w:t>as in effect immediately prior to the incurrence of such Liens (and after giving Pro Forma Effect thereto);</w:t>
      </w:r>
    </w:p>
    <w:p>
      <w:pPr>
        <w:pStyle w:val="TextBody"/>
        <w:bidi w:val="0"/>
        <w:spacing w:before="0" w:after="240"/>
        <w:jc w:val="both"/>
        <w:rPr>
          <w:rFonts w:ascii="Times New Roman" w:hAnsi="Times New Roman"/>
          <w:sz w:val="20"/>
        </w:rPr>
      </w:pPr>
      <w:bookmarkStart w:id="550" w:name="docxtextref737"/>
      <w:bookmarkEnd w:id="550"/>
      <w:r>
        <w:rPr>
          <w:rFonts w:ascii="Times New Roman;serif" w:hAnsi="Times New Roman;serif"/>
          <w:b w:val="false"/>
          <w:sz w:val="22"/>
        </w:rPr>
        <w:t>(36) Liens relating to escrow arrangements securing Indebtedness, including (i)</w:t>
      </w:r>
      <w:r>
        <w:rPr>
          <w:rFonts w:ascii="Times New Roman" w:hAnsi="Times New Roman"/>
          <w:sz w:val="20"/>
        </w:rPr>
        <w:t xml:space="preserve"> </w:t>
      </w:r>
      <w:r>
        <w:rPr>
          <w:rFonts w:ascii="Times New Roman;serif" w:hAnsi="Times New Roman;serif"/>
          <w:b w:val="false"/>
          <w:sz w:val="22"/>
        </w:rPr>
        <w:t>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(37) [reserved];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(38) Liens arising in connection with any Permitted Intercompany Activities and Permitted Tax Restructuring;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(39) Liens in connection with Sale and Lease-Back Transactions.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the event that a Permitted Lien meets the criteria of more than one of the types of Permitted Liens (at the time of incurrence or at a later date), Bidco in its sole discretion may divide, 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w:t>
      </w:r>
    </w:p>
    <w:p>
      <w:pPr>
        <w:pStyle w:val="TextBody"/>
        <w:bidi w:val="0"/>
        <w:spacing w:before="0" w:after="240"/>
        <w:jc w:val="both"/>
        <w:rPr/>
      </w:pPr>
      <w:r>
        <w:rPr/>
        <w:t>“</w:t>
      </w:r>
      <w:r>
        <w:rPr>
          <w:rFonts w:ascii="Times New Roman;serif" w:hAnsi="Times New Roman;serif"/>
          <w:b w:val="false"/>
          <w:sz w:val="22"/>
          <w:u w:val="single"/>
        </w:rPr>
        <w:t>Permitted Parent</w:t>
      </w:r>
      <w:r>
        <w:rPr>
          <w:rFonts w:ascii="Times New Roman" w:hAnsi="Times New Roman"/>
          <w:sz w:val="20"/>
        </w:rPr>
        <w:t xml:space="preserve">” </w:t>
      </w:r>
      <w:r>
        <w:rPr>
          <w:rFonts w:ascii="Times New Roman;serif" w:hAnsi="Times New Roman;serif"/>
          <w:b w:val="false"/>
          <w:sz w:val="22"/>
        </w:rPr>
        <w:t xml:space="preserve">means any direct or indirect parent entity of Bidco (other than a Person formed in connection with, or in contemplation of, a Change of Control transaction that results in a modification of the beneficial ownership of Bidco) that beneficially owns Equity Interests representing 100% of the aggregate ordinary voting power represented by the issued and outstanding Equity Interests of Bidco,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ultimate beneficial ownership of Bidco has not been modified by the transaction by which such parent entity became the beneficial owner of Equity Interests representing 100% of the aggregate ordinary voting power represented by the issued and outstanding Equity Interests of Bidco.</w:t>
      </w:r>
    </w:p>
    <w:p>
      <w:pPr>
        <w:pStyle w:val="TextBody"/>
        <w:bidi w:val="0"/>
        <w:spacing w:before="0" w:after="240"/>
        <w:jc w:val="both"/>
        <w:rPr/>
      </w:pPr>
      <w:r>
        <w:rPr/>
        <w:t>“</w:t>
      </w:r>
      <w:r>
        <w:rPr>
          <w:rFonts w:ascii="Times New Roman;serif" w:hAnsi="Times New Roman;serif"/>
          <w:b w:val="false"/>
          <w:sz w:val="22"/>
          <w:u w:val="single"/>
        </w:rPr>
        <w:t>Permitted Tax Restructuring</w:t>
      </w:r>
      <w:r>
        <w:rPr>
          <w:rFonts w:ascii="Times New Roman" w:hAnsi="Times New Roman"/>
          <w:sz w:val="20"/>
        </w:rPr>
        <w:t xml:space="preserve">” </w:t>
      </w:r>
      <w:r>
        <w:rPr>
          <w:rFonts w:ascii="Times New Roman;serif" w:hAnsi="Times New Roman;serif"/>
          <w:b w:val="false"/>
          <w:sz w:val="22"/>
        </w:rPr>
        <w:t>means any reorganizations and other activities related to Tax planning and Tax reorganization entered into prior to, on or after the date hereof so long as such Permitted Tax Restructuring is not materially adverse to the Lenders (as determined by Bidco acting reasonably).</w:t>
      </w:r>
    </w:p>
    <w:p>
      <w:pPr>
        <w:pStyle w:val="TextBody"/>
        <w:bidi w:val="0"/>
        <w:spacing w:before="0" w:after="240"/>
        <w:jc w:val="both"/>
        <w:rPr/>
      </w:pPr>
      <w:r>
        <w:rPr/>
        <w:t>“</w:t>
      </w:r>
      <w:r>
        <w:rPr>
          <w:rFonts w:ascii="Times New Roman;serif" w:hAnsi="Times New Roman;serif"/>
          <w:b w:val="false"/>
          <w:sz w:val="22"/>
          <w:u w:val="single"/>
        </w:rPr>
        <w:t>Person</w:t>
      </w:r>
      <w:r>
        <w:rPr>
          <w:rFonts w:ascii="Times New Roman" w:hAnsi="Times New Roman"/>
          <w:sz w:val="20"/>
        </w:rPr>
        <w:t xml:space="preserve">” </w:t>
      </w:r>
      <w:r>
        <w:rPr>
          <w:rFonts w:ascii="Times New Roman;serif" w:hAnsi="Times New Roman;serif"/>
          <w:b w:val="false"/>
          <w:sz w:val="22"/>
        </w:rPr>
        <w:t>means any natural person, corporation, limited liability company, trust, joint venture, association, company, partnership, Governmental Authority or other entity.</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bookmarkStart w:id="551" w:name="docxtextref738"/>
      <w:bookmarkEnd w:id="551"/>
      <w:r>
        <w:rPr/>
        <w:t>“</w:t>
      </w:r>
      <w:r>
        <w:rPr>
          <w:rFonts w:ascii="Times New Roman;serif" w:hAnsi="Times New Roman;serif"/>
          <w:b w:val="false"/>
          <w:sz w:val="22"/>
          <w:u w:val="single"/>
        </w:rPr>
        <w:t>Plan</w:t>
      </w:r>
      <w:r>
        <w:rPr>
          <w:rFonts w:ascii="Times New Roman" w:hAnsi="Times New Roman"/>
          <w:sz w:val="20"/>
        </w:rPr>
        <w:t xml:space="preserve">” </w:t>
      </w:r>
      <w:r>
        <w:rPr>
          <w:rFonts w:ascii="Times New Roman;serif" w:hAnsi="Times New Roman;serif"/>
          <w:b w:val="false"/>
          <w:sz w:val="22"/>
        </w:rPr>
        <w:t>means any employee pension benefit plan as such term is defined in Section 3(2) of ERISA (other than a Multiemployer Plan) subject to the provisions of Title IV of ERISA or Section 412</w:t>
      </w:r>
      <w:r>
        <w:rPr>
          <w:rFonts w:ascii="Times New Roman" w:hAnsi="Times New Roman"/>
          <w:sz w:val="20"/>
        </w:rPr>
        <w:t xml:space="preserve"> </w:t>
      </w:r>
      <w:r>
        <w:rPr>
          <w:rFonts w:ascii="Times New Roman;serif" w:hAnsi="Times New Roman;serif"/>
          <w:b w:val="false"/>
          <w:sz w:val="22"/>
        </w:rPr>
        <w:t xml:space="preserve">of the Code or </w:t>
      </w:r>
      <w:bookmarkStart w:id="552" w:name="docxtextref739"/>
      <w:bookmarkEnd w:id="552"/>
      <w:r>
        <w:rPr>
          <w:rFonts w:ascii="Times New Roman;serif" w:hAnsi="Times New Roman;serif"/>
          <w:b w:val="false"/>
          <w:sz w:val="22"/>
        </w:rPr>
        <w:t>Section 302</w:t>
      </w:r>
      <w:r>
        <w:rPr>
          <w:rFonts w:ascii="Times New Roman" w:hAnsi="Times New Roman"/>
          <w:sz w:val="20"/>
        </w:rPr>
        <w:t xml:space="preserve"> </w:t>
      </w:r>
      <w:r>
        <w:rPr>
          <w:rFonts w:ascii="Times New Roman;serif" w:hAnsi="Times New Roman;serif"/>
          <w:b w:val="false"/>
          <w:sz w:val="22"/>
        </w:rPr>
        <w:t>of ERISA, and in respect of which a Loan Party or any ERISA Affiliate is an “employer” as defined in Section 3(5) of ERISA.</w:t>
      </w:r>
    </w:p>
    <w:p>
      <w:pPr>
        <w:pStyle w:val="TextBody"/>
        <w:bidi w:val="0"/>
        <w:spacing w:before="0" w:after="240"/>
        <w:jc w:val="both"/>
        <w:rPr/>
      </w:pPr>
      <w:r>
        <w:rPr/>
        <w:t>“</w:t>
      </w:r>
      <w:r>
        <w:rPr>
          <w:rFonts w:ascii="Times New Roman;serif" w:hAnsi="Times New Roman;serif"/>
          <w:b w:val="false"/>
          <w:sz w:val="22"/>
          <w:u w:val="single"/>
        </w:rPr>
        <w:t>Planned Expenditures</w:t>
      </w:r>
      <w:r>
        <w:rPr>
          <w:rFonts w:ascii="Times New Roman" w:hAnsi="Times New Roman"/>
          <w:sz w:val="20"/>
        </w:rPr>
        <w:t xml:space="preserve">” </w:t>
      </w:r>
      <w:r>
        <w:rPr>
          <w:rFonts w:ascii="Times New Roman;serif" w:hAnsi="Times New Roman;serif"/>
          <w:b w:val="false"/>
          <w:sz w:val="22"/>
        </w:rPr>
        <w:t>has the meaning assigned to such term in the definition of “Excess Cash Flow”.</w:t>
      </w:r>
    </w:p>
    <w:p>
      <w:pPr>
        <w:pStyle w:val="TextBody"/>
        <w:bidi w:val="0"/>
        <w:spacing w:before="0" w:after="240"/>
        <w:jc w:val="both"/>
        <w:rPr/>
      </w:pPr>
      <w:r>
        <w:rPr/>
        <w:t>“</w:t>
      </w:r>
      <w:r>
        <w:rPr>
          <w:rFonts w:ascii="Times New Roman;serif" w:hAnsi="Times New Roman;serif"/>
          <w:b w:val="false"/>
          <w:sz w:val="22"/>
          <w:u w:val="single"/>
        </w:rPr>
        <w:t>Platform</w:t>
      </w:r>
      <w:r>
        <w:rPr>
          <w:rFonts w:ascii="Times New Roman" w:hAnsi="Times New Roman"/>
          <w:sz w:val="20"/>
        </w:rPr>
        <w:t xml:space="preserve">” </w:t>
      </w:r>
      <w:r>
        <w:rPr>
          <w:rFonts w:ascii="Times New Roman;serif" w:hAnsi="Times New Roman;serif"/>
          <w:b w:val="false"/>
          <w:sz w:val="22"/>
        </w:rPr>
        <w:t xml:space="preserve">has the meaning assigned to such term in the last paragraph of </w:t>
      </w:r>
      <w:r>
        <w:rPr>
          <w:rFonts w:ascii="Times New Roman;serif" w:hAnsi="Times New Roman;serif"/>
          <w:b w:val="false"/>
          <w:sz w:val="22"/>
          <w:u w:val="single"/>
        </w:rPr>
        <w:t>Section 5.01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Post-Transaction Period</w:t>
      </w:r>
      <w:r>
        <w:rPr>
          <w:rFonts w:ascii="Times New Roman" w:hAnsi="Times New Roman"/>
          <w:sz w:val="20"/>
        </w:rPr>
        <w:t xml:space="preserve">” </w:t>
      </w:r>
      <w:r>
        <w:rPr>
          <w:rFonts w:ascii="Times New Roman;serif" w:hAnsi="Times New Roman;serif"/>
          <w:b w:val="false"/>
          <w:sz w:val="22"/>
        </w:rPr>
        <w:t>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pStyle w:val="TextBody"/>
        <w:bidi w:val="0"/>
        <w:spacing w:before="0" w:after="240"/>
        <w:jc w:val="both"/>
        <w:rPr/>
      </w:pPr>
      <w:r>
        <w:rPr/>
        <w:t>“</w:t>
      </w:r>
      <w:r>
        <w:rPr>
          <w:rFonts w:ascii="Times New Roman;serif" w:hAnsi="Times New Roman;serif"/>
          <w:b w:val="false"/>
          <w:sz w:val="22"/>
          <w:u w:val="single"/>
        </w:rPr>
        <w:t>Potential Rollover Instruments</w:t>
      </w:r>
      <w:r>
        <w:rPr>
          <w:rFonts w:ascii="Times New Roman" w:hAnsi="Times New Roman"/>
          <w:sz w:val="20"/>
        </w:rPr>
        <w:t xml:space="preserve">” </w:t>
      </w:r>
      <w:r>
        <w:rPr>
          <w:rFonts w:ascii="Times New Roman;serif" w:hAnsi="Times New Roman;serif"/>
          <w:b w:val="false"/>
          <w:sz w:val="22"/>
        </w:rPr>
        <w:t>means the Convertible Bonds.</w:t>
      </w:r>
    </w:p>
    <w:p>
      <w:pPr>
        <w:pStyle w:val="TextBody"/>
        <w:bidi w:val="0"/>
        <w:spacing w:before="0" w:after="240"/>
        <w:jc w:val="both"/>
        <w:rPr/>
      </w:pPr>
      <w:r>
        <w:rPr/>
        <w:t>“</w:t>
      </w:r>
      <w:r>
        <w:rPr>
          <w:rFonts w:ascii="Times New Roman;serif" w:hAnsi="Times New Roman;serif"/>
          <w:b w:val="false"/>
          <w:sz w:val="22"/>
          <w:u w:val="single"/>
        </w:rPr>
        <w:t>Preferred Stock</w:t>
      </w:r>
      <w:r>
        <w:rPr>
          <w:rFonts w:ascii="Times New Roman" w:hAnsi="Times New Roman"/>
          <w:sz w:val="20"/>
        </w:rPr>
        <w:t xml:space="preserve">” </w:t>
      </w:r>
      <w:r>
        <w:rPr>
          <w:rFonts w:ascii="Times New Roman;serif" w:hAnsi="Times New Roman;serif"/>
          <w:b w:val="false"/>
          <w:sz w:val="22"/>
        </w:rPr>
        <w:t>means any Equity Interest with preferential rights of payment of dividends or upon liquidation, dissolution, or winding up.</w:t>
      </w:r>
    </w:p>
    <w:p>
      <w:pPr>
        <w:pStyle w:val="TextBody"/>
        <w:bidi w:val="0"/>
        <w:spacing w:before="0" w:after="240"/>
        <w:jc w:val="both"/>
        <w:rPr/>
      </w:pPr>
      <w:r>
        <w:rPr/>
        <w:t>“</w:t>
      </w:r>
      <w:r>
        <w:rPr>
          <w:rFonts w:ascii="Times New Roman;serif" w:hAnsi="Times New Roman;serif"/>
          <w:b w:val="false"/>
          <w:sz w:val="22"/>
          <w:u w:val="single"/>
        </w:rPr>
        <w:t>Prepayment Event</w:t>
      </w:r>
      <w:r>
        <w:rPr>
          <w:rFonts w:ascii="Times New Roman" w:hAnsi="Times New Roman"/>
          <w:sz w:val="20"/>
        </w:rPr>
        <w:t xml:space="preserve">” </w:t>
      </w:r>
      <w:r>
        <w:rPr>
          <w:rFonts w:ascii="Times New Roman;serif" w:hAnsi="Times New Roman;serif"/>
          <w:b w:val="false"/>
          <w:sz w:val="22"/>
        </w:rPr>
        <w:t>means:</w:t>
      </w:r>
    </w:p>
    <w:p>
      <w:pPr>
        <w:pStyle w:val="TextBody"/>
        <w:bidi w:val="0"/>
        <w:spacing w:before="0" w:after="240"/>
        <w:jc w:val="both"/>
        <w:rPr>
          <w:rFonts w:ascii="Times New Roman" w:hAnsi="Times New Roman"/>
          <w:sz w:val="20"/>
        </w:rPr>
      </w:pPr>
      <w:bookmarkStart w:id="553" w:name="docxtextref742"/>
      <w:bookmarkEnd w:id="553"/>
      <w:r>
        <w:rPr>
          <w:rFonts w:ascii="Times New Roman;serif" w:hAnsi="Times New Roman;serif"/>
          <w:b w:val="false"/>
          <w:sz w:val="22"/>
        </w:rPr>
        <w:t xml:space="preserve">(a) any non-ordinary course sale, transfer or other disposition of any Collateral permitted by </w:t>
      </w:r>
      <w:r>
        <w:rPr>
          <w:rFonts w:ascii="Times New Roman;serif" w:hAnsi="Times New Roman;serif"/>
          <w:b w:val="false"/>
          <w:sz w:val="22"/>
          <w:u w:val="single"/>
        </w:rPr>
        <w:t>Section 6.04(a)</w:t>
      </w:r>
      <w:r>
        <w:rPr>
          <w:rFonts w:ascii="Times New Roman" w:hAnsi="Times New Roman"/>
          <w:sz w:val="20"/>
        </w:rPr>
        <w:t xml:space="preserve"> </w:t>
      </w:r>
      <w:r>
        <w:rPr>
          <w:rFonts w:ascii="Times New Roman;serif" w:hAnsi="Times New Roman;serif"/>
          <w:b w:val="false"/>
          <w:sz w:val="22"/>
        </w:rPr>
        <w:t>and clause (1) of the definition of Asset Sale other than dispositions resulting in aggregate Net Proceeds not exceeding (A)</w:t>
      </w:r>
      <w:r>
        <w:rPr>
          <w:rFonts w:ascii="Times New Roman" w:hAnsi="Times New Roman"/>
          <w:sz w:val="20"/>
        </w:rPr>
        <w:t xml:space="preserve"> </w:t>
      </w:r>
      <w:r>
        <w:rPr>
          <w:rFonts w:ascii="Times New Roman;serif" w:hAnsi="Times New Roman;serif"/>
          <w:b w:val="false"/>
          <w:sz w:val="22"/>
        </w:rPr>
        <w:t xml:space="preserve">$150,000,000 in the case of any single transaction or series of related transactions and </w:t>
      </w:r>
      <w:bookmarkStart w:id="554" w:name="docxtextref743"/>
      <w:bookmarkEnd w:id="55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$300,000,000 for all such transactions during any fiscal year of Bidco;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incurrence by Bidco or any of the Restricted Subsidiaries of any Indebtedness, other than Indebtedness permitted under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(other than Credit Agreement Refinancing Indebtedness, Other Term Loans, Other Revolving Loans and Other Revolving Commitments which shall constitute a Prepayment Event to the extent required by the definition of “Credit Agreement Refinancing Indebtedness”) or permitted by the Required Lenders pursuant to </w:t>
      </w:r>
      <w:r>
        <w:rPr>
          <w:rFonts w:ascii="Times New Roman;serif" w:hAnsi="Times New Roman;serif"/>
          <w:b w:val="false"/>
          <w:sz w:val="22"/>
          <w:u w:val="single"/>
        </w:rPr>
        <w:t>Section 9.02</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Prepayment Notice</w:t>
      </w:r>
      <w:r>
        <w:rPr>
          <w:rFonts w:ascii="Times New Roman" w:hAnsi="Times New Roman"/>
          <w:sz w:val="20"/>
        </w:rPr>
        <w:t xml:space="preserve">” </w:t>
      </w:r>
      <w:r>
        <w:rPr>
          <w:rFonts w:ascii="Times New Roman;serif" w:hAnsi="Times New Roman;serif"/>
          <w:b w:val="false"/>
          <w:sz w:val="22"/>
        </w:rPr>
        <w:t xml:space="preserve">means a notice of prepayment by Bidco or a Borrower in accordance with </w:t>
      </w:r>
      <w:r>
        <w:rPr>
          <w:rFonts w:ascii="Times New Roman;serif" w:hAnsi="Times New Roman;serif"/>
          <w:b w:val="false"/>
          <w:sz w:val="22"/>
          <w:u w:val="single"/>
        </w:rPr>
        <w:t>Section 2.10</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Prime Rate</w:t>
      </w:r>
      <w:r>
        <w:rPr>
          <w:rFonts w:ascii="Times New Roman" w:hAnsi="Times New Roman"/>
          <w:sz w:val="20"/>
        </w:rPr>
        <w:t xml:space="preserve">” </w:t>
      </w:r>
      <w:r>
        <w:rPr>
          <w:rFonts w:ascii="Times New Roman;serif" w:hAnsi="Times New Roman;serif"/>
          <w:b w:val="false"/>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r>
        <w:rPr>
          <w:rFonts w:ascii="Times New Roman" w:hAnsi="Times New Roman"/>
          <w:sz w:val="20"/>
        </w:rPr>
        <w:t xml:space="preserve"> </w:t>
      </w:r>
    </w:p>
    <w:p>
      <w:pPr>
        <w:pStyle w:val="TextBody"/>
        <w:bidi w:val="0"/>
        <w:spacing w:before="0" w:after="240"/>
        <w:jc w:val="both"/>
        <w:rPr/>
      </w:pPr>
      <w:bookmarkStart w:id="555" w:name="docxtextref746"/>
      <w:bookmarkEnd w:id="555"/>
      <w:r>
        <w:rPr/>
        <w:t>“</w:t>
      </w:r>
      <w:r>
        <w:rPr>
          <w:rFonts w:ascii="Times New Roman;serif" w:hAnsi="Times New Roman;serif"/>
          <w:b w:val="false"/>
          <w:sz w:val="22"/>
          <w:u w:val="single"/>
        </w:rPr>
        <w:t>Pro Forma Adjustment</w:t>
      </w:r>
      <w:r>
        <w:rPr>
          <w:rFonts w:ascii="Times New Roman" w:hAnsi="Times New Roman"/>
          <w:sz w:val="20"/>
        </w:rPr>
        <w:t xml:space="preserve">” </w:t>
      </w:r>
      <w:r>
        <w:rPr>
          <w:rFonts w:ascii="Times New Roman;serif" w:hAnsi="Times New Roman;serif"/>
          <w:b w:val="false"/>
          <w:sz w:val="22"/>
        </w:rPr>
        <w:t>means, for any relevant period that includes all or any part of a fiscal quarter included in any Post-Transaction Period with respect to the Acquired EBITDA of the applicable Pro Forma Entity or the Consolidated EBITDA of Bidco, the pro forma increase or decrease in such Acquired EBITDA or such Consolidated EBITDA, as the case may be, projected by Bidco in good faith as a result of (a)</w:t>
      </w:r>
      <w:r>
        <w:rPr>
          <w:rFonts w:ascii="Times New Roman" w:hAnsi="Times New Roman"/>
          <w:sz w:val="20"/>
        </w:rPr>
        <w:t xml:space="preserve"> </w:t>
      </w:r>
      <w:r>
        <w:rPr>
          <w:rFonts w:ascii="Times New Roman;serif" w:hAnsi="Times New Roman;serif"/>
          <w:b w:val="false"/>
          <w:sz w:val="22"/>
        </w:rPr>
        <w:t xml:space="preserve">actions taken, prior to or during such Post-Transaction Period, for the purposes of realizing reasonably identifiable and quantifiable cost savings, or </w:t>
      </w:r>
      <w:bookmarkStart w:id="556" w:name="docxtextref747"/>
      <w:bookmarkEnd w:id="55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additional costs incurred prior to or during such Post-Transaction Period in connection with the combination of the operations of such Pro Forma Entity with the operations of Bidco and the Restricted Subsidiaries;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t>
      </w:r>
      <w:bookmarkStart w:id="557" w:name="docxtextref748"/>
      <w:bookmarkEnd w:id="557"/>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so long 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558" w:name="docxtextref749"/>
      <w:bookmarkEnd w:id="558"/>
      <w:r>
        <w:rPr>
          <w:rFonts w:ascii="Times New Roman;serif" w:hAnsi="Times New Roman;serif"/>
          <w:b w:val="false"/>
          <w:sz w:val="22"/>
        </w:rPr>
        <w:t>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period, or such additional costs will be incurred during the entirety of such period, (B)</w:t>
      </w:r>
      <w:r>
        <w:rPr>
          <w:rFonts w:ascii="Times New Roman" w:hAnsi="Times New Roman"/>
          <w:sz w:val="20"/>
        </w:rPr>
        <w:t xml:space="preserve"> </w:t>
      </w:r>
      <w:r>
        <w:rPr>
          <w:rFonts w:ascii="Times New Roman;serif" w:hAnsi="Times New Roman;serif"/>
          <w:b w:val="false"/>
          <w:sz w:val="22"/>
        </w:rPr>
        <w:t xml:space="preserve">any Pro Forma Adjustment to Consolidated EBITDA shall be certified by a Financial Officer, the chief executive officer or president of Bidco or a Borrower and </w:t>
      </w:r>
      <w:bookmarkStart w:id="559" w:name="docxtextref750"/>
      <w:bookmarkEnd w:id="55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any such pro forma increase or decrease to such Acquired EBITDA or such Consolidated EBITDA, as the case may be, shall be without duplication for cost savings or additional costs already included in such Acquired EBITDA or such Consolidated EBITDA, as the case may be, for such period.</w:t>
      </w:r>
    </w:p>
    <w:p>
      <w:pPr>
        <w:pStyle w:val="TextBody"/>
        <w:bidi w:val="0"/>
        <w:spacing w:before="0" w:after="240"/>
        <w:jc w:val="both"/>
        <w:rPr/>
      </w:pPr>
      <w:bookmarkStart w:id="560" w:name="docxtextref751"/>
      <w:bookmarkEnd w:id="560"/>
      <w:r>
        <w:rPr/>
        <w:t>“</w:t>
      </w:r>
      <w:r>
        <w:rPr>
          <w:rFonts w:ascii="Times New Roman;serif" w:hAnsi="Times New Roman;serif"/>
          <w:b w:val="false"/>
          <w:sz w:val="22"/>
          <w:u w:val="single"/>
        </w:rPr>
        <w:t>Pro Forma Basis</w:t>
      </w:r>
      <w:r>
        <w:rPr>
          <w:rFonts w:ascii="Times New Roman;serif" w:hAnsi="Times New Roman;serif"/>
          <w:b w:val="false"/>
          <w:sz w:val="22"/>
        </w:rPr>
        <w:t>,” “</w:t>
      </w:r>
      <w:r>
        <w:rPr>
          <w:rFonts w:ascii="Times New Roman;serif" w:hAnsi="Times New Roman;serif"/>
          <w:b w:val="false"/>
          <w:sz w:val="22"/>
          <w:u w:val="single"/>
        </w:rPr>
        <w:t>Pro Forma Compliance</w:t>
      </w:r>
      <w:r>
        <w:rPr>
          <w:rFonts w:ascii="Times New Roman" w:hAnsi="Times New Roman"/>
          <w:sz w:val="20"/>
        </w:rPr>
        <w:t xml:space="preserve">” </w:t>
      </w:r>
      <w:r>
        <w:rPr>
          <w:rFonts w:ascii="Times New Roman;serif" w:hAnsi="Times New Roman;serif"/>
          <w:b w:val="false"/>
          <w:sz w:val="22"/>
        </w:rPr>
        <w:t>and “</w:t>
      </w:r>
      <w:r>
        <w:rPr>
          <w:rFonts w:ascii="Times New Roman;serif" w:hAnsi="Times New Roman;serif"/>
          <w:b w:val="false"/>
          <w:sz w:val="22"/>
          <w:u w:val="single"/>
        </w:rPr>
        <w:t>Pro Forma Effect</w:t>
      </w:r>
      <w:r>
        <w:rPr>
          <w:rFonts w:ascii="Times New Roman" w:hAnsi="Times New Roman"/>
          <w:sz w:val="20"/>
        </w:rPr>
        <w:t xml:space="preserve">” </w:t>
      </w:r>
      <w:r>
        <w:rPr>
          <w:rFonts w:ascii="Times New Roman;serif" w:hAnsi="Times New Roman;serif"/>
          <w:b w:val="false"/>
          <w:sz w:val="22"/>
        </w:rPr>
        <w:t>mean, with respect to compliance with any test, financial ratio or covenant hereunder required by the terms of this Agreement to be made on a Pro Forma Basis or after giving Pro Forma Effect thereto, that (a)</w:t>
      </w:r>
      <w:r>
        <w:rPr>
          <w:rFonts w:ascii="Times New Roman" w:hAnsi="Times New Roman"/>
          <w:sz w:val="20"/>
        </w:rPr>
        <w:t xml:space="preserve"> </w:t>
      </w:r>
      <w:r>
        <w:rPr>
          <w:rFonts w:ascii="Times New Roman;serif" w:hAnsi="Times New Roman;serif"/>
          <w:b w:val="false"/>
          <w:sz w:val="22"/>
        </w:rPr>
        <w:t xml:space="preserve">to the extent applicable, the Pro Forma Adjustment shall have been made and </w:t>
      </w:r>
      <w:bookmarkStart w:id="561" w:name="docxtextref752"/>
      <w:bookmarkEnd w:id="56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w:t>
      </w:r>
      <w:bookmarkStart w:id="562" w:name="docxtextref753"/>
      <w:bookmarkEnd w:id="56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income statement items (whether positive or negative) attributable to the property or Person subject to such Specified Transaction, </w:t>
      </w:r>
      <w:bookmarkStart w:id="563" w:name="docxtextref754"/>
      <w:bookmarkEnd w:id="563"/>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in the case of a disposition of all or substantially all Equity Interests in any subsidiary of Bidco or any division, product line, or facility used for operations of Bidco or any of its Subsidiaries, shall be excluded and </w:t>
      </w:r>
      <w:bookmarkStart w:id="564" w:name="docxtextref755"/>
      <w:bookmarkEnd w:id="56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the case of a Permitted Acquisition or Investment described in the definition of “Specified Transaction,” shall be included, (ii) any retirement of Indebtedness, and (iii) any Indebtedness incurred or assumed by Bidco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w:t>
      </w:r>
      <w:bookmarkStart w:id="565" w:name="docxtextref756"/>
      <w:bookmarkEnd w:id="565"/>
      <w:r>
        <w:rPr>
          <w:rFonts w:ascii="Times New Roman;serif" w:hAnsi="Times New Roman;serif"/>
          <w:b w:val="false"/>
          <w:sz w:val="22"/>
        </w:rPr>
        <w:t>(i)</w:t>
      </w:r>
      <w:r>
        <w:rPr>
          <w:rFonts w:ascii="Times New Roman" w:hAnsi="Times New Roman"/>
          <w:sz w:val="20"/>
        </w:rPr>
        <w:t xml:space="preserve"> </w:t>
      </w:r>
      <w:bookmarkStart w:id="566" w:name="docxtextref757"/>
      <w:bookmarkEnd w:id="56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directly attributable to such transaction, </w:t>
      </w:r>
      <w:bookmarkStart w:id="567" w:name="docxtextref758"/>
      <w:bookmarkEnd w:id="56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expected to have a continuing impact on Bidco or any of its Subsidiaries and </w:t>
      </w:r>
      <w:bookmarkStart w:id="568" w:name="docxtextref759"/>
      <w:bookmarkEnd w:id="568"/>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pStyle w:val="TextBody"/>
        <w:bidi w:val="0"/>
        <w:spacing w:before="0" w:after="240"/>
        <w:jc w:val="both"/>
        <w:rPr/>
      </w:pPr>
      <w:r>
        <w:rPr/>
        <w:t>“</w:t>
      </w:r>
      <w:r>
        <w:rPr>
          <w:rFonts w:ascii="Times New Roman;serif" w:hAnsi="Times New Roman;serif"/>
          <w:b w:val="false"/>
          <w:sz w:val="22"/>
          <w:u w:val="single"/>
        </w:rPr>
        <w:t>Pro Forma Disposal Adjustment</w:t>
      </w:r>
      <w:r>
        <w:rPr>
          <w:rFonts w:ascii="Times New Roman" w:hAnsi="Times New Roman"/>
          <w:sz w:val="20"/>
        </w:rPr>
        <w:t xml:space="preserve">” </w:t>
      </w:r>
      <w:r>
        <w:rPr>
          <w:rFonts w:ascii="Times New Roman;serif" w:hAnsi="Times New Roman;serif"/>
          <w:b w:val="false"/>
          <w:sz w:val="22"/>
        </w:rPr>
        <w:t>means, for any relevant period that includes all or a portion of a fiscal quarter included in any Post-Transaction Period with respect to any Sold Entity or Business, the pro forma increase or decrease in Consolidated EBITDA projected by Bidco in good faith as a result of contractual arrangements between Bidco or any Restricted Subsidiary entered into with such Sold Entity or Business at the time of its disposal or within the Post-Transaction Period and which represents an increase or decrease in Consolidated EBITDA which is incremental to the Disposed EBITDA of such Sold Entity or Business for such period.</w:t>
      </w:r>
    </w:p>
    <w:p>
      <w:pPr>
        <w:pStyle w:val="TextBody"/>
        <w:bidi w:val="0"/>
        <w:spacing w:before="0" w:after="240"/>
        <w:jc w:val="both"/>
        <w:rPr/>
      </w:pPr>
      <w:r>
        <w:rPr/>
        <w:t>“</w:t>
      </w:r>
      <w:r>
        <w:rPr>
          <w:rFonts w:ascii="Times New Roman;serif" w:hAnsi="Times New Roman;serif"/>
          <w:b w:val="false"/>
          <w:sz w:val="22"/>
          <w:u w:val="single"/>
        </w:rPr>
        <w:t>Pro Forma Entity</w:t>
      </w:r>
      <w:r>
        <w:rPr>
          <w:rFonts w:ascii="Times New Roman" w:hAnsi="Times New Roman"/>
          <w:sz w:val="20"/>
        </w:rPr>
        <w:t xml:space="preserve">” </w:t>
      </w:r>
      <w:r>
        <w:rPr>
          <w:rFonts w:ascii="Times New Roman;serif" w:hAnsi="Times New Roman;serif"/>
          <w:b w:val="false"/>
          <w:sz w:val="22"/>
        </w:rPr>
        <w:t>has the meaning given to such term in the definition of “Acquired EBITDA.”</w:t>
      </w:r>
    </w:p>
    <w:p>
      <w:pPr>
        <w:pStyle w:val="TextBody"/>
        <w:bidi w:val="0"/>
        <w:spacing w:before="0" w:after="240"/>
        <w:jc w:val="both"/>
        <w:rPr/>
      </w:pPr>
      <w:r>
        <w:rPr/>
        <w:t>“</w:t>
      </w:r>
      <w:r>
        <w:rPr>
          <w:rFonts w:ascii="Times New Roman;serif" w:hAnsi="Times New Roman;serif"/>
          <w:b w:val="false"/>
          <w:sz w:val="22"/>
          <w:u w:val="single"/>
        </w:rPr>
        <w:t>Proposed Change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9.02(c)</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PTE</w:t>
      </w:r>
      <w:r>
        <w:rPr>
          <w:rFonts w:ascii="Times New Roman" w:hAnsi="Times New Roman"/>
          <w:sz w:val="20"/>
        </w:rPr>
        <w:t xml:space="preserve">” </w:t>
      </w:r>
      <w:r>
        <w:rPr>
          <w:rFonts w:ascii="Times New Roman;serif" w:hAnsi="Times New Roman;serif"/>
          <w:b w:val="false"/>
          <w:sz w:val="22"/>
        </w:rPr>
        <w:t>means a prohibited transaction class exemption issued by the U.S. Department of Labor, as any such exemption may be amended from time to time.</w:t>
      </w:r>
    </w:p>
    <w:p>
      <w:pPr>
        <w:pStyle w:val="TextBody"/>
        <w:bidi w:val="0"/>
        <w:spacing w:before="0" w:after="240"/>
        <w:jc w:val="both"/>
        <w:rPr/>
      </w:pPr>
      <w:r>
        <w:rPr/>
        <w:t>“</w:t>
      </w:r>
      <w:r>
        <w:rPr>
          <w:rFonts w:ascii="Times New Roman;serif" w:hAnsi="Times New Roman;serif"/>
          <w:b w:val="false"/>
          <w:sz w:val="22"/>
          <w:u w:val="single"/>
        </w:rPr>
        <w:t>Public Company Costs</w:t>
      </w:r>
      <w:r>
        <w:rPr>
          <w:rFonts w:ascii="Times New Roman" w:hAnsi="Times New Roman"/>
          <w:sz w:val="20"/>
        </w:rPr>
        <w:t xml:space="preserve">” </w:t>
      </w:r>
      <w:r>
        <w:rPr>
          <w:rFonts w:ascii="Times New Roman;serif" w:hAnsi="Times New Roman;serif"/>
          <w:b w:val="false"/>
          <w:sz w:val="22"/>
        </w:rPr>
        <w:t>means, as to Bidco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pStyle w:val="TextBody"/>
        <w:bidi w:val="0"/>
        <w:spacing w:before="0" w:after="240"/>
        <w:jc w:val="both"/>
        <w:rPr/>
      </w:pPr>
      <w:r>
        <w:rPr/>
        <w:t>“</w:t>
      </w:r>
      <w:r>
        <w:rPr>
          <w:rFonts w:ascii="Times New Roman;serif" w:hAnsi="Times New Roman;serif"/>
          <w:b w:val="false"/>
          <w:sz w:val="22"/>
          <w:u w:val="single"/>
        </w:rPr>
        <w:t>Public Lender</w:t>
      </w:r>
      <w:r>
        <w:rPr>
          <w:rFonts w:ascii="Times New Roman" w:hAnsi="Times New Roman"/>
          <w:sz w:val="20"/>
        </w:rPr>
        <w:t xml:space="preserve">” </w:t>
      </w:r>
      <w:r>
        <w:rPr>
          <w:rFonts w:ascii="Times New Roman;serif" w:hAnsi="Times New Roman;serif"/>
          <w:b w:val="false"/>
          <w:sz w:val="22"/>
        </w:rPr>
        <w:t xml:space="preserve">has the meaning assigned to such term in the last paragraph of </w:t>
      </w:r>
      <w:r>
        <w:rPr>
          <w:rFonts w:ascii="Times New Roman;serif" w:hAnsi="Times New Roman;serif"/>
          <w:b w:val="false"/>
          <w:sz w:val="22"/>
          <w:u w:val="single"/>
        </w:rPr>
        <w:t>Section 5.01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QFC Credit Support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9.20</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Qualified Equity Interests</w:t>
      </w:r>
      <w:r>
        <w:rPr>
          <w:rFonts w:ascii="Times New Roman" w:hAnsi="Times New Roman"/>
          <w:sz w:val="20"/>
        </w:rPr>
        <w:t xml:space="preserve">” </w:t>
      </w:r>
      <w:r>
        <w:rPr>
          <w:rFonts w:ascii="Times New Roman;serif" w:hAnsi="Times New Roman;serif"/>
          <w:b w:val="false"/>
          <w:sz w:val="22"/>
        </w:rPr>
        <w:t>means Equity Interests of Holdings or Bidco other than Disqualified Equity Interests.</w:t>
      </w:r>
    </w:p>
    <w:p>
      <w:pPr>
        <w:pStyle w:val="TextBody"/>
        <w:bidi w:val="0"/>
        <w:spacing w:before="0" w:after="240"/>
        <w:jc w:val="both"/>
        <w:rPr/>
      </w:pPr>
      <w:r>
        <w:rPr/>
        <w:t>“</w:t>
      </w:r>
      <w:r>
        <w:rPr>
          <w:rFonts w:ascii="Times New Roman;serif" w:hAnsi="Times New Roman;serif"/>
          <w:b w:val="false"/>
          <w:sz w:val="22"/>
          <w:u w:val="single"/>
        </w:rPr>
        <w:t>Qualified Proceeds</w:t>
      </w:r>
      <w:r>
        <w:rPr>
          <w:rFonts w:ascii="Times New Roman" w:hAnsi="Times New Roman"/>
          <w:sz w:val="20"/>
        </w:rPr>
        <w:t xml:space="preserve">” </w:t>
      </w:r>
      <w:r>
        <w:rPr>
          <w:rFonts w:ascii="Times New Roman;serif" w:hAnsi="Times New Roman;serif"/>
          <w:b w:val="false"/>
          <w:sz w:val="22"/>
        </w:rPr>
        <w:t xml:space="preserve">means assets that are used or useful in, or Equity Interests of any Person engaged in, a Similar Business;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fair market value of any such assets or Equity Interests shall be determined by a Responsible Officer of Bidco or a Borrower in good faith.</w:t>
      </w:r>
    </w:p>
    <w:p>
      <w:pPr>
        <w:pStyle w:val="TextBody"/>
        <w:bidi w:val="0"/>
        <w:spacing w:before="0" w:after="240"/>
        <w:jc w:val="both"/>
        <w:rPr/>
      </w:pPr>
      <w:r>
        <w:rPr/>
        <w:t>“</w:t>
      </w:r>
      <w:r>
        <w:rPr>
          <w:rFonts w:ascii="Times New Roman;serif" w:hAnsi="Times New Roman;serif"/>
          <w:b w:val="false"/>
          <w:sz w:val="22"/>
          <w:u w:val="single"/>
        </w:rPr>
        <w:t>Qualifying Lender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Receivables Assets</w:t>
      </w:r>
      <w:r>
        <w:rPr>
          <w:rFonts w:ascii="Times New Roman" w:hAnsi="Times New Roman"/>
          <w:sz w:val="20"/>
        </w:rPr>
        <w:t xml:space="preserve">” </w:t>
      </w:r>
      <w:r>
        <w:rPr>
          <w:rFonts w:ascii="Times New Roman;serif" w:hAnsi="Times New Roman;serif"/>
          <w:b w:val="false"/>
          <w:sz w:val="22"/>
        </w:rPr>
        <w:t>means accounts receivable, royalty and other similar rights to payment and any other assets related thereto subject to a Receivables Facility that are customarily sold or pledged in connection with receivables transactions and the proceeds thereof.</w:t>
      </w:r>
    </w:p>
    <w:p>
      <w:pPr>
        <w:pStyle w:val="TextBody"/>
        <w:bidi w:val="0"/>
        <w:spacing w:before="0" w:after="240"/>
        <w:jc w:val="both"/>
        <w:rPr/>
      </w:pPr>
      <w:bookmarkStart w:id="569" w:name="docxtextref764"/>
      <w:bookmarkEnd w:id="569"/>
      <w:r>
        <w:rPr/>
        <w:t>“</w:t>
      </w:r>
      <w:r>
        <w:rPr>
          <w:rFonts w:ascii="Times New Roman;serif" w:hAnsi="Times New Roman;serif"/>
          <w:b w:val="false"/>
          <w:sz w:val="22"/>
          <w:u w:val="single"/>
        </w:rPr>
        <w:t>Receivables Facility</w:t>
      </w:r>
      <w:r>
        <w:rPr>
          <w:rFonts w:ascii="Times New Roman" w:hAnsi="Times New Roman"/>
          <w:sz w:val="20"/>
        </w:rPr>
        <w:t xml:space="preserve">” </w:t>
      </w:r>
      <w:r>
        <w:rPr>
          <w:rFonts w:ascii="Times New Roman;serif" w:hAnsi="Times New Roman;serif"/>
          <w:b w:val="false"/>
          <w:sz w:val="22"/>
        </w:rPr>
        <w:t>means any of one or more receivables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Bidco or any of its Restricted Subsidiaries (other than a Receivables Subsidiary) pursuant to which Bidco or any of its Restricted Subsidiaries sells or grants a security interest in its accounts receivable or assets related thereto that are customarily sold or pledged in connection with securitization transactions to either (a)</w:t>
      </w:r>
      <w:r>
        <w:rPr>
          <w:rFonts w:ascii="Times New Roman" w:hAnsi="Times New Roman"/>
          <w:sz w:val="20"/>
        </w:rPr>
        <w:t xml:space="preserve"> </w:t>
      </w:r>
      <w:r>
        <w:rPr>
          <w:rFonts w:ascii="Times New Roman;serif" w:hAnsi="Times New Roman;serif"/>
          <w:b w:val="false"/>
          <w:sz w:val="22"/>
        </w:rPr>
        <w:t xml:space="preserve">a Person that is not a Restricted Subsidiary or </w:t>
      </w:r>
      <w:bookmarkStart w:id="570" w:name="docxtextref765"/>
      <w:bookmarkEnd w:id="57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 Receivables Subsidiary that in turn sells its accounts receivable to a Person that is not a Restricted Subsidiary.</w:t>
      </w:r>
    </w:p>
    <w:p>
      <w:pPr>
        <w:pStyle w:val="TextBody"/>
        <w:bidi w:val="0"/>
        <w:spacing w:before="0" w:after="240"/>
        <w:jc w:val="both"/>
        <w:rPr/>
      </w:pPr>
      <w:r>
        <w:rPr/>
        <w:t>“</w:t>
      </w:r>
      <w:r>
        <w:rPr>
          <w:rFonts w:ascii="Times New Roman;serif" w:hAnsi="Times New Roman;serif"/>
          <w:b w:val="false"/>
          <w:sz w:val="22"/>
          <w:u w:val="single"/>
        </w:rPr>
        <w:t>Receivables Fees</w:t>
      </w:r>
      <w:r>
        <w:rPr>
          <w:rFonts w:ascii="Times New Roman" w:hAnsi="Times New Roman"/>
          <w:sz w:val="20"/>
        </w:rPr>
        <w:t xml:space="preserve">” </w:t>
      </w:r>
      <w:r>
        <w:rPr>
          <w:rFonts w:ascii="Times New Roman;serif" w:hAnsi="Times New Roman;serif"/>
          <w:b w:val="false"/>
          <w:sz w:val="22"/>
        </w:rPr>
        <w:t>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w:t>
      </w:r>
    </w:p>
    <w:p>
      <w:pPr>
        <w:pStyle w:val="TextBody"/>
        <w:bidi w:val="0"/>
        <w:spacing w:before="0" w:after="240"/>
        <w:jc w:val="both"/>
        <w:rPr/>
      </w:pPr>
      <w:r>
        <w:rPr/>
        <w:t>“</w:t>
      </w:r>
      <w:r>
        <w:rPr>
          <w:rFonts w:ascii="Times New Roman;serif" w:hAnsi="Times New Roman;serif"/>
          <w:b w:val="false"/>
          <w:sz w:val="22"/>
          <w:u w:val="single"/>
        </w:rPr>
        <w:t>Receivables Subsidiary</w:t>
      </w:r>
      <w:r>
        <w:rPr>
          <w:rFonts w:ascii="Times New Roman" w:hAnsi="Times New Roman"/>
          <w:sz w:val="20"/>
        </w:rPr>
        <w:t xml:space="preserve">” </w:t>
      </w:r>
      <w:r>
        <w:rPr>
          <w:rFonts w:ascii="Times New Roman;serif" w:hAnsi="Times New Roman;serif"/>
          <w:b w:val="false"/>
          <w:sz w:val="22"/>
        </w:rPr>
        <w:t>means any Subsidiary formed for the purpose of, and that solely engages only in, one or more Receivables Facilities and other activities reasonably related or incidental thereto.</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Recruitment Notes</w:t>
      </w:r>
      <w:r>
        <w:rPr>
          <w:rFonts w:ascii="Times New Roman" w:hAnsi="Times New Roman"/>
          <w:sz w:val="20"/>
        </w:rPr>
        <w:t xml:space="preserve">” </w:t>
      </w:r>
      <w:r>
        <w:rPr>
          <w:rFonts w:ascii="Times New Roman;serif" w:hAnsi="Times New Roman;serif"/>
          <w:b w:val="false"/>
          <w:sz w:val="22"/>
        </w:rPr>
        <w:t>means forgivable promissory notes issued from time to time by a Restricted Subsidiary to certain employees or financial advisors in the ordinary course of business.</w:t>
      </w:r>
    </w:p>
    <w:p>
      <w:pPr>
        <w:pStyle w:val="TextBody"/>
        <w:bidi w:val="0"/>
        <w:spacing w:before="0" w:after="240"/>
        <w:jc w:val="both"/>
        <w:rPr/>
      </w:pPr>
      <w:r>
        <w:rPr/>
        <w:t>“</w:t>
      </w:r>
      <w:r>
        <w:rPr>
          <w:rFonts w:ascii="Times New Roman;serif" w:hAnsi="Times New Roman;serif"/>
          <w:b w:val="false"/>
          <w:sz w:val="22"/>
          <w:u w:val="single"/>
        </w:rPr>
        <w:t>Refinanced Debt</w:t>
      </w:r>
      <w:r>
        <w:rPr>
          <w:rFonts w:ascii="Times New Roman" w:hAnsi="Times New Roman"/>
          <w:sz w:val="20"/>
        </w:rPr>
        <w:t xml:space="preserve">” </w:t>
      </w:r>
      <w:r>
        <w:rPr>
          <w:rFonts w:ascii="Times New Roman;serif" w:hAnsi="Times New Roman;serif"/>
          <w:b w:val="false"/>
          <w:sz w:val="22"/>
        </w:rPr>
        <w:t>has the meaning assigned to such term in the definition of “Credit Agreement Refinancing Indebtedness.”</w:t>
      </w:r>
    </w:p>
    <w:p>
      <w:pPr>
        <w:pStyle w:val="TextBody"/>
        <w:bidi w:val="0"/>
        <w:spacing w:before="0" w:after="240"/>
        <w:jc w:val="both"/>
        <w:rPr/>
      </w:pPr>
      <w:r>
        <w:rPr/>
        <w:t>“</w:t>
      </w:r>
      <w:r>
        <w:rPr>
          <w:rFonts w:ascii="Times New Roman;serif" w:hAnsi="Times New Roman;serif"/>
          <w:b w:val="false"/>
          <w:sz w:val="22"/>
          <w:u w:val="single"/>
        </w:rPr>
        <w:t>Refinancing</w:t>
      </w:r>
      <w:r>
        <w:rPr>
          <w:rFonts w:ascii="Times New Roman" w:hAnsi="Times New Roman"/>
          <w:sz w:val="20"/>
        </w:rPr>
        <w:t xml:space="preserve">” </w:t>
      </w:r>
      <w:r>
        <w:rPr>
          <w:rFonts w:ascii="Times New Roman;serif" w:hAnsi="Times New Roman;serif"/>
          <w:b w:val="false"/>
          <w:sz w:val="22"/>
        </w:rPr>
        <w:t xml:space="preserve">means, collectively, (a) the refinancing of all Target Refinancing Indebtedness on or prior to the Target Debt Refinancing Outside Date and the termination of all commitments and Liens thereunder (or in the case of letters of credit, replaced, backstopped or incorporated or “grandfathered” into the Revolving Facility) and (b) to the extent that Bidco elects prior to the Target Debt Refinancing Outside Date that any portion of the Potential Rollover Instruments shall remain outstanding in accordance with the definition of “Target Debt Refinancing Indebtedness”, the reduction (without duplication) of Initial Term Commitments in an aggregate amount equal to the Rolled Over Amounts in accordance with </w:t>
      </w:r>
      <w:r>
        <w:rPr>
          <w:rFonts w:ascii="Times New Roman;serif" w:hAnsi="Times New Roman;serif"/>
          <w:b w:val="false"/>
          <w:sz w:val="22"/>
          <w:u w:val="single"/>
        </w:rPr>
        <w:t>Section 2.07(a)</w:t>
      </w:r>
      <w:r>
        <w:rPr>
          <w:rFonts w:ascii="Times New Roman;serif" w:hAnsi="Times New Roman;serif"/>
          <w:b w:val="false"/>
          <w:sz w:val="22"/>
        </w:rPr>
        <w:t>.</w:t>
      </w:r>
    </w:p>
    <w:p>
      <w:pPr>
        <w:pStyle w:val="TextBody"/>
        <w:bidi w:val="0"/>
        <w:spacing w:before="0" w:after="240"/>
        <w:jc w:val="both"/>
        <w:rPr/>
      </w:pPr>
      <w:bookmarkStart w:id="571" w:name="docxtextref767"/>
      <w:bookmarkEnd w:id="571"/>
      <w:r>
        <w:rPr/>
        <w:t>“</w:t>
      </w:r>
      <w:r>
        <w:rPr>
          <w:rFonts w:ascii="Times New Roman;serif" w:hAnsi="Times New Roman;serif"/>
          <w:b w:val="false"/>
          <w:sz w:val="22"/>
          <w:u w:val="single"/>
        </w:rPr>
        <w:t>Refinancing Amendment</w:t>
      </w:r>
      <w:r>
        <w:rPr>
          <w:rFonts w:ascii="Times New Roman" w:hAnsi="Times New Roman"/>
          <w:sz w:val="20"/>
        </w:rPr>
        <w:t xml:space="preserve">” </w:t>
      </w:r>
      <w:r>
        <w:rPr>
          <w:rFonts w:ascii="Times New Roman;serif" w:hAnsi="Times New Roman;serif"/>
          <w:b w:val="false"/>
          <w:sz w:val="22"/>
        </w:rPr>
        <w:t>means an amendment to this Agreement in form and substance reasonably satisfactory to the Administrative Agent and Bidco executed by each of (a)</w:t>
      </w:r>
      <w:r>
        <w:rPr>
          <w:rFonts w:ascii="Times New Roman" w:hAnsi="Times New Roman"/>
          <w:sz w:val="20"/>
        </w:rPr>
        <w:t xml:space="preserve"> </w:t>
      </w:r>
      <w:r>
        <w:rPr>
          <w:rFonts w:ascii="Times New Roman;serif" w:hAnsi="Times New Roman;serif"/>
          <w:b w:val="false"/>
          <w:sz w:val="22"/>
        </w:rPr>
        <w:t xml:space="preserve">the Borrowers, Bidco and Holdings, </w:t>
      </w:r>
      <w:bookmarkStart w:id="572" w:name="docxtextref768"/>
      <w:bookmarkEnd w:id="57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Administrative Agent and </w:t>
      </w:r>
      <w:bookmarkStart w:id="573" w:name="docxtextref769"/>
      <w:bookmarkEnd w:id="57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each Additional Lender and Lender that agrees to provide any portion of the Credit Agreement Refinancing Indebtedness being incurred pursuant thereto, in accordance with </w:t>
      </w:r>
      <w:r>
        <w:rPr>
          <w:rFonts w:ascii="Times New Roman;serif" w:hAnsi="Times New Roman;serif"/>
          <w:b w:val="false"/>
          <w:sz w:val="22"/>
          <w:u w:val="single"/>
        </w:rPr>
        <w:t>Section 2.20</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Refinancing Indebtedness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6.01(b)(xii)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Refunding Capital Stock</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6.05(b)(ii)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Register</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9.04(b)(iv)</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Registered Equivalent Notes</w:t>
      </w:r>
      <w:r>
        <w:rPr>
          <w:rFonts w:ascii="Times New Roman" w:hAnsi="Times New Roman"/>
          <w:sz w:val="20"/>
        </w:rPr>
        <w:t xml:space="preserve">” </w:t>
      </w:r>
      <w:r>
        <w:rPr>
          <w:rFonts w:ascii="Times New Roman;serif" w:hAnsi="Times New Roman;serif"/>
          <w:b w:val="false"/>
          <w:sz w:val="22"/>
        </w:rPr>
        <w:t>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pStyle w:val="TextBody"/>
        <w:bidi w:val="0"/>
        <w:spacing w:before="0" w:after="240"/>
        <w:jc w:val="both"/>
        <w:rPr/>
      </w:pPr>
      <w:r>
        <w:rPr/>
        <w:t>“</w:t>
      </w:r>
      <w:r>
        <w:rPr>
          <w:rFonts w:ascii="Times New Roman;serif" w:hAnsi="Times New Roman;serif"/>
          <w:b w:val="false"/>
          <w:sz w:val="22"/>
          <w:u w:val="single"/>
        </w:rPr>
        <w:t>Reinvestment Period</w:t>
      </w:r>
      <w:r>
        <w:rPr>
          <w:rFonts w:ascii="Times New Roman" w:hAnsi="Times New Roman"/>
          <w:sz w:val="20"/>
        </w:rPr>
        <w:t xml:space="preserve">” </w:t>
      </w:r>
      <w:r>
        <w:rPr>
          <w:rFonts w:ascii="Times New Roman;serif" w:hAnsi="Times New Roman;serif"/>
          <w:b w:val="false"/>
          <w:sz w:val="22"/>
        </w:rPr>
        <w:t>shall mean 450 days following the date of receipt of Net Proceeds in respect of any Prepayment Event described in clause (a) of the definition thereof.</w:t>
      </w:r>
    </w:p>
    <w:p>
      <w:pPr>
        <w:pStyle w:val="TextBody"/>
        <w:bidi w:val="0"/>
        <w:spacing w:before="0" w:after="240"/>
        <w:jc w:val="both"/>
        <w:rPr/>
      </w:pPr>
      <w:r>
        <w:rPr/>
        <w:t>“</w:t>
      </w:r>
      <w:r>
        <w:rPr>
          <w:rFonts w:ascii="Times New Roman;serif" w:hAnsi="Times New Roman;serif"/>
          <w:b w:val="false"/>
          <w:sz w:val="22"/>
          <w:u w:val="single"/>
        </w:rPr>
        <w:t>Related Parties</w:t>
      </w:r>
      <w:r>
        <w:rPr>
          <w:rFonts w:ascii="Times New Roman" w:hAnsi="Times New Roman"/>
          <w:sz w:val="20"/>
        </w:rPr>
        <w:t xml:space="preserve">” </w:t>
      </w:r>
      <w:r>
        <w:rPr>
          <w:rFonts w:ascii="Times New Roman;serif" w:hAnsi="Times New Roman;serif"/>
          <w:b w:val="false"/>
          <w:sz w:val="22"/>
        </w:rPr>
        <w:t>means, with respect to any Person, such Person’s Affiliates and the partners, directors, officers, employees, agents, trustees, administrators, managers, advisors and representatives of such Person and of such Person’s Affiliates and permitted successors and assigns of each of the foregoing.</w:t>
      </w:r>
    </w:p>
    <w:p>
      <w:pPr>
        <w:pStyle w:val="TextBody"/>
        <w:bidi w:val="0"/>
        <w:spacing w:before="0" w:after="240"/>
        <w:jc w:val="both"/>
        <w:rPr/>
      </w:pPr>
      <w:r>
        <w:rPr/>
        <w:t>“</w:t>
      </w:r>
      <w:r>
        <w:rPr>
          <w:rFonts w:ascii="Times New Roman;serif" w:hAnsi="Times New Roman;serif"/>
          <w:b w:val="false"/>
          <w:sz w:val="22"/>
          <w:u w:val="single"/>
        </w:rPr>
        <w:t>Release</w:t>
      </w:r>
      <w:r>
        <w:rPr>
          <w:rFonts w:ascii="Times New Roman" w:hAnsi="Times New Roman"/>
          <w:sz w:val="20"/>
        </w:rPr>
        <w:t xml:space="preserve">” </w:t>
      </w:r>
      <w:r>
        <w:rPr>
          <w:rFonts w:ascii="Times New Roman;serif" w:hAnsi="Times New Roman;serif"/>
          <w:b w:val="false"/>
          <w:sz w:val="22"/>
        </w:rPr>
        <w:t>means any release, spill, emission, leaking, dumping, injection, pouring, deposit, disposal, discharge, dispersal, leaching or migration into the Environment, including the environment within any building or any occupied structure, facility or fixture.</w:t>
      </w:r>
    </w:p>
    <w:p>
      <w:pPr>
        <w:pStyle w:val="TextBody"/>
        <w:bidi w:val="0"/>
        <w:spacing w:before="0" w:after="240"/>
        <w:jc w:val="both"/>
        <w:rPr/>
      </w:pPr>
      <w:r>
        <w:rPr/>
        <w:t>“</w:t>
      </w:r>
      <w:r>
        <w:rPr>
          <w:rFonts w:ascii="Times New Roman;serif" w:hAnsi="Times New Roman;serif"/>
          <w:b w:val="false"/>
          <w:sz w:val="22"/>
          <w:u w:val="single"/>
        </w:rPr>
        <w:t>Removal Effective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8.06</w:t>
      </w:r>
      <w:r>
        <w:rPr>
          <w:rFonts w:ascii="Times New Roman;serif" w:hAnsi="Times New Roman;serif"/>
          <w:b w:val="false"/>
          <w:sz w:val="22"/>
        </w:rPr>
        <w:t>.</w:t>
      </w:r>
    </w:p>
    <w:p>
      <w:pPr>
        <w:pStyle w:val="TextBody"/>
        <w:bidi w:val="0"/>
        <w:spacing w:before="0" w:after="240"/>
        <w:jc w:val="both"/>
        <w:rPr/>
      </w:pPr>
      <w:bookmarkStart w:id="574" w:name="docxtextref774"/>
      <w:bookmarkEnd w:id="574"/>
      <w:r>
        <w:rPr/>
        <w:t>“</w:t>
      </w:r>
      <w:r>
        <w:rPr>
          <w:rFonts w:ascii="Times New Roman;serif" w:hAnsi="Times New Roman;serif"/>
          <w:b w:val="false"/>
          <w:sz w:val="22"/>
          <w:u w:val="single"/>
        </w:rPr>
        <w:t>Repricing Transaction</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incurrence by any Borrower or any Guarantor of any Indebtedness in the form of term loans equal in right of payment to the Loan Document Obligations and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the Secured Obligations that are broadly syndicated to banks and other institutional investors </w:t>
      </w:r>
      <w:bookmarkStart w:id="575" w:name="docxtextref775"/>
      <w:bookmarkEnd w:id="57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for the primary purpose (as reasonably determined by Bidco) of reducing the Effective Yield for the respective Type of such Indebtedness to less than the Effective Yield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576" w:name="docxtextref776"/>
      <w:bookmarkEnd w:id="576"/>
      <w:r>
        <w:rPr>
          <w:rFonts w:ascii="Times New Roman;serif" w:hAnsi="Times New Roman;serif"/>
          <w:b w:val="false"/>
          <w:sz w:val="22"/>
        </w:rPr>
        <w:t>for the Initial Term Loans of the respective equivalent Type, but excluding Indebtedness incurred in connection with (A)</w:t>
      </w:r>
      <w:r>
        <w:rPr>
          <w:rFonts w:ascii="Times New Roman" w:hAnsi="Times New Roman"/>
          <w:sz w:val="20"/>
        </w:rPr>
        <w:t xml:space="preserve"> </w:t>
      </w:r>
      <w:r>
        <w:rPr>
          <w:rFonts w:ascii="Times New Roman;serif" w:hAnsi="Times New Roman;serif"/>
          <w:b w:val="false"/>
          <w:sz w:val="22"/>
        </w:rPr>
        <w:t xml:space="preserve">a Change of Control, </w:t>
      </w:r>
      <w:bookmarkStart w:id="577" w:name="docxtextref777"/>
      <w:bookmarkEnd w:id="57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IPO or </w:t>
      </w:r>
      <w:bookmarkStart w:id="578" w:name="docxtextref778"/>
      <w:bookmarkEnd w:id="578"/>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material acquisition, merger or consolidation, material Investment, material Asset Sale or material Restricted Payment and (ii) the proceeds of which are used to prepay (or, in the case of a conversion, deemed to prepay or replace), in whole or in part, outstanding principal of Initial Term Loans or </w:t>
      </w:r>
      <w:bookmarkStart w:id="579" w:name="docxtextref779"/>
      <w:bookmarkEnd w:id="57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any amendment of this Agreement for the primary purpose of reducing the Effective Yield for the Initial Term Loans (</w:t>
      </w:r>
      <w:r>
        <w:rPr>
          <w:rFonts w:ascii="Times New Roman;serif" w:hAnsi="Times New Roman;serif"/>
          <w:b w:val="false"/>
          <w:sz w:val="22"/>
          <w:u w:val="single"/>
        </w:rPr>
        <w:t>e.g.</w:t>
      </w:r>
      <w:r>
        <w:rPr>
          <w:rFonts w:ascii="Times New Roman;serif" w:hAnsi="Times New Roman;serif"/>
          <w:b w:val="false"/>
          <w:sz w:val="22"/>
        </w:rPr>
        <w:t xml:space="preserve">, by way of amendment, waiver or otherwise), except for a reduction in connection with </w:t>
      </w:r>
      <w:bookmarkStart w:id="580" w:name="docxtextref780"/>
      <w:bookmarkEnd w:id="580"/>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 Change of Control, </w:t>
      </w:r>
      <w:bookmarkStart w:id="581" w:name="docxtextref781"/>
      <w:bookmarkEnd w:id="58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 IPO or </w:t>
      </w:r>
      <w:bookmarkStart w:id="582" w:name="docxtextref782"/>
      <w:bookmarkEnd w:id="58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any material acquisition, merger or consolidation, material Investment, material Asset Sale or material Restricted Payment. Any determination by the Administrative Agent with respect to whether a Repricing Transaction shall have occurred shall be conclusive and binding on all Lenders holding the Term Loans.</w:t>
      </w:r>
    </w:p>
    <w:p>
      <w:pPr>
        <w:pStyle w:val="TextBody"/>
        <w:bidi w:val="0"/>
        <w:spacing w:before="0" w:after="240"/>
        <w:jc w:val="both"/>
        <w:rPr/>
      </w:pPr>
      <w:bookmarkStart w:id="583" w:name="docxtextref783"/>
      <w:bookmarkEnd w:id="583"/>
      <w:r>
        <w:rPr/>
        <w:t>“</w:t>
      </w:r>
      <w:r>
        <w:rPr>
          <w:rFonts w:ascii="Times New Roman;serif" w:hAnsi="Times New Roman;serif"/>
          <w:b w:val="false"/>
          <w:sz w:val="22"/>
          <w:u w:val="single"/>
        </w:rPr>
        <w:t>Required Additional Debt Terms</w:t>
      </w:r>
      <w:r>
        <w:rPr>
          <w:rFonts w:ascii="Times New Roman" w:hAnsi="Times New Roman"/>
          <w:sz w:val="20"/>
        </w:rPr>
        <w:t xml:space="preserve">” </w:t>
      </w:r>
      <w:r>
        <w:rPr>
          <w:rFonts w:ascii="Times New Roman;serif" w:hAnsi="Times New Roman;serif"/>
          <w:b w:val="false"/>
          <w:sz w:val="22"/>
        </w:rPr>
        <w:t>means with respect to any Indebtedness, (a)</w:t>
      </w:r>
      <w:r>
        <w:rPr>
          <w:rFonts w:ascii="Times New Roman" w:hAnsi="Times New Roman"/>
          <w:sz w:val="20"/>
        </w:rPr>
        <w:t xml:space="preserve"> </w:t>
      </w:r>
      <w:r>
        <w:rPr>
          <w:rFonts w:ascii="Times New Roman;serif" w:hAnsi="Times New Roman;serif"/>
          <w:b w:val="false"/>
          <w:sz w:val="22"/>
        </w:rPr>
        <w:t xml:space="preserve">such Indebtedness (other than any Designated Earlier Maturing Debt)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w:t>
      </w:r>
      <w:bookmarkStart w:id="584" w:name="docxtextref784"/>
      <w:bookmarkEnd w:id="58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Indebtedness (other than any Designated Earlier Maturing Debt) does not have a shorter Weighted Average Life to Maturity than the remaining Initial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such remaining Initial Term Loans), </w:t>
      </w:r>
      <w:bookmarkStart w:id="585" w:name="docxtextref785"/>
      <w:bookmarkEnd w:id="58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such Indebtedness (other than any Designated Alternative Security Debt) is not guaranteed by any entity that is not a Loan Party, </w:t>
      </w:r>
      <w:bookmarkStart w:id="586" w:name="docxtextref786"/>
      <w:bookmarkEnd w:id="586"/>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if secured, such Indebtedness </w:t>
      </w:r>
      <w:bookmarkStart w:id="587" w:name="docxtextref787"/>
      <w:bookmarkEnd w:id="587"/>
      <w:r>
        <w:rPr>
          <w:rFonts w:ascii="Times New Roman;serif" w:hAnsi="Times New Roman;serif"/>
          <w:b w:val="false"/>
          <w:sz w:val="22"/>
        </w:rPr>
        <w:t>(other than any Designated Alternative Security Debt) (i)</w:t>
      </w:r>
      <w:r>
        <w:rPr>
          <w:rFonts w:ascii="Times New Roman" w:hAnsi="Times New Roman"/>
          <w:sz w:val="20"/>
        </w:rPr>
        <w:t xml:space="preserve"> </w:t>
      </w:r>
      <w:r>
        <w:rPr>
          <w:rFonts w:ascii="Times New Roman;serif" w:hAnsi="Times New Roman;serif"/>
          <w:b w:val="false"/>
          <w:sz w:val="22"/>
        </w:rPr>
        <w:t xml:space="preserve">is not secured by any assets other than Collateral and (ii) is subject to a Customary Intercreditor Agreement(s) and </w:t>
      </w:r>
      <w:bookmarkStart w:id="588" w:name="docxtextref788"/>
      <w:bookmarkEnd w:id="588"/>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the other terms and conditions of such Indebtedness shall be as agreed between the borrower of such Indebtedness and the parties providing any such Indebtedness.</w:t>
      </w:r>
    </w:p>
    <w:p>
      <w:pPr>
        <w:pStyle w:val="TextBody"/>
        <w:bidi w:val="0"/>
        <w:spacing w:before="0" w:after="240"/>
        <w:jc w:val="both"/>
        <w:rPr/>
      </w:pPr>
      <w:r>
        <w:rPr/>
        <w:t>“</w:t>
      </w:r>
      <w:r>
        <w:rPr>
          <w:rFonts w:ascii="Times New Roman;serif" w:hAnsi="Times New Roman;serif"/>
          <w:b w:val="false"/>
          <w:sz w:val="22"/>
          <w:u w:val="single"/>
        </w:rPr>
        <w:t>Required Lenders</w:t>
      </w:r>
      <w:r>
        <w:rPr>
          <w:rFonts w:ascii="Times New Roman" w:hAnsi="Times New Roman"/>
          <w:sz w:val="20"/>
        </w:rPr>
        <w:t xml:space="preserve">” </w:t>
      </w:r>
      <w:r>
        <w:rPr>
          <w:rFonts w:ascii="Times New Roman;serif" w:hAnsi="Times New Roman;serif"/>
          <w:b w:val="false"/>
          <w:sz w:val="22"/>
        </w:rPr>
        <w:t xml:space="preserve">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to the extent set forth in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whenever there are one or more Defaulting Lenders, the total outstanding Term Loans and Revolving Exposures of, and the unused Commitments of, each Defaulting Lender shall be excluded for purposes of making a determination of Required Lenders.</w:t>
      </w:r>
    </w:p>
    <w:p>
      <w:pPr>
        <w:pStyle w:val="TextBody"/>
        <w:bidi w:val="0"/>
        <w:spacing w:before="0" w:after="240"/>
        <w:jc w:val="both"/>
        <w:rPr/>
      </w:pPr>
      <w:r>
        <w:rPr/>
        <w:t>“</w:t>
      </w:r>
      <w:r>
        <w:rPr>
          <w:rFonts w:ascii="Times New Roman;serif" w:hAnsi="Times New Roman;serif"/>
          <w:b w:val="false"/>
          <w:sz w:val="22"/>
          <w:u w:val="single"/>
        </w:rPr>
        <w:t>Required Revolving Lenders</w:t>
      </w:r>
      <w:r>
        <w:rPr>
          <w:rFonts w:ascii="Times New Roman" w:hAnsi="Times New Roman"/>
          <w:sz w:val="20"/>
        </w:rPr>
        <w:t xml:space="preserve">” </w:t>
      </w:r>
      <w:r>
        <w:rPr>
          <w:rFonts w:ascii="Times New Roman;serif" w:hAnsi="Times New Roman;serif"/>
          <w:b w:val="false"/>
          <w:sz w:val="22"/>
        </w:rPr>
        <w:t xml:space="preserve">means, at any time, Revolving Lenders having Revolving Exposures and unused Revolving Commitments (exclusive of Swingline Commitments) representing more than 50% of the aggregate Revolving Exposures and unused Revolving Commitments (exclusive of Swingline Commitments) at such time;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to the extent set forth in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whenever there are one or more Defaulting Lenders, the total outstanding Revolving Exposures of, and the unused Revolving Commitments of, each Defaulting Lender, shall be excluded for purposes of making a determination of Required Revolving Lenders.</w:t>
      </w:r>
    </w:p>
    <w:p>
      <w:pPr>
        <w:pStyle w:val="TextBody"/>
        <w:bidi w:val="0"/>
        <w:spacing w:before="0" w:after="240"/>
        <w:jc w:val="both"/>
        <w:rPr/>
      </w:pPr>
      <w:r>
        <w:rPr/>
        <w:t>“</w:t>
      </w:r>
      <w:r>
        <w:rPr>
          <w:rFonts w:ascii="Times New Roman;serif" w:hAnsi="Times New Roman;serif"/>
          <w:b w:val="false"/>
          <w:sz w:val="22"/>
          <w:u w:val="single"/>
        </w:rPr>
        <w:t>Required Term Lenders</w:t>
      </w:r>
      <w:r>
        <w:rPr>
          <w:rFonts w:ascii="Times New Roman" w:hAnsi="Times New Roman"/>
          <w:sz w:val="20"/>
        </w:rPr>
        <w:t xml:space="preserve">” </w:t>
      </w:r>
      <w:r>
        <w:rPr>
          <w:rFonts w:ascii="Times New Roman;serif" w:hAnsi="Times New Roman;serif"/>
          <w:b w:val="false"/>
          <w:sz w:val="22"/>
        </w:rPr>
        <w:t xml:space="preserve">means, at any time, Term Lenders having Term Loans and unused Term Commitments representing more than 50% of the aggregate outstanding Term Loans and unused Term Commitments at such time;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to the extent set forth in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whenever there are one or more Defaulting Lenders, the total outstanding Term Loans of, and the unused Term Commitments of, each Defaulting Lender shall be excluded for purposes of making a determination of Required Term Lenders.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-79-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Requirements of Law</w:t>
      </w:r>
      <w:r>
        <w:rPr>
          <w:rFonts w:ascii="Times New Roman" w:hAnsi="Times New Roman"/>
          <w:sz w:val="20"/>
        </w:rPr>
        <w:t xml:space="preserve">” </w:t>
      </w:r>
      <w:r>
        <w:rPr>
          <w:rFonts w:ascii="Times New Roman;serif" w:hAnsi="Times New Roman;serif"/>
          <w:b w:val="false"/>
          <w:sz w:val="22"/>
        </w:rPr>
        <w:t>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pStyle w:val="TextBody"/>
        <w:bidi w:val="0"/>
        <w:spacing w:before="0" w:after="240"/>
        <w:jc w:val="both"/>
        <w:rPr/>
      </w:pPr>
      <w:r>
        <w:rPr/>
        <w:t>“</w:t>
      </w:r>
      <w:r>
        <w:rPr>
          <w:rFonts w:ascii="Times New Roman;serif" w:hAnsi="Times New Roman;serif"/>
          <w:b w:val="false"/>
          <w:sz w:val="22"/>
          <w:u w:val="single"/>
        </w:rPr>
        <w:t>Reserved Indebtedness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6.01(c)(iii)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Resignation Effective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8.06</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Responsible Officer</w:t>
      </w:r>
      <w:r>
        <w:rPr>
          <w:rFonts w:ascii="Times New Roman" w:hAnsi="Times New Roman"/>
          <w:sz w:val="20"/>
        </w:rPr>
        <w:t xml:space="preserve">” </w:t>
      </w:r>
      <w:r>
        <w:rPr>
          <w:rFonts w:ascii="Times New Roman;serif" w:hAnsi="Times New Roman;serif"/>
          <w:b w:val="false"/>
          <w:sz w:val="22"/>
        </w:rPr>
        <w:t>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jc w:val="both"/>
        <w:rPr/>
      </w:pPr>
      <w:r>
        <w:rPr/>
        <w:t>“</w:t>
      </w:r>
      <w:r>
        <w:rPr>
          <w:rFonts w:ascii="Times New Roman;serif" w:hAnsi="Times New Roman;serif"/>
          <w:b w:val="false"/>
          <w:sz w:val="22"/>
          <w:u w:val="single"/>
        </w:rPr>
        <w:t>Restricted Debt Payment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6.05(a).</w:t>
      </w:r>
    </w:p>
    <w:p>
      <w:pPr>
        <w:pStyle w:val="TextBody"/>
        <w:bidi w:val="0"/>
        <w:spacing w:before="0" w:after="240"/>
        <w:jc w:val="both"/>
        <w:rPr/>
      </w:pPr>
      <w:r>
        <w:rPr/>
        <w:t>“</w:t>
      </w:r>
      <w:r>
        <w:rPr>
          <w:rFonts w:ascii="Times New Roman;serif" w:hAnsi="Times New Roman;serif"/>
          <w:b w:val="false"/>
          <w:sz w:val="22"/>
          <w:u w:val="single"/>
        </w:rPr>
        <w:t>Restricted Investment</w:t>
      </w:r>
      <w:r>
        <w:rPr>
          <w:rFonts w:ascii="Times New Roman" w:hAnsi="Times New Roman"/>
          <w:sz w:val="20"/>
        </w:rPr>
        <w:t xml:space="preserve">” </w:t>
      </w:r>
      <w:r>
        <w:rPr>
          <w:rFonts w:ascii="Times New Roman;serif" w:hAnsi="Times New Roman;serif"/>
          <w:b w:val="false"/>
          <w:sz w:val="22"/>
        </w:rPr>
        <w:t>means an Investment other than a Permitted Investment.</w:t>
      </w:r>
    </w:p>
    <w:p>
      <w:pPr>
        <w:pStyle w:val="TextBody"/>
        <w:bidi w:val="0"/>
        <w:spacing w:before="0" w:after="240"/>
        <w:jc w:val="both"/>
        <w:rPr/>
      </w:pPr>
      <w:r>
        <w:rPr/>
        <w:t>“</w:t>
      </w:r>
      <w:r>
        <w:rPr>
          <w:rFonts w:ascii="Times New Roman;serif" w:hAnsi="Times New Roman;serif"/>
          <w:b w:val="false"/>
          <w:sz w:val="22"/>
          <w:u w:val="single"/>
        </w:rPr>
        <w:t>Restricted Payment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Restricted Subsidiary</w:t>
      </w:r>
      <w:r>
        <w:rPr>
          <w:rFonts w:ascii="Times New Roman" w:hAnsi="Times New Roman"/>
          <w:sz w:val="20"/>
        </w:rPr>
        <w:t xml:space="preserve">” </w:t>
      </w:r>
      <w:r>
        <w:rPr>
          <w:rFonts w:ascii="Times New Roman;serif" w:hAnsi="Times New Roman;serif"/>
          <w:b w:val="false"/>
          <w:sz w:val="22"/>
        </w:rPr>
        <w:t>means any Subsidiary of Bidco that is a U.S. Restricted Subsidiary or a Non-U.S. Restricted Subsidiary.</w:t>
      </w:r>
    </w:p>
    <w:p>
      <w:pPr>
        <w:pStyle w:val="TextBody"/>
        <w:bidi w:val="0"/>
        <w:spacing w:before="0" w:after="240"/>
        <w:jc w:val="both"/>
        <w:rPr/>
      </w:pPr>
      <w:r>
        <w:rPr/>
        <w:t>“</w:t>
      </w:r>
      <w:r>
        <w:rPr>
          <w:rFonts w:ascii="Times New Roman;serif" w:hAnsi="Times New Roman;serif"/>
          <w:b w:val="false"/>
          <w:sz w:val="22"/>
          <w:u w:val="single"/>
        </w:rPr>
        <w:t>Retained Declined Proceeds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2.10(e)</w:t>
      </w:r>
      <w:r>
        <w:rPr>
          <w:rFonts w:ascii="Times New Roman;serif" w:hAnsi="Times New Roman;serif"/>
          <w:b w:val="false"/>
          <w:sz w:val="22"/>
        </w:rPr>
        <w:t>.</w:t>
      </w:r>
    </w:p>
    <w:p>
      <w:pPr>
        <w:pStyle w:val="TextBody"/>
        <w:bidi w:val="0"/>
        <w:spacing w:before="0" w:after="240"/>
        <w:jc w:val="both"/>
        <w:rPr/>
      </w:pPr>
      <w:bookmarkStart w:id="589" w:name="docxtextref797"/>
      <w:bookmarkEnd w:id="589"/>
      <w:r>
        <w:rPr/>
        <w:t>“</w:t>
      </w:r>
      <w:r>
        <w:rPr>
          <w:rFonts w:ascii="Times New Roman;serif" w:hAnsi="Times New Roman;serif"/>
          <w:b w:val="false"/>
          <w:sz w:val="22"/>
          <w:u w:val="single"/>
        </w:rPr>
        <w:t>Revaluation Date</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date of delivery of each Borrowing Request for a Revolving Borrowing in an Alternative Currency, </w:t>
      </w:r>
      <w:bookmarkStart w:id="590" w:name="docxtextref798"/>
      <w:bookmarkEnd w:id="59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date of issuance (and extension or renewal, at the discretion of the Administrative Agent and/or any Issuing Bank) of any Letter of Credit denominated in an Alternative Currency, </w:t>
      </w:r>
      <w:bookmarkStart w:id="591" w:name="docxtextref799"/>
      <w:bookmarkEnd w:id="59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date of conversion or continuation of any Revolving Borrowing denominated in an Alternative Currency or </w:t>
      </w:r>
      <w:bookmarkStart w:id="592" w:name="docxtextref800"/>
      <w:bookmarkEnd w:id="59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such additional dates as the Administrative Agent may reasonably specify.</w:t>
      </w:r>
    </w:p>
    <w:p>
      <w:pPr>
        <w:pStyle w:val="TextBody"/>
        <w:bidi w:val="0"/>
        <w:spacing w:before="0" w:after="240"/>
        <w:jc w:val="both"/>
        <w:rPr/>
      </w:pPr>
      <w:r>
        <w:rPr/>
        <w:t>“</w:t>
      </w:r>
      <w:r>
        <w:rPr>
          <w:rFonts w:ascii="Times New Roman;serif" w:hAnsi="Times New Roman;serif"/>
          <w:b w:val="false"/>
          <w:sz w:val="22"/>
          <w:u w:val="single"/>
        </w:rPr>
        <w:t>Revolving Availability Period</w:t>
      </w:r>
      <w:r>
        <w:rPr>
          <w:rFonts w:ascii="Times New Roman" w:hAnsi="Times New Roman"/>
          <w:sz w:val="20"/>
        </w:rPr>
        <w:t xml:space="preserve">” </w:t>
      </w:r>
      <w:r>
        <w:rPr>
          <w:rFonts w:ascii="Times New Roman;serif" w:hAnsi="Times New Roman;serif"/>
          <w:b w:val="false"/>
          <w:sz w:val="22"/>
        </w:rPr>
        <w:t>means the period from and including the Effective Date to but excluding the earlier of the Revolving Maturity Date and the date of termination of the Revolving Commitments.</w:t>
      </w:r>
    </w:p>
    <w:p>
      <w:pPr>
        <w:pStyle w:val="TextBody"/>
        <w:bidi w:val="0"/>
        <w:spacing w:before="0" w:after="240"/>
        <w:jc w:val="both"/>
        <w:rPr/>
      </w:pPr>
      <w:r>
        <w:rPr/>
        <w:t>“</w:t>
      </w:r>
      <w:r>
        <w:rPr>
          <w:rFonts w:ascii="Times New Roman;serif" w:hAnsi="Times New Roman;serif"/>
          <w:b w:val="false"/>
          <w:sz w:val="22"/>
          <w:u w:val="single"/>
        </w:rPr>
        <w:t>Revolving Borrowers</w:t>
      </w:r>
      <w:r>
        <w:rPr>
          <w:rFonts w:ascii="Times New Roman" w:hAnsi="Times New Roman"/>
          <w:sz w:val="20"/>
        </w:rPr>
        <w:t xml:space="preserve">” </w:t>
      </w:r>
      <w:r>
        <w:rPr>
          <w:rFonts w:ascii="Times New Roman;serif" w:hAnsi="Times New Roman;serif"/>
          <w:b w:val="false"/>
          <w:sz w:val="22"/>
        </w:rPr>
        <w:t>has the meaning assigned to such term in the preliminary statements hereto.</w:t>
      </w:r>
    </w:p>
    <w:p>
      <w:pPr>
        <w:pStyle w:val="TextBody"/>
        <w:bidi w:val="0"/>
        <w:spacing w:before="0" w:after="240"/>
        <w:jc w:val="both"/>
        <w:rPr/>
      </w:pPr>
      <w:bookmarkStart w:id="593" w:name="docxtextref802"/>
      <w:bookmarkEnd w:id="593"/>
      <w:r>
        <w:rPr/>
        <w:t>“</w:t>
      </w:r>
      <w:r>
        <w:rPr>
          <w:rFonts w:ascii="Times New Roman;serif" w:hAnsi="Times New Roman;serif"/>
          <w:b w:val="false"/>
          <w:sz w:val="22"/>
          <w:u w:val="single"/>
        </w:rPr>
        <w:t>Revolving Commitment</w:t>
      </w:r>
      <w:r>
        <w:rPr>
          <w:rFonts w:ascii="Times New Roman" w:hAnsi="Times New Roman"/>
          <w:sz w:val="20"/>
        </w:rPr>
        <w:t xml:space="preserve">” </w:t>
      </w:r>
      <w:r>
        <w:rPr>
          <w:rFonts w:ascii="Times New Roman;serif" w:hAnsi="Times New Roman;serif"/>
          <w:b w:val="false"/>
          <w:sz w:val="22"/>
        </w:rPr>
        <w:t>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w:t>
      </w:r>
      <w:r>
        <w:rPr>
          <w:rFonts w:ascii="Times New Roman" w:hAnsi="Times New Roman"/>
          <w:sz w:val="20"/>
        </w:rPr>
        <w:t xml:space="preserve"> </w:t>
      </w:r>
      <w:r>
        <w:rPr>
          <w:rFonts w:ascii="Times New Roman;serif" w:hAnsi="Times New Roman;serif"/>
          <w:b w:val="false"/>
          <w:sz w:val="22"/>
        </w:rPr>
        <w:t xml:space="preserve">reduced from time to time pursuant to </w:t>
      </w:r>
      <w:r>
        <w:rPr>
          <w:rFonts w:ascii="Times New Roman;serif" w:hAnsi="Times New Roman;serif"/>
          <w:b w:val="false"/>
          <w:sz w:val="22"/>
          <w:u w:val="single"/>
        </w:rPr>
        <w:t>Section 2.07</w:t>
      </w:r>
      <w:r>
        <w:rPr>
          <w:rFonts w:ascii="Times New Roman" w:hAnsi="Times New Roman"/>
          <w:sz w:val="20"/>
        </w:rPr>
        <w:t xml:space="preserve"> </w:t>
      </w:r>
      <w:r>
        <w:rPr>
          <w:rFonts w:ascii="Times New Roman;serif" w:hAnsi="Times New Roman;serif"/>
          <w:b w:val="false"/>
          <w:sz w:val="22"/>
        </w:rPr>
        <w:t xml:space="preserve">and </w:t>
      </w:r>
      <w:bookmarkStart w:id="594" w:name="docxtextref803"/>
      <w:bookmarkEnd w:id="59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reduced or increased from time to time pursuant to </w:t>
      </w:r>
      <w:bookmarkStart w:id="595" w:name="docxtextref804"/>
      <w:bookmarkEnd w:id="59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assignments by or to such Lender pursuant to an Assignment and Assumption, (ii) a Refinancing Amendment, (iii) an Incremental Revolving Commitment Increase, (iv) a Loan Modification Agreement or </w:t>
      </w:r>
      <w:bookmarkStart w:id="596" w:name="docxtextref805"/>
      <w:bookmarkEnd w:id="596"/>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an Additional/Replacement Revolving Commitment. The initial amount of each Lender’s Revolving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597" w:name="docxtextref806"/>
      <w:bookmarkEnd w:id="597"/>
      <w:r>
        <w:rPr>
          <w:rFonts w:ascii="Times New Roman;serif" w:hAnsi="Times New Roman;serif"/>
          <w:b w:val="false"/>
          <w:sz w:val="22"/>
        </w:rPr>
        <w:t xml:space="preserve">Commitment is set forth on </w:t>
      </w:r>
      <w:r>
        <w:rPr>
          <w:rFonts w:ascii="Times New Roman;serif" w:hAnsi="Times New Roman;serif"/>
          <w:b w:val="false"/>
          <w:sz w:val="22"/>
          <w:u w:val="single"/>
        </w:rPr>
        <w:t>Schedule 2.01</w:t>
      </w:r>
      <w:r>
        <w:rPr>
          <w:rFonts w:ascii="Times New Roman;serif" w:hAnsi="Times New Roman;serif"/>
          <w:b w:val="false"/>
          <w:sz w:val="22"/>
        </w:rPr>
        <w:t>, or in the Assignment and Assumption, Incremental Facility Amendment, Loan Modification Agreement or Refinancing Amendment pursuant to which such Lender shall have assumed its Revolving Commitment, as the case may be. The aggregate amount of the Lenders’ Revolving Commitments on the Effective Date is $700,000,000.</w:t>
      </w:r>
    </w:p>
    <w:p>
      <w:pPr>
        <w:pStyle w:val="TextBody"/>
        <w:bidi w:val="0"/>
        <w:spacing w:before="0" w:after="240"/>
        <w:jc w:val="both"/>
        <w:rPr/>
      </w:pPr>
      <w:r>
        <w:rPr/>
        <w:t>“</w:t>
      </w:r>
      <w:r>
        <w:rPr>
          <w:rFonts w:ascii="Times New Roman;serif" w:hAnsi="Times New Roman;serif"/>
          <w:b w:val="false"/>
          <w:sz w:val="22"/>
          <w:u w:val="single"/>
        </w:rPr>
        <w:t>Revolving Exposure</w:t>
      </w:r>
      <w:r>
        <w:rPr>
          <w:rFonts w:ascii="Times New Roman" w:hAnsi="Times New Roman"/>
          <w:sz w:val="20"/>
        </w:rPr>
        <w:t xml:space="preserve">” </w:t>
      </w:r>
      <w:r>
        <w:rPr>
          <w:rFonts w:ascii="Times New Roman;serif" w:hAnsi="Times New Roman;serif"/>
          <w:b w:val="false"/>
          <w:sz w:val="22"/>
        </w:rPr>
        <w:t>means, with respect to any Revolving Lender at any time, the sum of the outstanding principal amount of such Revolving Lender’s Revolving Loans, its LC Exposure and its Swingline Exposure at such time.</w:t>
      </w:r>
    </w:p>
    <w:p>
      <w:pPr>
        <w:pStyle w:val="TextBody"/>
        <w:bidi w:val="0"/>
        <w:spacing w:before="0" w:after="240"/>
        <w:jc w:val="both"/>
        <w:rPr/>
      </w:pPr>
      <w:r>
        <w:rPr/>
        <w:t>“</w:t>
      </w:r>
      <w:r>
        <w:rPr>
          <w:rFonts w:ascii="Times New Roman;serif" w:hAnsi="Times New Roman;serif"/>
          <w:b w:val="false"/>
          <w:sz w:val="22"/>
          <w:u w:val="single"/>
        </w:rPr>
        <w:t>Revolving Facility</w:t>
      </w:r>
      <w:r>
        <w:rPr>
          <w:rFonts w:ascii="Times New Roman" w:hAnsi="Times New Roman"/>
          <w:sz w:val="20"/>
        </w:rPr>
        <w:t xml:space="preserve">” </w:t>
      </w:r>
      <w:r>
        <w:rPr>
          <w:rFonts w:ascii="Times New Roman;serif" w:hAnsi="Times New Roman;serif"/>
          <w:b w:val="false"/>
          <w:sz w:val="22"/>
        </w:rPr>
        <w:t>means at any time, the aggregate amount of Revolving Commitments at such time.</w:t>
      </w:r>
    </w:p>
    <w:p>
      <w:pPr>
        <w:pStyle w:val="TextBody"/>
        <w:bidi w:val="0"/>
        <w:spacing w:before="0" w:after="240"/>
        <w:jc w:val="both"/>
        <w:rPr/>
      </w:pPr>
      <w:r>
        <w:rPr/>
        <w:t>“</w:t>
      </w:r>
      <w:r>
        <w:rPr>
          <w:rFonts w:ascii="Times New Roman;serif" w:hAnsi="Times New Roman;serif"/>
          <w:b w:val="false"/>
          <w:sz w:val="22"/>
          <w:u w:val="single"/>
        </w:rPr>
        <w:t>Revolving Lender</w:t>
      </w:r>
      <w:r>
        <w:rPr>
          <w:rFonts w:ascii="Times New Roman" w:hAnsi="Times New Roman"/>
          <w:sz w:val="20"/>
        </w:rPr>
        <w:t xml:space="preserve">” </w:t>
      </w:r>
      <w:r>
        <w:rPr>
          <w:rFonts w:ascii="Times New Roman;serif" w:hAnsi="Times New Roman;serif"/>
          <w:b w:val="false"/>
          <w:sz w:val="22"/>
        </w:rPr>
        <w:t>means a Lender with a Revolving Commitment or, if the Revolving Commitments have terminated or expired, a Lender with Revolving Exposure.</w:t>
      </w:r>
    </w:p>
    <w:p>
      <w:pPr>
        <w:pStyle w:val="TextBody"/>
        <w:bidi w:val="0"/>
        <w:spacing w:before="0" w:after="240"/>
        <w:jc w:val="both"/>
        <w:rPr/>
      </w:pPr>
      <w:r>
        <w:rPr/>
        <w:t>“</w:t>
      </w:r>
      <w:r>
        <w:rPr>
          <w:rFonts w:ascii="Times New Roman;serif" w:hAnsi="Times New Roman;serif"/>
          <w:b w:val="false"/>
          <w:sz w:val="22"/>
          <w:u w:val="single"/>
        </w:rPr>
        <w:t>Revolving Loan</w:t>
      </w:r>
      <w:r>
        <w:rPr>
          <w:rFonts w:ascii="Times New Roman" w:hAnsi="Times New Roman"/>
          <w:sz w:val="20"/>
        </w:rPr>
        <w:t xml:space="preserve">” </w:t>
      </w:r>
      <w:r>
        <w:rPr>
          <w:rFonts w:ascii="Times New Roman;serif" w:hAnsi="Times New Roman;serif"/>
          <w:b w:val="false"/>
          <w:sz w:val="22"/>
        </w:rPr>
        <w:t xml:space="preserve">means a Loan made pursuant to clause (b) of </w:t>
      </w:r>
      <w:r>
        <w:rPr>
          <w:rFonts w:ascii="Times New Roman;serif" w:hAnsi="Times New Roman;serif"/>
          <w:b w:val="false"/>
          <w:sz w:val="22"/>
          <w:u w:val="single"/>
        </w:rPr>
        <w:t>Section 2.01</w:t>
      </w:r>
      <w:r>
        <w:rPr>
          <w:rFonts w:ascii="Times New Roman;serif" w:hAnsi="Times New Roman;serif"/>
          <w:b w:val="false"/>
          <w:sz w:val="22"/>
        </w:rPr>
        <w:t>.</w:t>
      </w:r>
    </w:p>
    <w:p>
      <w:pPr>
        <w:pStyle w:val="TextBody"/>
        <w:bidi w:val="0"/>
        <w:spacing w:before="0" w:after="240"/>
        <w:jc w:val="both"/>
        <w:rPr/>
      </w:pPr>
      <w:bookmarkStart w:id="598" w:name="docxtextref808"/>
      <w:bookmarkEnd w:id="598"/>
      <w:r>
        <w:rPr/>
        <w:t>“</w:t>
      </w:r>
      <w:r>
        <w:rPr>
          <w:rFonts w:ascii="Times New Roman;serif" w:hAnsi="Times New Roman;serif"/>
          <w:b w:val="false"/>
          <w:sz w:val="22"/>
          <w:u w:val="single"/>
        </w:rPr>
        <w:t>Revolving Maturity Date</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December 12, 2024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pStyle w:val="TextBody"/>
        <w:bidi w:val="0"/>
        <w:spacing w:before="0" w:after="240"/>
        <w:jc w:val="both"/>
        <w:rPr/>
      </w:pPr>
      <w:r>
        <w:rPr/>
        <w:t>“</w:t>
      </w:r>
      <w:r>
        <w:rPr>
          <w:rFonts w:ascii="Times New Roman;serif" w:hAnsi="Times New Roman;serif"/>
          <w:b w:val="false"/>
          <w:sz w:val="22"/>
          <w:u w:val="single"/>
        </w:rPr>
        <w:t>Rolled Over Amounts</w:t>
      </w:r>
      <w:r>
        <w:rPr>
          <w:rFonts w:ascii="Times New Roman" w:hAnsi="Times New Roman"/>
          <w:sz w:val="20"/>
        </w:rPr>
        <w:t xml:space="preserve">” </w:t>
      </w:r>
      <w:r>
        <w:rPr>
          <w:rFonts w:ascii="Times New Roman;serif" w:hAnsi="Times New Roman;serif"/>
          <w:b w:val="false"/>
          <w:sz w:val="22"/>
        </w:rPr>
        <w:t>means, with respect to any portion of the Potential Rollover Instruments that Bidco elects prior to the Target Debt Refinancing Outside Date shall remain outstanding in accordance with the definition of “Target Refinancing Indebtedness”, the principal amount outstanding under such portion of the Potential Rollover Instruments.</w:t>
      </w:r>
    </w:p>
    <w:p>
      <w:pPr>
        <w:pStyle w:val="TextBody"/>
        <w:bidi w:val="0"/>
        <w:spacing w:before="0" w:after="240"/>
        <w:jc w:val="both"/>
        <w:rPr/>
      </w:pPr>
      <w:r>
        <w:rPr/>
        <w:t>“</w:t>
      </w:r>
      <w:r>
        <w:rPr>
          <w:rFonts w:ascii="Times New Roman;serif" w:hAnsi="Times New Roman;serif"/>
          <w:b w:val="false"/>
          <w:sz w:val="22"/>
          <w:u w:val="single"/>
        </w:rPr>
        <w:t>Satellite</w:t>
      </w:r>
      <w:r>
        <w:rPr>
          <w:rFonts w:ascii="Times New Roman" w:hAnsi="Times New Roman"/>
          <w:sz w:val="20"/>
        </w:rPr>
        <w:t xml:space="preserve">” </w:t>
      </w:r>
      <w:r>
        <w:rPr>
          <w:rFonts w:ascii="Times New Roman;serif" w:hAnsi="Times New Roman;serif"/>
          <w:b w:val="false"/>
          <w:sz w:val="22"/>
        </w:rPr>
        <w:t>shall mean any satellite owned by, or leased to, Bidco or any other Loan Party and any satellite purchased by a Loan Party pursuant to the terms of a Satellite Purchase Agreement, whether such satellite is in the process of manufacture, has been delivered for launch or is in orbit (whether or not in operational service).</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Satellite Collateral</w:t>
      </w:r>
      <w:r>
        <w:rPr>
          <w:rFonts w:ascii="Times New Roman" w:hAnsi="Times New Roman"/>
          <w:sz w:val="20"/>
        </w:rPr>
        <w:t xml:space="preserve">” </w:t>
      </w:r>
      <w:r>
        <w:rPr>
          <w:rFonts w:ascii="Times New Roman;serif" w:hAnsi="Times New Roman;serif"/>
          <w:b w:val="false"/>
          <w:sz w:val="22"/>
        </w:rPr>
        <w:t>means, collectively, (a) any Satellite owned by a Loan Party, (b) all material Intellectual Property necessary for the relevant Loan Party to own and operate any Satellite system, ground segment or transmission network related thereto and (c) any launch or in-orbit insurance proceeds related to the forgoing.</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Satellite Manufacturer</w:t>
      </w:r>
      <w:r>
        <w:rPr>
          <w:rFonts w:ascii="Times New Roman" w:hAnsi="Times New Roman"/>
          <w:sz w:val="20"/>
        </w:rPr>
        <w:t xml:space="preserve">” </w:t>
      </w:r>
      <w:r>
        <w:rPr>
          <w:rFonts w:ascii="Times New Roman;serif" w:hAnsi="Times New Roman;serif"/>
          <w:b w:val="false"/>
          <w:sz w:val="22"/>
        </w:rPr>
        <w:t>shall mean, with respect to any Satellite, the prime contractor and manufacturer of such Satellite.</w:t>
      </w:r>
    </w:p>
    <w:p>
      <w:pPr>
        <w:pStyle w:val="TextBody"/>
        <w:bidi w:val="0"/>
        <w:spacing w:before="0" w:after="240"/>
        <w:jc w:val="both"/>
        <w:rPr/>
      </w:pPr>
      <w:r>
        <w:rPr/>
        <w:t>“</w:t>
      </w:r>
      <w:r>
        <w:rPr>
          <w:rFonts w:ascii="Times New Roman;serif" w:hAnsi="Times New Roman;serif"/>
          <w:b w:val="false"/>
          <w:sz w:val="22"/>
          <w:u w:val="single"/>
        </w:rPr>
        <w:t>Satellite Purchase Agreement</w:t>
      </w:r>
      <w:r>
        <w:rPr>
          <w:rFonts w:ascii="Times New Roman" w:hAnsi="Times New Roman"/>
          <w:sz w:val="20"/>
        </w:rPr>
        <w:t xml:space="preserve">” </w:t>
      </w:r>
      <w:r>
        <w:rPr>
          <w:rFonts w:ascii="Times New Roman;serif" w:hAnsi="Times New Roman;serif"/>
          <w:b w:val="false"/>
          <w:sz w:val="22"/>
        </w:rPr>
        <w:t>shall mean, with respect to any Satellite, each agreement between the applicable Satellite Purchaser and the applicable Satellite Manufacturer relating to the manufacture, testing and delivery of such Satellite.</w:t>
      </w:r>
    </w:p>
    <w:p>
      <w:pPr>
        <w:pStyle w:val="TextBody"/>
        <w:bidi w:val="0"/>
        <w:spacing w:before="0" w:after="240"/>
        <w:jc w:val="both"/>
        <w:rPr/>
      </w:pPr>
      <w:r>
        <w:rPr/>
        <w:t>“</w:t>
      </w:r>
      <w:r>
        <w:rPr>
          <w:rFonts w:ascii="Times New Roman;serif" w:hAnsi="Times New Roman;serif"/>
          <w:b w:val="false"/>
          <w:sz w:val="22"/>
          <w:u w:val="single"/>
        </w:rPr>
        <w:t>Satellite Purchaser</w:t>
      </w:r>
      <w:r>
        <w:rPr>
          <w:rFonts w:ascii="Times New Roman" w:hAnsi="Times New Roman"/>
          <w:sz w:val="20"/>
        </w:rPr>
        <w:t xml:space="preserve">” </w:t>
      </w:r>
      <w:r>
        <w:rPr>
          <w:rFonts w:ascii="Times New Roman;serif" w:hAnsi="Times New Roman;serif"/>
          <w:b w:val="false"/>
          <w:sz w:val="22"/>
        </w:rPr>
        <w:t>shall mean Bidco or any Loan Party that is a party to a Satellite Purchase Agreement or launch services agreement, as the case may be.</w:t>
      </w:r>
    </w:p>
    <w:p>
      <w:pPr>
        <w:pStyle w:val="TextBody"/>
        <w:bidi w:val="0"/>
        <w:spacing w:before="0" w:after="240"/>
        <w:jc w:val="both"/>
        <w:rPr/>
      </w:pPr>
      <w:r>
        <w:rPr/>
        <w:t>“</w:t>
      </w:r>
      <w:r>
        <w:rPr>
          <w:rFonts w:ascii="Times New Roman;serif" w:hAnsi="Times New Roman;serif"/>
          <w:b w:val="false"/>
          <w:sz w:val="22"/>
          <w:u w:val="single"/>
        </w:rPr>
        <w:t>S&amp;P</w:t>
      </w:r>
      <w:r>
        <w:rPr>
          <w:rFonts w:ascii="Times New Roman" w:hAnsi="Times New Roman"/>
          <w:sz w:val="20"/>
        </w:rPr>
        <w:t xml:space="preserve">” </w:t>
      </w:r>
      <w:r>
        <w:rPr>
          <w:rFonts w:ascii="Times New Roman;serif" w:hAnsi="Times New Roman;serif"/>
          <w:b w:val="false"/>
          <w:sz w:val="22"/>
        </w:rPr>
        <w:t>means Standard &amp; Poor’s Ratings Services, a Standard &amp; Poor’s Financial Services LLC business, and any successor to its rating agency business.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Sale and Lease-Back Transaction</w:t>
      </w:r>
      <w:r>
        <w:rPr>
          <w:rFonts w:ascii="Times New Roman" w:hAnsi="Times New Roman"/>
          <w:sz w:val="20"/>
        </w:rPr>
        <w:t xml:space="preserve">” </w:t>
      </w:r>
      <w:r>
        <w:rPr>
          <w:rFonts w:ascii="Times New Roman;serif" w:hAnsi="Times New Roman;serif"/>
          <w:b w:val="false"/>
          <w:sz w:val="22"/>
        </w:rPr>
        <w:t>means any arrangement providing for the leasing by Bidco or any of its Restricted Subsidiaries of any real or tangible personal property, which property has been or is to be sold or transferred by Bidco or such Restricted Subsidiary to a third Person in contemplation of such leasing.</w:t>
      </w:r>
    </w:p>
    <w:p>
      <w:pPr>
        <w:pStyle w:val="TextBody"/>
        <w:bidi w:val="0"/>
        <w:spacing w:before="0" w:after="240"/>
        <w:jc w:val="both"/>
        <w:rPr/>
      </w:pPr>
      <w:r>
        <w:rPr/>
        <w:t>“</w:t>
      </w:r>
      <w:r>
        <w:rPr>
          <w:rFonts w:ascii="Times New Roman;serif" w:hAnsi="Times New Roman;serif"/>
          <w:b w:val="false"/>
          <w:sz w:val="22"/>
          <w:u w:val="single"/>
        </w:rPr>
        <w:t>Sanctioned Country</w:t>
      </w:r>
      <w:r>
        <w:rPr>
          <w:rFonts w:ascii="Times New Roman" w:hAnsi="Times New Roman"/>
          <w:sz w:val="20"/>
        </w:rPr>
        <w:t xml:space="preserve">” </w:t>
      </w:r>
      <w:r>
        <w:rPr>
          <w:rFonts w:ascii="Times New Roman;serif" w:hAnsi="Times New Roman;serif"/>
          <w:b w:val="false"/>
          <w:sz w:val="22"/>
        </w:rPr>
        <w:t>means, at any time, a country or territory with which dealings are broadly restricted, prohibited, or made sanctionable under any Sanctions (as of the date of this Agreement, the Crimea region of Ukraine, Cuba, Iran, North Korea and Syria).</w:t>
      </w:r>
    </w:p>
    <w:p>
      <w:pPr>
        <w:pStyle w:val="TextBody"/>
        <w:bidi w:val="0"/>
        <w:spacing w:before="0" w:after="240"/>
        <w:jc w:val="both"/>
        <w:rPr/>
      </w:pPr>
      <w:r>
        <w:rPr/>
        <w:t>“</w:t>
      </w:r>
      <w:r>
        <w:rPr>
          <w:rFonts w:ascii="Times New Roman;serif" w:hAnsi="Times New Roman;serif"/>
          <w:b w:val="false"/>
          <w:sz w:val="22"/>
          <w:u w:val="single"/>
        </w:rPr>
        <w:t>Sanctions</w:t>
      </w:r>
      <w:r>
        <w:rPr>
          <w:rFonts w:ascii="Times New Roman" w:hAnsi="Times New Roman"/>
          <w:sz w:val="20"/>
        </w:rPr>
        <w:t xml:space="preserve">” </w:t>
      </w:r>
      <w:r>
        <w:rPr>
          <w:rFonts w:ascii="Times New Roman;serif" w:hAnsi="Times New Roman;serif"/>
          <w:b w:val="false"/>
          <w:sz w:val="22"/>
        </w:rPr>
        <w:t>means economic sanctions administered or enforced by the United States Government (including without limitation, sanctions enforced by the United States Department of Treasury’s Office of Foreign Assets Control), the United Nations Security Council, the European Union, any European Union member state in which Holdings, Bidco, the Borrowers or a Restricted Subsidiary is organized, located or operates, or Her Majesty’s Treasury of the United Kingdom.</w:t>
      </w:r>
    </w:p>
    <w:p>
      <w:pPr>
        <w:pStyle w:val="TextBody"/>
        <w:bidi w:val="0"/>
        <w:spacing w:before="0" w:after="240"/>
        <w:jc w:val="both"/>
        <w:rPr/>
      </w:pPr>
      <w:r>
        <w:rPr/>
        <w:t>“</w:t>
      </w:r>
      <w:r>
        <w:rPr>
          <w:rFonts w:ascii="Times New Roman;serif" w:hAnsi="Times New Roman;serif"/>
          <w:b w:val="false"/>
          <w:sz w:val="22"/>
          <w:u w:val="single"/>
        </w:rPr>
        <w:t>Scheme</w:t>
      </w:r>
      <w:r>
        <w:rPr>
          <w:rFonts w:ascii="Times New Roman" w:hAnsi="Times New Roman"/>
          <w:sz w:val="20"/>
        </w:rPr>
        <w:t xml:space="preserve">” </w:t>
      </w:r>
      <w:r>
        <w:rPr>
          <w:rFonts w:ascii="Times New Roman;serif" w:hAnsi="Times New Roman;serif"/>
          <w:b w:val="false"/>
          <w:sz w:val="22"/>
        </w:rPr>
        <w:t>means the scheme of arrangement effected pursuant to Part 26 of the Companies Act 2006 proposed by the Company to its shareholders to implement the Acquisition and approved on May 10, 2019 by the requisite majority of the Company’s shareholders pursuant to which Bidco will, subject to the occurrence of the Scheme Effective Date, become the holder of the Target Shares that are the subject of that scheme of arrangement.</w:t>
      </w:r>
    </w:p>
    <w:p>
      <w:pPr>
        <w:pStyle w:val="TextBody"/>
        <w:bidi w:val="0"/>
        <w:spacing w:before="0" w:after="240"/>
        <w:jc w:val="both"/>
        <w:rPr/>
      </w:pPr>
      <w:r>
        <w:rPr/>
        <w:t>“</w:t>
      </w:r>
      <w:r>
        <w:rPr>
          <w:rFonts w:ascii="Times New Roman;serif" w:hAnsi="Times New Roman;serif"/>
          <w:b w:val="false"/>
          <w:sz w:val="22"/>
          <w:u w:val="single"/>
        </w:rPr>
        <w:t>Scheme Circular</w:t>
      </w:r>
      <w:r>
        <w:rPr>
          <w:rFonts w:ascii="Times New Roman" w:hAnsi="Times New Roman"/>
          <w:sz w:val="20"/>
        </w:rPr>
        <w:t xml:space="preserve">” </w:t>
      </w:r>
      <w:r>
        <w:rPr>
          <w:rFonts w:ascii="Times New Roman;serif" w:hAnsi="Times New Roman;serif"/>
          <w:b w:val="false"/>
          <w:sz w:val="22"/>
        </w:rPr>
        <w:t>means the circular (including any supplemental circular) dispatched by the Company to shareholders of the Company setting out the resolutions and proposals for and the terms and conditions of the Scheme.</w:t>
      </w:r>
    </w:p>
    <w:p>
      <w:pPr>
        <w:pStyle w:val="TextBody"/>
        <w:bidi w:val="0"/>
        <w:spacing w:before="0" w:after="240"/>
        <w:jc w:val="both"/>
        <w:rPr/>
      </w:pPr>
      <w:r>
        <w:rPr/>
        <w:t>“</w:t>
      </w:r>
      <w:r>
        <w:rPr>
          <w:rFonts w:ascii="Times New Roman;serif" w:hAnsi="Times New Roman;serif"/>
          <w:b w:val="false"/>
          <w:sz w:val="22"/>
          <w:u w:val="single"/>
        </w:rPr>
        <w:t>Scheme Documents</w:t>
      </w:r>
      <w:r>
        <w:rPr>
          <w:rFonts w:ascii="Times New Roman" w:hAnsi="Times New Roman"/>
          <w:sz w:val="20"/>
        </w:rPr>
        <w:t xml:space="preserve">” </w:t>
      </w:r>
      <w:r>
        <w:rPr>
          <w:rFonts w:ascii="Times New Roman;serif" w:hAnsi="Times New Roman;serif"/>
          <w:b w:val="false"/>
          <w:sz w:val="22"/>
        </w:rPr>
        <w:t>means each of (i) the Announcement, (ii) the Scheme Circular, and (iii) the Court Order.</w:t>
      </w:r>
    </w:p>
    <w:p>
      <w:pPr>
        <w:pStyle w:val="TextBody"/>
        <w:bidi w:val="0"/>
        <w:spacing w:before="0" w:after="240"/>
        <w:jc w:val="both"/>
        <w:rPr/>
      </w:pPr>
      <w:r>
        <w:rPr/>
        <w:t>“</w:t>
      </w:r>
      <w:r>
        <w:rPr>
          <w:rFonts w:ascii="Times New Roman;serif" w:hAnsi="Times New Roman;serif"/>
          <w:b w:val="false"/>
          <w:sz w:val="22"/>
          <w:u w:val="single"/>
        </w:rPr>
        <w:t>Scheme Effective Date</w:t>
      </w:r>
      <w:r>
        <w:rPr>
          <w:rFonts w:ascii="Times New Roman" w:hAnsi="Times New Roman"/>
          <w:sz w:val="20"/>
        </w:rPr>
        <w:t xml:space="preserve">” </w:t>
      </w:r>
      <w:r>
        <w:rPr>
          <w:rFonts w:ascii="Times New Roman;serif" w:hAnsi="Times New Roman;serif"/>
          <w:b w:val="false"/>
          <w:sz w:val="22"/>
        </w:rPr>
        <w:t>means the date on which the Court Order sanctioning the Scheme is duly delivered on behalf of the Company to the Registrar of Companies in accordance with section 899 of the Companies Act 2006.</w:t>
      </w:r>
      <w:r>
        <w:rPr>
          <w:rFonts w:ascii="Times New Roman" w:hAnsi="Times New Roman"/>
          <w:sz w:val="20"/>
        </w:rPr>
        <w:t xml:space="preserve"> </w:t>
      </w:r>
    </w:p>
    <w:p>
      <w:pPr>
        <w:pStyle w:val="TextBody"/>
        <w:bidi w:val="0"/>
        <w:spacing w:before="0" w:after="240"/>
        <w:jc w:val="both"/>
        <w:rPr/>
      </w:pPr>
      <w:r>
        <w:rPr/>
        <w:t>“</w:t>
      </w:r>
      <w:r>
        <w:rPr>
          <w:rFonts w:ascii="Times New Roman;serif" w:hAnsi="Times New Roman;serif"/>
          <w:b w:val="false"/>
          <w:sz w:val="22"/>
          <w:u w:val="single"/>
        </w:rPr>
        <w:t>SEC</w:t>
      </w:r>
      <w:r>
        <w:rPr>
          <w:rFonts w:ascii="Times New Roman" w:hAnsi="Times New Roman"/>
          <w:sz w:val="20"/>
        </w:rPr>
        <w:t xml:space="preserve">” </w:t>
      </w:r>
      <w:r>
        <w:rPr>
          <w:rFonts w:ascii="Times New Roman;serif" w:hAnsi="Times New Roman;serif"/>
          <w:b w:val="false"/>
          <w:sz w:val="22"/>
        </w:rPr>
        <w:t>means the Securities and Exchange Commission or any Governmental Authority succeeding to any of its principal functions.</w:t>
      </w:r>
    </w:p>
    <w:p>
      <w:pPr>
        <w:pStyle w:val="TextBody"/>
        <w:bidi w:val="0"/>
        <w:spacing w:before="0" w:after="240"/>
        <w:jc w:val="both"/>
        <w:rPr/>
      </w:pPr>
      <w:r>
        <w:rPr/>
        <w:t>“</w:t>
      </w:r>
      <w:r>
        <w:rPr>
          <w:rFonts w:ascii="Times New Roman;serif" w:hAnsi="Times New Roman;serif"/>
          <w:b w:val="false"/>
          <w:sz w:val="22"/>
          <w:u w:val="single"/>
        </w:rPr>
        <w:t>Second Commitment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6.04(b)(ii)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Second Lien Intercreditor Agreement</w:t>
      </w:r>
      <w:r>
        <w:rPr>
          <w:rFonts w:ascii="Times New Roman" w:hAnsi="Times New Roman"/>
          <w:sz w:val="20"/>
        </w:rPr>
        <w:t xml:space="preserve">” </w:t>
      </w:r>
      <w:r>
        <w:rPr>
          <w:rFonts w:ascii="Times New Roman;serif" w:hAnsi="Times New Roman;serif"/>
          <w:b w:val="false"/>
          <w:sz w:val="22"/>
        </w:rPr>
        <w:t xml:space="preserve">means the Second Lien Intercreditor Agreement substantially in the form of </w:t>
      </w:r>
      <w:r>
        <w:rPr>
          <w:rFonts w:ascii="Times New Roman;serif" w:hAnsi="Times New Roman;serif"/>
          <w:b w:val="false"/>
          <w:sz w:val="22"/>
          <w:u w:val="single"/>
        </w:rPr>
        <w:t>Exhibit G</w:t>
      </w:r>
      <w:r>
        <w:rPr>
          <w:rFonts w:ascii="Times New Roman" w:hAnsi="Times New Roman"/>
          <w:sz w:val="20"/>
        </w:rPr>
        <w:t xml:space="preserve"> </w:t>
      </w:r>
      <w:r>
        <w:rPr>
          <w:rFonts w:ascii="Times New Roman;serif" w:hAnsi="Times New Roman;serif"/>
          <w:b w:val="false"/>
          <w:sz w:val="22"/>
        </w:rPr>
        <w:t>among the Administrative Agent and one or more Senior Representatives for holders of Indebtedness permitted by this Agreement to be secured by the Collateral.</w:t>
      </w:r>
    </w:p>
    <w:p>
      <w:pPr>
        <w:pStyle w:val="TextBody"/>
        <w:bidi w:val="0"/>
        <w:spacing w:before="0" w:after="240"/>
        <w:jc w:val="both"/>
        <w:rPr/>
      </w:pPr>
      <w:bookmarkStart w:id="599" w:name="docxtextref810"/>
      <w:bookmarkEnd w:id="599"/>
      <w:r>
        <w:rPr/>
        <w:t>“</w:t>
      </w:r>
      <w:r>
        <w:rPr>
          <w:rFonts w:ascii="Times New Roman;serif" w:hAnsi="Times New Roman;serif"/>
          <w:b w:val="false"/>
          <w:sz w:val="22"/>
          <w:u w:val="single"/>
        </w:rPr>
        <w:t>Secured Cash Management Obligations</w:t>
      </w:r>
      <w:r>
        <w:rPr>
          <w:rFonts w:ascii="Times New Roman" w:hAnsi="Times New Roman"/>
          <w:sz w:val="20"/>
        </w:rPr>
        <w:t xml:space="preserve">” </w:t>
      </w:r>
      <w:r>
        <w:rPr>
          <w:rFonts w:ascii="Times New Roman;serif" w:hAnsi="Times New Roman;serif"/>
          <w:b w:val="false"/>
          <w:sz w:val="22"/>
        </w:rPr>
        <w:t>means the due and punctual payment and performance of all obligations of Holdings, Bidco, any Borrower and the Restricted Subsidiaries in respect of any overdraft and related liabilities arising from treasury, depository, cash pooling arrangements and cash management services, corporate credit and purchasing cards and related programs or any automated clearing house transfers of funds provided to Bidco, any Borrower or any Subsidiary (whether absolute or contingent and howsoever and whenever created, arising, evidenced or acquired (including all renewals, extensions and modifications thereof and substitutions therefor)) that are (a)</w:t>
      </w:r>
      <w:r>
        <w:rPr>
          <w:rFonts w:ascii="Times New Roman" w:hAnsi="Times New Roman"/>
          <w:sz w:val="20"/>
        </w:rPr>
        <w:t xml:space="preserve"> </w:t>
      </w:r>
      <w:r>
        <w:rPr>
          <w:rFonts w:ascii="Times New Roman;serif" w:hAnsi="Times New Roman;serif"/>
          <w:b w:val="false"/>
          <w:sz w:val="22"/>
        </w:rPr>
        <w:t xml:space="preserve">owed to the Administrative Agent, a Joint Lead Arranger, a Lender or any of their respective Affiliates, </w:t>
      </w:r>
      <w:bookmarkStart w:id="600" w:name="docxtextref811"/>
      <w:bookmarkEnd w:id="60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owed on the Effective Date to a Person that is a Lender or an Affiliate of a Lender as of the Effective Date, </w:t>
      </w:r>
      <w:bookmarkStart w:id="601" w:name="docxtextref812"/>
      <w:bookmarkEnd w:id="60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owed to a Person that was an Agent, a Lender or an Affiliate of an Agent or Lender at the time such obligations are incurred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02" w:name="docxtextref813"/>
      <w:bookmarkEnd w:id="60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owed to any other Person that is designated by Bidco or a Borrower by written notice to the Administrative Agent substantially in the form of </w:t>
      </w:r>
      <w:r>
        <w:rPr>
          <w:rFonts w:ascii="Times New Roman;serif" w:hAnsi="Times New Roman;serif"/>
          <w:b w:val="false"/>
          <w:sz w:val="22"/>
          <w:u w:val="single"/>
        </w:rPr>
        <w:t>Exhibit V</w:t>
      </w:r>
      <w:r>
        <w:rPr>
          <w:rFonts w:ascii="Times New Roman" w:hAnsi="Times New Roman"/>
          <w:sz w:val="20"/>
        </w:rPr>
        <w:t xml:space="preserve"> </w:t>
      </w:r>
      <w:r>
        <w:rPr>
          <w:rFonts w:ascii="Times New Roman;serif" w:hAnsi="Times New Roman;serif"/>
          <w:b w:val="false"/>
          <w:sz w:val="22"/>
        </w:rPr>
        <w:t>or such other form reasonably acceptable to the Administrative Agent and Bidco or a Borrower.</w:t>
      </w:r>
    </w:p>
    <w:p>
      <w:pPr>
        <w:pStyle w:val="TextBody"/>
        <w:bidi w:val="0"/>
        <w:spacing w:before="0" w:after="240"/>
        <w:jc w:val="both"/>
        <w:rPr/>
      </w:pPr>
      <w:r>
        <w:rPr/>
        <w:t>“</w:t>
      </w:r>
      <w:r>
        <w:rPr>
          <w:rFonts w:ascii="Times New Roman;serif" w:hAnsi="Times New Roman;serif"/>
          <w:b w:val="false"/>
          <w:sz w:val="22"/>
          <w:u w:val="single"/>
        </w:rPr>
        <w:t>Secured Indebtedness</w:t>
      </w:r>
      <w:r>
        <w:rPr>
          <w:rFonts w:ascii="Times New Roman" w:hAnsi="Times New Roman"/>
          <w:sz w:val="20"/>
        </w:rPr>
        <w:t xml:space="preserve">” </w:t>
      </w:r>
      <w:r>
        <w:rPr>
          <w:rFonts w:ascii="Times New Roman;serif" w:hAnsi="Times New Roman;serif"/>
          <w:b w:val="false"/>
          <w:sz w:val="22"/>
        </w:rPr>
        <w:t>means any Indebtedness of Bidco, any Borrower, any Guarantor or any of their Restricted Subsidiaries secured by a Lien other than Indebtedness with respect to Cash Management Obligations.</w:t>
      </w:r>
    </w:p>
    <w:p>
      <w:pPr>
        <w:pStyle w:val="TextBody"/>
        <w:bidi w:val="0"/>
        <w:spacing w:before="0" w:after="240"/>
        <w:jc w:val="both"/>
        <w:rPr/>
      </w:pPr>
      <w:bookmarkStart w:id="603" w:name="docxtextref814"/>
      <w:bookmarkEnd w:id="603"/>
      <w:r>
        <w:rPr/>
        <w:t>“</w:t>
      </w:r>
      <w:r>
        <w:rPr>
          <w:rFonts w:ascii="Times New Roman;serif" w:hAnsi="Times New Roman;serif"/>
          <w:b w:val="false"/>
          <w:sz w:val="22"/>
          <w:u w:val="single"/>
        </w:rPr>
        <w:t>Secured Obligations</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the Loan Document Obligations, (ii) the Secured Cash Management Obligations and (iii) the Secured Swap Obligations (excluding with respect to any Guarantor, Excluded Swap Obligations of such Guarantor).</w:t>
      </w:r>
    </w:p>
    <w:p>
      <w:pPr>
        <w:pStyle w:val="TextBody"/>
        <w:bidi w:val="0"/>
        <w:spacing w:before="0" w:after="240"/>
        <w:jc w:val="both"/>
        <w:rPr/>
      </w:pPr>
      <w:r>
        <w:rPr/>
        <w:t>“</w:t>
      </w:r>
      <w:r>
        <w:rPr>
          <w:rFonts w:ascii="Times New Roman;serif" w:hAnsi="Times New Roman;serif"/>
          <w:b w:val="false"/>
          <w:sz w:val="22"/>
          <w:u w:val="single"/>
        </w:rPr>
        <w:t>Secured Parties</w:t>
      </w:r>
      <w:r>
        <w:rPr>
          <w:rFonts w:ascii="Times New Roman" w:hAnsi="Times New Roman"/>
          <w:sz w:val="20"/>
        </w:rPr>
        <w:t xml:space="preserve">” </w:t>
      </w:r>
      <w:r>
        <w:rPr>
          <w:rFonts w:ascii="Times New Roman;serif" w:hAnsi="Times New Roman;serif"/>
          <w:b w:val="false"/>
          <w:sz w:val="22"/>
        </w:rPr>
        <w:t>means (a) each Lender and Issuing Bank, (b) the Administrative Agent, (c) the Collateral Agent, (d) each holder of Secured Swap Obligations, (e) each holder of Secured Cash Management Obligations, (f) each Joint Lead Arranger, (g) the beneficiaries of each indemnification obligation undertaken by any Loan Party under any Loan Document and (h) the permitted successors and assigns of each of the foregoing.</w:t>
      </w:r>
    </w:p>
    <w:p>
      <w:pPr>
        <w:pStyle w:val="TextBody"/>
        <w:bidi w:val="0"/>
        <w:spacing w:before="0" w:after="240"/>
        <w:jc w:val="both"/>
        <w:rPr/>
      </w:pPr>
      <w:bookmarkStart w:id="604" w:name="docxtextref815"/>
      <w:bookmarkEnd w:id="604"/>
      <w:r>
        <w:rPr/>
        <w:t>“</w:t>
      </w:r>
      <w:r>
        <w:rPr>
          <w:rFonts w:ascii="Times New Roman;serif" w:hAnsi="Times New Roman;serif"/>
          <w:b w:val="false"/>
          <w:sz w:val="22"/>
          <w:u w:val="single"/>
        </w:rPr>
        <w:t>Secured Swap Obligations</w:t>
      </w:r>
      <w:r>
        <w:rPr>
          <w:rFonts w:ascii="Times New Roman" w:hAnsi="Times New Roman"/>
          <w:sz w:val="20"/>
        </w:rPr>
        <w:t xml:space="preserve">” </w:t>
      </w:r>
      <w:r>
        <w:rPr>
          <w:rFonts w:ascii="Times New Roman;serif" w:hAnsi="Times New Roman;serif"/>
          <w:b w:val="false"/>
          <w:sz w:val="22"/>
        </w:rPr>
        <w:t>means the due and punctual payment and performance of all obligations of Bidco, any Borrower and the Restricted Subsidiaries under each Swap Agreement that (a)</w:t>
      </w:r>
      <w:r>
        <w:rPr>
          <w:rFonts w:ascii="Times New Roman" w:hAnsi="Times New Roman"/>
          <w:sz w:val="20"/>
        </w:rPr>
        <w:t xml:space="preserve"> </w:t>
      </w:r>
      <w:r>
        <w:rPr>
          <w:rFonts w:ascii="Times New Roman;serif" w:hAnsi="Times New Roman;serif"/>
          <w:b w:val="false"/>
          <w:sz w:val="22"/>
        </w:rPr>
        <w:t xml:space="preserve">is with a counterparty that is the Administrative Agent, a Joint Lead Arranger, a Lender or any of their respective Affiliates, </w:t>
      </w:r>
      <w:bookmarkStart w:id="605" w:name="docxtextref816"/>
      <w:bookmarkEnd w:id="60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is in effect on the Effective Date with a counterparty that is a Lender, an Agent or an Affiliate of a Lender or an Agent as of the Effective Date, </w:t>
      </w:r>
      <w:bookmarkStart w:id="606" w:name="docxtextref817"/>
      <w:bookmarkEnd w:id="60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is entered into after the Effective Date with any counterparty that is a Lender, an Agent or an Affiliate of a Lender or an Agent at the time such Swap Agreement is entered into or </w:t>
      </w:r>
      <w:bookmarkStart w:id="607" w:name="docxtextref818"/>
      <w:bookmarkEnd w:id="607"/>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is with any other Person that is designated by Bidco or a Borrower by written notice to the Administrative Agent substantially in the form of </w:t>
      </w:r>
      <w:r>
        <w:rPr>
          <w:rFonts w:ascii="Times New Roman;serif" w:hAnsi="Times New Roman;serif"/>
          <w:b w:val="false"/>
          <w:sz w:val="22"/>
          <w:u w:val="single"/>
        </w:rPr>
        <w:t>Exhibit W</w:t>
      </w:r>
      <w:r>
        <w:rPr>
          <w:rFonts w:ascii="Times New Roman" w:hAnsi="Times New Roman"/>
          <w:sz w:val="20"/>
        </w:rPr>
        <w:t xml:space="preserve"> </w:t>
      </w:r>
      <w:r>
        <w:rPr>
          <w:rFonts w:ascii="Times New Roman;serif" w:hAnsi="Times New Roman;serif"/>
          <w:b w:val="false"/>
          <w:sz w:val="22"/>
        </w:rPr>
        <w:t>or such other form reasonably acceptable to the Administrative Agent and Bidco or a Borrower.</w:t>
      </w:r>
    </w:p>
    <w:p>
      <w:pPr>
        <w:pStyle w:val="TextBody"/>
        <w:bidi w:val="0"/>
        <w:spacing w:before="0" w:after="240"/>
        <w:jc w:val="both"/>
        <w:rPr/>
      </w:pPr>
      <w:r>
        <w:rPr/>
        <w:t>“</w:t>
      </w:r>
      <w:r>
        <w:rPr>
          <w:rFonts w:ascii="Times New Roman;serif" w:hAnsi="Times New Roman;serif"/>
          <w:b w:val="false"/>
          <w:sz w:val="22"/>
          <w:u w:val="single"/>
        </w:rPr>
        <w:t>Security Documents</w:t>
      </w:r>
      <w:r>
        <w:rPr>
          <w:rFonts w:ascii="Times New Roman" w:hAnsi="Times New Roman"/>
          <w:sz w:val="20"/>
        </w:rPr>
        <w:t xml:space="preserve">” </w:t>
      </w:r>
      <w:r>
        <w:rPr>
          <w:rFonts w:ascii="Times New Roman;serif" w:hAnsi="Times New Roman;serif"/>
          <w:b w:val="false"/>
          <w:sz w:val="22"/>
        </w:rPr>
        <w:t xml:space="preserve">means, collectively, (a) the Collateral Agreement, (b) each Non-U.S. Security Agreement and (c) each other security agreement or pledge agreement executed and delivered pursuant to the Collateral and Guarantee Requirement, or </w:t>
      </w:r>
      <w:r>
        <w:rPr>
          <w:rFonts w:ascii="Times New Roman;serif" w:hAnsi="Times New Roman;serif"/>
          <w:b w:val="false"/>
          <w:sz w:val="22"/>
          <w:u w:val="single"/>
        </w:rPr>
        <w:t>Sections 5.11</w:t>
      </w:r>
      <w:r>
        <w:rPr>
          <w:rFonts w:ascii="Times New Roman;serif" w:hAnsi="Times New Roman;serif"/>
          <w:b w:val="false"/>
          <w:sz w:val="22"/>
        </w:rPr>
        <w:t xml:space="preserve">, </w:t>
      </w:r>
      <w:r>
        <w:rPr>
          <w:rFonts w:ascii="Times New Roman;serif" w:hAnsi="Times New Roman;serif"/>
          <w:b w:val="false"/>
          <w:sz w:val="22"/>
          <w:u w:val="single"/>
        </w:rPr>
        <w:t>5.12</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5.14</w:t>
      </w:r>
      <w:r>
        <w:rPr>
          <w:rFonts w:ascii="Times New Roman" w:hAnsi="Times New Roman"/>
          <w:sz w:val="20"/>
        </w:rPr>
        <w:t xml:space="preserve"> </w:t>
      </w:r>
      <w:r>
        <w:rPr>
          <w:rFonts w:ascii="Times New Roman;serif" w:hAnsi="Times New Roman;serif"/>
          <w:b w:val="false"/>
          <w:sz w:val="22"/>
        </w:rPr>
        <w:t>to secure any of the Secured Obligations.</w:t>
      </w:r>
    </w:p>
    <w:p>
      <w:pPr>
        <w:pStyle w:val="TextBody"/>
        <w:bidi w:val="0"/>
        <w:spacing w:before="0" w:after="240"/>
        <w:jc w:val="both"/>
        <w:rPr/>
      </w:pPr>
      <w:r>
        <w:rPr/>
        <w:t>“</w:t>
      </w:r>
      <w:r>
        <w:rPr>
          <w:rFonts w:ascii="Times New Roman;serif" w:hAnsi="Times New Roman;serif"/>
          <w:b w:val="false"/>
          <w:sz w:val="22"/>
          <w:u w:val="single"/>
        </w:rPr>
        <w:t>Senior Representative</w:t>
      </w:r>
      <w:r>
        <w:rPr>
          <w:rFonts w:ascii="Times New Roman" w:hAnsi="Times New Roman"/>
          <w:sz w:val="20"/>
        </w:rPr>
        <w:t xml:space="preserve">” </w:t>
      </w:r>
      <w:r>
        <w:rPr>
          <w:rFonts w:ascii="Times New Roman;serif" w:hAnsi="Times New Roman;serif"/>
          <w:b w:val="false"/>
          <w:sz w:val="22"/>
        </w:rPr>
        <w:t xml:space="preserve">means, with respect to any series of Indebtedness permitted by this Agreement to be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0" w:after="240"/>
        <w:jc w:val="both"/>
        <w:rPr/>
      </w:pPr>
      <w:bookmarkStart w:id="608" w:name="docxtextref822"/>
      <w:bookmarkEnd w:id="608"/>
      <w:r>
        <w:rPr/>
        <w:t>“</w:t>
      </w:r>
      <w:r>
        <w:rPr>
          <w:rFonts w:ascii="Times New Roman;serif" w:hAnsi="Times New Roman;serif"/>
          <w:b w:val="false"/>
          <w:sz w:val="22"/>
          <w:u w:val="single"/>
        </w:rPr>
        <w:t>Senior Secured First Lien Net Leverage Ratio</w:t>
      </w:r>
      <w:r>
        <w:rPr>
          <w:rFonts w:ascii="Times New Roman" w:hAnsi="Times New Roman"/>
          <w:sz w:val="20"/>
        </w:rPr>
        <w:t xml:space="preserve">” </w:t>
      </w:r>
      <w:r>
        <w:rPr>
          <w:rFonts w:ascii="Times New Roman;serif" w:hAnsi="Times New Roman;serif"/>
          <w:b w:val="false"/>
          <w:sz w:val="22"/>
        </w:rPr>
        <w:t>means, as of any date of determination, the ratio, on a Pro Forma Basis, of (a)</w:t>
      </w:r>
      <w:r>
        <w:rPr>
          <w:rFonts w:ascii="Times New Roman" w:hAnsi="Times New Roman"/>
          <w:sz w:val="20"/>
        </w:rPr>
        <w:t xml:space="preserve"> </w:t>
      </w:r>
      <w:r>
        <w:rPr>
          <w:rFonts w:ascii="Times New Roman;serif" w:hAnsi="Times New Roman;serif"/>
          <w:b w:val="false"/>
          <w:sz w:val="22"/>
        </w:rPr>
        <w:t xml:space="preserve">the sum of (i) Consolidated Senior Secured First Lien Indebtedness as of such date and (ii) the Reserved Indebtedness Amount applicable at such time to the calculation of the Senior Secured First Lien Net Leverage Ratio with respect to commitments first obtained as of such date but not utilized as of such date (but only the extent such commitments are being obtained in reliance on a test based on such ratio) to </w:t>
      </w:r>
      <w:bookmarkStart w:id="609" w:name="docxtextref823"/>
      <w:bookmarkEnd w:id="60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Consolidated EBITDA for the most recently ended Test Period as of such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prior to the expiration of the Certain Funds Period, any unused Initial Term Commitments (without duplication of any Indebtedness to be refinanced with the proceeds of such unused commitments) shall be included as Consolidated Senior Secured First Lien Indebtedness for purposes of this definition.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bookmarkStart w:id="610" w:name="docxtextref824"/>
      <w:bookmarkEnd w:id="610"/>
      <w:r>
        <w:rPr/>
        <w:t>“</w:t>
      </w:r>
      <w:r>
        <w:rPr>
          <w:rFonts w:ascii="Times New Roman;serif" w:hAnsi="Times New Roman;serif"/>
          <w:b w:val="false"/>
          <w:sz w:val="22"/>
          <w:u w:val="single"/>
        </w:rPr>
        <w:t>Senior Secured Net Leverage Ratio</w:t>
      </w:r>
      <w:r>
        <w:rPr>
          <w:rFonts w:ascii="Times New Roman" w:hAnsi="Times New Roman"/>
          <w:sz w:val="20"/>
        </w:rPr>
        <w:t xml:space="preserve">” </w:t>
      </w:r>
      <w:r>
        <w:rPr>
          <w:rFonts w:ascii="Times New Roman;serif" w:hAnsi="Times New Roman;serif"/>
          <w:b w:val="false"/>
          <w:sz w:val="22"/>
        </w:rPr>
        <w:t>means, as of any date of determination, the ratio, on a Pro Forma Basis, of (a)</w:t>
      </w:r>
      <w:r>
        <w:rPr>
          <w:rFonts w:ascii="Times New Roman" w:hAnsi="Times New Roman"/>
          <w:sz w:val="20"/>
        </w:rPr>
        <w:t xml:space="preserve"> </w:t>
      </w:r>
      <w:r>
        <w:rPr>
          <w:rFonts w:ascii="Times New Roman;serif" w:hAnsi="Times New Roman;serif"/>
          <w:b w:val="false"/>
          <w:sz w:val="22"/>
        </w:rPr>
        <w:t xml:space="preserve">the sum of (i) Consolidated Senior Secured Indebtedness as of such date and (ii) the Reserved Indebtedness Amount applicable at such time to the calculation of the Senior Secured Net Leverage Ratio with respect to commitments first obtained as of such date but not utilized as of such date (but only the extent such commitments are being obtained in reliance on a test based on such ratio) to </w:t>
      </w:r>
      <w:bookmarkStart w:id="611" w:name="docxtextref825"/>
      <w:bookmarkEnd w:id="61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Consolidated EBITDA for the most recently completed Test Period;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prior to the expiration of the Certain Funds Period, any unused Initial Term Commitments (without duplication of any Indebtedness to be refinanced with the proceeds of such unused commitments) shall be included as Consolidated Senior Secured Indebtedness for purposes of this definition.</w:t>
      </w:r>
    </w:p>
    <w:p>
      <w:pPr>
        <w:pStyle w:val="TextBody"/>
        <w:bidi w:val="0"/>
        <w:spacing w:before="0" w:after="240"/>
        <w:jc w:val="both"/>
        <w:rPr/>
      </w:pPr>
      <w:r>
        <w:rPr/>
        <w:t>“</w:t>
      </w:r>
      <w:r>
        <w:rPr>
          <w:rFonts w:ascii="Times New Roman;serif" w:hAnsi="Times New Roman;serif"/>
          <w:b w:val="false"/>
          <w:sz w:val="22"/>
          <w:u w:val="single"/>
        </w:rPr>
        <w:t>Senior Secured Notes</w:t>
      </w:r>
      <w:r>
        <w:rPr>
          <w:rFonts w:ascii="Times New Roman" w:hAnsi="Times New Roman"/>
          <w:sz w:val="20"/>
        </w:rPr>
        <w:t xml:space="preserve">” </w:t>
      </w:r>
      <w:r>
        <w:rPr>
          <w:rFonts w:ascii="Times New Roman;serif" w:hAnsi="Times New Roman;serif"/>
          <w:b w:val="false"/>
          <w:sz w:val="22"/>
        </w:rPr>
        <w:t>means those 6.750% Senior Secured Notes due 2026 issued by the Finco Borrower and the U.S, Borrower in an aggregate amount of $2,075,000,000 issued on or prior to the Effective Date pursuant to the Senior Secured Notes Documents.</w:t>
      </w:r>
    </w:p>
    <w:p>
      <w:pPr>
        <w:pStyle w:val="TextBody"/>
        <w:bidi w:val="0"/>
        <w:spacing w:before="0" w:after="240"/>
        <w:jc w:val="both"/>
        <w:rPr/>
      </w:pPr>
      <w:r>
        <w:rPr/>
        <w:t>“</w:t>
      </w:r>
      <w:r>
        <w:rPr>
          <w:rFonts w:ascii="Times New Roman;serif" w:hAnsi="Times New Roman;serif"/>
          <w:b w:val="false"/>
          <w:sz w:val="22"/>
          <w:u w:val="single"/>
        </w:rPr>
        <w:t>Senior Secured Notes Documents</w:t>
      </w:r>
      <w:r>
        <w:rPr>
          <w:rFonts w:ascii="Times New Roman" w:hAnsi="Times New Roman"/>
          <w:sz w:val="20"/>
        </w:rPr>
        <w:t xml:space="preserve">” </w:t>
      </w:r>
      <w:r>
        <w:rPr>
          <w:rFonts w:ascii="Times New Roman;serif" w:hAnsi="Times New Roman;serif"/>
          <w:b w:val="false"/>
          <w:sz w:val="22"/>
        </w:rPr>
        <w:t>means the Senior Secured Notes Indenture and all supplemental indentures, other agreements, instruments and other documents (including collateral documents with respect thereto) pursuant to which the Senior Secured Notes have been issued.</w:t>
      </w:r>
    </w:p>
    <w:p>
      <w:pPr>
        <w:pStyle w:val="TextBody"/>
        <w:bidi w:val="0"/>
        <w:spacing w:before="0" w:after="240"/>
        <w:jc w:val="both"/>
        <w:rPr/>
      </w:pPr>
      <w:r>
        <w:rPr/>
        <w:t>“</w:t>
      </w:r>
      <w:r>
        <w:rPr>
          <w:rFonts w:ascii="Times New Roman;serif" w:hAnsi="Times New Roman;serif"/>
          <w:b w:val="false"/>
          <w:sz w:val="22"/>
          <w:u w:val="single"/>
        </w:rPr>
        <w:t>Senior Secured Notes Indenture</w:t>
      </w:r>
      <w:r>
        <w:rPr>
          <w:rFonts w:ascii="Times New Roman" w:hAnsi="Times New Roman"/>
          <w:sz w:val="20"/>
        </w:rPr>
        <w:t xml:space="preserve">” </w:t>
      </w:r>
      <w:r>
        <w:rPr>
          <w:rFonts w:ascii="Times New Roman;serif" w:hAnsi="Times New Roman;serif"/>
          <w:b w:val="false"/>
          <w:sz w:val="22"/>
        </w:rPr>
        <w:t>means the Indenture, dated as of October 7, 2019, among the Finco Borrower and the U.S. Borrower, as issuers, the guarantors party thereto from time to time and Wilmington Trust, National Association, as trustee, governing the Senior Secured Notes, as the same may be amended, supplemented, waived or otherwise modified from time to time.</w:t>
      </w:r>
    </w:p>
    <w:p>
      <w:pPr>
        <w:pStyle w:val="TextBody"/>
        <w:bidi w:val="0"/>
        <w:spacing w:before="0" w:after="240"/>
        <w:jc w:val="both"/>
        <w:rPr/>
      </w:pPr>
      <w:r>
        <w:rPr/>
        <w:t>“</w:t>
      </w:r>
      <w:r>
        <w:rPr>
          <w:rFonts w:ascii="Times New Roman;serif" w:hAnsi="Times New Roman;serif"/>
          <w:b w:val="false"/>
          <w:sz w:val="22"/>
          <w:u w:val="single"/>
        </w:rPr>
        <w:t>Settlement</w:t>
      </w:r>
      <w:r>
        <w:rPr>
          <w:rFonts w:ascii="Times New Roman" w:hAnsi="Times New Roman"/>
          <w:sz w:val="20"/>
        </w:rPr>
        <w:t xml:space="preserve">” </w:t>
      </w:r>
      <w:r>
        <w:rPr>
          <w:rFonts w:ascii="Times New Roman;serif" w:hAnsi="Times New Roman;serif"/>
          <w:b w:val="false"/>
          <w:sz w:val="22"/>
        </w:rPr>
        <w:t>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pStyle w:val="TextBody"/>
        <w:bidi w:val="0"/>
        <w:spacing w:before="0" w:after="240"/>
        <w:jc w:val="both"/>
        <w:rPr/>
      </w:pPr>
      <w:r>
        <w:rPr/>
        <w:t>“</w:t>
      </w:r>
      <w:r>
        <w:rPr>
          <w:rFonts w:ascii="Times New Roman;serif" w:hAnsi="Times New Roman;serif"/>
          <w:b w:val="false"/>
          <w:sz w:val="22"/>
          <w:u w:val="single"/>
        </w:rPr>
        <w:t>Settlement Asset</w:t>
      </w:r>
      <w:r>
        <w:rPr>
          <w:rFonts w:ascii="Times New Roman" w:hAnsi="Times New Roman"/>
          <w:sz w:val="20"/>
        </w:rPr>
        <w:t xml:space="preserve">” </w:t>
      </w:r>
      <w:r>
        <w:rPr>
          <w:rFonts w:ascii="Times New Roman;serif" w:hAnsi="Times New Roman;serif"/>
          <w:b w:val="false"/>
          <w:sz w:val="22"/>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before="0" w:after="240"/>
        <w:jc w:val="both"/>
        <w:rPr/>
      </w:pPr>
      <w:r>
        <w:rPr/>
        <w:t>“</w:t>
      </w:r>
      <w:r>
        <w:rPr>
          <w:rFonts w:ascii="Times New Roman;serif" w:hAnsi="Times New Roman;serif"/>
          <w:b w:val="false"/>
          <w:sz w:val="22"/>
          <w:u w:val="single"/>
        </w:rPr>
        <w:t>Settlement Indebtedness</w:t>
      </w:r>
      <w:r>
        <w:rPr>
          <w:rFonts w:ascii="Times New Roman" w:hAnsi="Times New Roman"/>
          <w:sz w:val="20"/>
        </w:rPr>
        <w:t xml:space="preserve">” </w:t>
      </w:r>
      <w:r>
        <w:rPr>
          <w:rFonts w:ascii="Times New Roman;serif" w:hAnsi="Times New Roman;serif"/>
          <w:b w:val="false"/>
          <w:sz w:val="22"/>
        </w:rPr>
        <w:t>means any payment or reimbursement obligation in respect of a Settlement Payment.</w:t>
      </w:r>
    </w:p>
    <w:p>
      <w:pPr>
        <w:pStyle w:val="TextBody"/>
        <w:bidi w:val="0"/>
        <w:spacing w:before="0" w:after="240"/>
        <w:jc w:val="both"/>
        <w:rPr/>
      </w:pPr>
      <w:r>
        <w:rPr/>
        <w:t>“</w:t>
      </w:r>
      <w:r>
        <w:rPr>
          <w:rFonts w:ascii="Times New Roman;serif" w:hAnsi="Times New Roman;serif"/>
          <w:b w:val="false"/>
          <w:sz w:val="22"/>
          <w:u w:val="single"/>
        </w:rPr>
        <w:t>Settlement Lien</w:t>
      </w:r>
      <w:r>
        <w:rPr>
          <w:rFonts w:ascii="Times New Roman" w:hAnsi="Times New Roman"/>
          <w:sz w:val="20"/>
        </w:rPr>
        <w:t xml:space="preserve">” </w:t>
      </w:r>
      <w:r>
        <w:rPr>
          <w:rFonts w:ascii="Times New Roman;serif" w:hAnsi="Times New Roman;serif"/>
          <w:b w:val="false"/>
          <w:sz w:val="22"/>
        </w:rPr>
        <w:t>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pStyle w:val="TextBody"/>
        <w:bidi w:val="0"/>
        <w:spacing w:before="0" w:after="240"/>
        <w:jc w:val="both"/>
        <w:rPr/>
      </w:pPr>
      <w:r>
        <w:rPr/>
        <w:t>“</w:t>
      </w:r>
      <w:r>
        <w:rPr>
          <w:rFonts w:ascii="Times New Roman;serif" w:hAnsi="Times New Roman;serif"/>
          <w:b w:val="false"/>
          <w:sz w:val="22"/>
          <w:u w:val="single"/>
        </w:rPr>
        <w:t>Settlement Payment</w:t>
      </w:r>
      <w:r>
        <w:rPr>
          <w:rFonts w:ascii="Times New Roman" w:hAnsi="Times New Roman"/>
          <w:sz w:val="20"/>
        </w:rPr>
        <w:t xml:space="preserve">” </w:t>
      </w:r>
      <w:r>
        <w:rPr>
          <w:rFonts w:ascii="Times New Roman;serif" w:hAnsi="Times New Roman;serif"/>
          <w:b w:val="false"/>
          <w:sz w:val="22"/>
        </w:rPr>
        <w:t>means the transfer, or contractual undertaking (including by automated clearing house transaction) to effect a transfer, of cash or other property to effect a Settlement.</w:t>
      </w:r>
    </w:p>
    <w:p>
      <w:pPr>
        <w:pStyle w:val="TextBody"/>
        <w:bidi w:val="0"/>
        <w:spacing w:before="0" w:after="240"/>
        <w:jc w:val="both"/>
        <w:rPr/>
      </w:pPr>
      <w:r>
        <w:rPr/>
        <w:t>“</w:t>
      </w:r>
      <w:r>
        <w:rPr>
          <w:rFonts w:ascii="Times New Roman;serif" w:hAnsi="Times New Roman;serif"/>
          <w:b w:val="false"/>
          <w:sz w:val="22"/>
          <w:u w:val="single"/>
        </w:rPr>
        <w:t>Settlement Receivable</w:t>
      </w:r>
      <w:r>
        <w:rPr>
          <w:rFonts w:ascii="Times New Roman" w:hAnsi="Times New Roman"/>
          <w:sz w:val="20"/>
        </w:rPr>
        <w:t xml:space="preserve">” </w:t>
      </w:r>
      <w:r>
        <w:rPr>
          <w:rFonts w:ascii="Times New Roman;serif" w:hAnsi="Times New Roman;serif"/>
          <w:b w:val="false"/>
          <w:sz w:val="22"/>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before="0" w:after="240"/>
        <w:jc w:val="both"/>
        <w:rPr/>
      </w:pPr>
      <w:bookmarkStart w:id="612" w:name="docxtextref826"/>
      <w:bookmarkEnd w:id="612"/>
      <w:r>
        <w:rPr/>
        <w:t>“</w:t>
      </w:r>
      <w:r>
        <w:rPr>
          <w:rFonts w:ascii="Times New Roman;serif" w:hAnsi="Times New Roman;serif"/>
          <w:b w:val="false"/>
          <w:sz w:val="22"/>
          <w:u w:val="single"/>
        </w:rPr>
        <w:t>Similar Business</w:t>
      </w:r>
      <w:r>
        <w:rPr>
          <w:rFonts w:ascii="Times New Roman" w:hAnsi="Times New Roman"/>
          <w:sz w:val="20"/>
        </w:rPr>
        <w:t xml:space="preserve">” </w:t>
      </w:r>
      <w:r>
        <w:rPr>
          <w:rFonts w:ascii="Times New Roman;serif" w:hAnsi="Times New Roman;serif"/>
          <w:b w:val="false"/>
          <w:sz w:val="22"/>
        </w:rPr>
        <w:t>means (1)</w:t>
      </w:r>
      <w:r>
        <w:rPr>
          <w:rFonts w:ascii="Times New Roman" w:hAnsi="Times New Roman"/>
          <w:sz w:val="20"/>
        </w:rPr>
        <w:t xml:space="preserve"> </w:t>
      </w:r>
      <w:r>
        <w:rPr>
          <w:rFonts w:ascii="Times New Roman;serif" w:hAnsi="Times New Roman;serif"/>
          <w:b w:val="false"/>
          <w:sz w:val="22"/>
        </w:rPr>
        <w:t xml:space="preserve">any business conducted or proposed to be conducted by Bidco or any of its Subsidiaries on the Effective Date or </w:t>
      </w:r>
      <w:bookmarkStart w:id="613" w:name="docxtextref827"/>
      <w:bookmarkEnd w:id="613"/>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any business or other activities that are reasonably similar, incidental, ancillary, complementary or related to, or a reasonable extension,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development or expansion of, the businesses in which Bidco and any of its Subsidiaries were engaged on the Effective Date.</w:t>
      </w:r>
    </w:p>
    <w:p>
      <w:pPr>
        <w:pStyle w:val="TextBody"/>
        <w:bidi w:val="0"/>
        <w:spacing w:before="0" w:after="240"/>
        <w:jc w:val="both"/>
        <w:rPr/>
      </w:pPr>
      <w:r>
        <w:rPr/>
        <w:t>“</w:t>
      </w:r>
      <w:r>
        <w:rPr>
          <w:rFonts w:ascii="Times New Roman;serif" w:hAnsi="Times New Roman;serif"/>
          <w:b w:val="false"/>
          <w:sz w:val="22"/>
          <w:u w:val="single"/>
        </w:rPr>
        <w:t>Sold Entity or Business</w:t>
      </w:r>
      <w:r>
        <w:rPr>
          <w:rFonts w:ascii="Times New Roman" w:hAnsi="Times New Roman"/>
          <w:sz w:val="20"/>
        </w:rPr>
        <w:t xml:space="preserve">” </w:t>
      </w:r>
      <w:r>
        <w:rPr>
          <w:rFonts w:ascii="Times New Roman;serif" w:hAnsi="Times New Roman;serif"/>
          <w:b w:val="false"/>
          <w:sz w:val="22"/>
        </w:rPr>
        <w:t>has the meaning assigned to such term in the definition of the term “Consolidated EBITDA.”</w:t>
      </w:r>
    </w:p>
    <w:p>
      <w:pPr>
        <w:pStyle w:val="TextBody"/>
        <w:bidi w:val="0"/>
        <w:spacing w:before="0" w:after="240"/>
        <w:jc w:val="both"/>
        <w:rPr/>
      </w:pPr>
      <w:r>
        <w:rPr/>
        <w:t>“</w:t>
      </w:r>
      <w:r>
        <w:rPr>
          <w:rFonts w:ascii="Times New Roman;serif" w:hAnsi="Times New Roman;serif"/>
          <w:b w:val="false"/>
          <w:sz w:val="22"/>
          <w:u w:val="single"/>
        </w:rPr>
        <w:t>Solicited Discount Proration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Solicited Discounted Prepayment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Solicited Discounted Prepayment Notice</w:t>
      </w:r>
      <w:r>
        <w:rPr>
          <w:rFonts w:ascii="Times New Roman" w:hAnsi="Times New Roman"/>
          <w:sz w:val="20"/>
        </w:rPr>
        <w:t xml:space="preserve">” </w:t>
      </w:r>
      <w:r>
        <w:rPr>
          <w:rFonts w:ascii="Times New Roman;serif" w:hAnsi="Times New Roman;serif"/>
          <w:b w:val="false"/>
          <w:sz w:val="22"/>
        </w:rPr>
        <w:t xml:space="preserve">means an irrevocable written notice of a Borrower Solicitation of Discounted Prepayment Offers made pursuant to </w:t>
      </w:r>
      <w:r>
        <w:rPr>
          <w:rFonts w:ascii="Times New Roman;serif" w:hAnsi="Times New Roman;serif"/>
          <w:b w:val="false"/>
          <w:sz w:val="22"/>
          <w:u w:val="single"/>
        </w:rPr>
        <w:t>Section 2.10(a)(ii)(D)</w:t>
      </w:r>
      <w:r>
        <w:rPr>
          <w:rFonts w:ascii="Times New Roman" w:hAnsi="Times New Roman"/>
          <w:sz w:val="20"/>
        </w:rPr>
        <w:t xml:space="preserve"> </w:t>
      </w:r>
      <w:r>
        <w:rPr>
          <w:rFonts w:ascii="Times New Roman;serif" w:hAnsi="Times New Roman;serif"/>
          <w:b w:val="false"/>
          <w:sz w:val="22"/>
        </w:rPr>
        <w:t xml:space="preserve">substantially in the form of </w:t>
      </w:r>
      <w:r>
        <w:rPr>
          <w:rFonts w:ascii="Times New Roman;serif" w:hAnsi="Times New Roman;serif"/>
          <w:b w:val="false"/>
          <w:sz w:val="22"/>
          <w:u w:val="single"/>
        </w:rPr>
        <w:t>Exhibit N</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Solicited Discounted Prepayment Offer</w:t>
      </w:r>
      <w:r>
        <w:rPr>
          <w:rFonts w:ascii="Times New Roman" w:hAnsi="Times New Roman"/>
          <w:sz w:val="20"/>
        </w:rPr>
        <w:t xml:space="preserve">” </w:t>
      </w:r>
      <w:r>
        <w:rPr>
          <w:rFonts w:ascii="Times New Roman;serif" w:hAnsi="Times New Roman;serif"/>
          <w:b w:val="false"/>
          <w:sz w:val="22"/>
        </w:rPr>
        <w:t xml:space="preserve">means the irrevocable written offer by each Term Lender, substantially in the form of </w:t>
      </w:r>
      <w:r>
        <w:rPr>
          <w:rFonts w:ascii="Times New Roman;serif" w:hAnsi="Times New Roman;serif"/>
          <w:b w:val="false"/>
          <w:sz w:val="22"/>
          <w:u w:val="single"/>
        </w:rPr>
        <w:t>Exhibit O</w:t>
      </w:r>
      <w:r>
        <w:rPr>
          <w:rFonts w:ascii="Times New Roman;serif" w:hAnsi="Times New Roman;serif"/>
          <w:b w:val="false"/>
          <w:sz w:val="22"/>
        </w:rPr>
        <w:t>, submitted following the Administrative Agent’s receipt of a Solicited Discounted Prepayment Notice.</w:t>
      </w:r>
    </w:p>
    <w:p>
      <w:pPr>
        <w:pStyle w:val="TextBody"/>
        <w:bidi w:val="0"/>
        <w:spacing w:before="0" w:after="240"/>
        <w:jc w:val="both"/>
        <w:rPr/>
      </w:pPr>
      <w:r>
        <w:rPr/>
        <w:t>“</w:t>
      </w:r>
      <w:r>
        <w:rPr>
          <w:rFonts w:ascii="Times New Roman;serif" w:hAnsi="Times New Roman;serif"/>
          <w:b w:val="false"/>
          <w:sz w:val="22"/>
          <w:u w:val="single"/>
        </w:rPr>
        <w:t>Solicited Discounted Prepayment Response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2.10(a)(ii)(D)(1)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Asset Sale Proceeds</w:t>
      </w:r>
      <w:r>
        <w:rPr>
          <w:rFonts w:ascii="Times New Roman" w:hAnsi="Times New Roman"/>
          <w:sz w:val="20"/>
        </w:rPr>
        <w:t xml:space="preserve">” </w:t>
      </w:r>
      <w:r>
        <w:rPr>
          <w:rFonts w:ascii="Times New Roman;serif" w:hAnsi="Times New Roman;serif"/>
          <w:b w:val="false"/>
          <w:sz w:val="22"/>
        </w:rPr>
        <w:t xml:space="preserve">means the sum of the Net Proceeds received since the Effective Date by or on behalf of Bidco or any of the Restricted Subsidiaries in respect of any Prepayment Event described in clause (a) of the definition thereof that exceeds such amount required to be applied to prepay the Term Loans or be reinvested pursuant to </w:t>
      </w:r>
      <w:r>
        <w:rPr>
          <w:rFonts w:ascii="Times New Roman;serif" w:hAnsi="Times New Roman;serif"/>
          <w:b w:val="false"/>
          <w:sz w:val="22"/>
          <w:u w:val="single"/>
        </w:rPr>
        <w:t>Section 2.10(c)</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Discount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2.10(a)(ii)(B)(1)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Discount Prepayment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2.10(a)(ii)(B)(1)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Discount Prepayment Notice</w:t>
      </w:r>
      <w:r>
        <w:rPr>
          <w:rFonts w:ascii="Times New Roman" w:hAnsi="Times New Roman"/>
          <w:sz w:val="20"/>
        </w:rPr>
        <w:t xml:space="preserve">” </w:t>
      </w:r>
      <w:r>
        <w:rPr>
          <w:rFonts w:ascii="Times New Roman;serif" w:hAnsi="Times New Roman;serif"/>
          <w:b w:val="false"/>
          <w:sz w:val="22"/>
        </w:rPr>
        <w:t xml:space="preserve">means an irrevocable written notice of the Borrower Representative of Specified Discount made pursuant to </w:t>
      </w:r>
      <w:r>
        <w:rPr>
          <w:rFonts w:ascii="Times New Roman;serif" w:hAnsi="Times New Roman;serif"/>
          <w:b w:val="false"/>
          <w:sz w:val="22"/>
          <w:u w:val="single"/>
        </w:rPr>
        <w:t>Section 2.10(a)(ii)(B)</w:t>
      </w:r>
      <w:r>
        <w:rPr>
          <w:rFonts w:ascii="Times New Roman" w:hAnsi="Times New Roman"/>
          <w:sz w:val="20"/>
        </w:rPr>
        <w:t xml:space="preserve"> </w:t>
      </w:r>
      <w:r>
        <w:rPr>
          <w:rFonts w:ascii="Times New Roman;serif" w:hAnsi="Times New Roman;serif"/>
          <w:b w:val="false"/>
          <w:sz w:val="22"/>
        </w:rPr>
        <w:t xml:space="preserve">substantially in the form of </w:t>
      </w:r>
      <w:r>
        <w:rPr>
          <w:rFonts w:ascii="Times New Roman;serif" w:hAnsi="Times New Roman;serif"/>
          <w:b w:val="false"/>
          <w:sz w:val="22"/>
          <w:u w:val="single"/>
        </w:rPr>
        <w:t>Exhibit J</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Discount Prepayment Response</w:t>
      </w:r>
      <w:r>
        <w:rPr>
          <w:rFonts w:ascii="Times New Roman" w:hAnsi="Times New Roman"/>
          <w:sz w:val="20"/>
        </w:rPr>
        <w:t xml:space="preserve">” </w:t>
      </w:r>
      <w:r>
        <w:rPr>
          <w:rFonts w:ascii="Times New Roman;serif" w:hAnsi="Times New Roman;serif"/>
          <w:b w:val="false"/>
          <w:sz w:val="22"/>
        </w:rPr>
        <w:t xml:space="preserve">means the irrevocable written response by each Term Lender, substantially in the form of </w:t>
      </w:r>
      <w:r>
        <w:rPr>
          <w:rFonts w:ascii="Times New Roman;serif" w:hAnsi="Times New Roman;serif"/>
          <w:b w:val="false"/>
          <w:sz w:val="22"/>
          <w:u w:val="single"/>
        </w:rPr>
        <w:t>Exhibit K</w:t>
      </w:r>
      <w:r>
        <w:rPr>
          <w:rFonts w:ascii="Times New Roman;serif" w:hAnsi="Times New Roman;serif"/>
          <w:b w:val="false"/>
          <w:sz w:val="22"/>
        </w:rPr>
        <w:t>, to a Specified Discount Prepayment Notice.</w:t>
      </w:r>
    </w:p>
    <w:p>
      <w:pPr>
        <w:pStyle w:val="TextBody"/>
        <w:bidi w:val="0"/>
        <w:spacing w:before="0" w:after="240"/>
        <w:jc w:val="both"/>
        <w:rPr/>
      </w:pPr>
      <w:r>
        <w:rPr/>
        <w:t>“</w:t>
      </w:r>
      <w:r>
        <w:rPr>
          <w:rFonts w:ascii="Times New Roman;serif" w:hAnsi="Times New Roman;serif"/>
          <w:b w:val="false"/>
          <w:sz w:val="22"/>
          <w:u w:val="single"/>
        </w:rPr>
        <w:t>Specified Discount Prepayment Response Date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2.10(a)(ii)(B)(1)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Discount Proration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2.10(a)(ii)(B)(3)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Event of Default</w:t>
      </w:r>
      <w:r>
        <w:rPr>
          <w:rFonts w:ascii="Times New Roman" w:hAnsi="Times New Roman"/>
          <w:sz w:val="20"/>
        </w:rPr>
        <w:t xml:space="preserve">” </w:t>
      </w:r>
      <w:r>
        <w:rPr>
          <w:rFonts w:ascii="Times New Roman;serif" w:hAnsi="Times New Roman;serif"/>
          <w:b w:val="false"/>
          <w:sz w:val="22"/>
        </w:rPr>
        <w:t xml:space="preserve">means an Event of Default under </w:t>
      </w:r>
      <w:r>
        <w:rPr>
          <w:rFonts w:ascii="Times New Roman;serif" w:hAnsi="Times New Roman;serif"/>
          <w:b w:val="false"/>
          <w:sz w:val="22"/>
          <w:u w:val="single"/>
        </w:rPr>
        <w:t>Section 7.01(a)</w:t>
      </w:r>
      <w:r>
        <w:rPr>
          <w:rFonts w:ascii="Times New Roman;serif" w:hAnsi="Times New Roman;serif"/>
          <w:b w:val="false"/>
          <w:sz w:val="22"/>
        </w:rPr>
        <w:t xml:space="preserve">, </w:t>
      </w:r>
      <w:r>
        <w:rPr>
          <w:rFonts w:ascii="Times New Roman;serif" w:hAnsi="Times New Roman;serif"/>
          <w:b w:val="false"/>
          <w:sz w:val="22"/>
          <w:u w:val="single"/>
        </w:rPr>
        <w:t>(b)</w:t>
      </w:r>
      <w:r>
        <w:rPr>
          <w:rFonts w:ascii="Times New Roman;serif" w:hAnsi="Times New Roman;serif"/>
          <w:b w:val="false"/>
          <w:sz w:val="22"/>
        </w:rPr>
        <w:t xml:space="preserve">, </w:t>
      </w:r>
      <w:r>
        <w:rPr>
          <w:rFonts w:ascii="Times New Roman;serif" w:hAnsi="Times New Roman;serif"/>
          <w:b w:val="false"/>
          <w:sz w:val="22"/>
          <w:u w:val="single"/>
        </w:rPr>
        <w:t>(h)</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Specified Transaction</w:t>
      </w:r>
      <w:r>
        <w:rPr>
          <w:rFonts w:ascii="Times New Roman" w:hAnsi="Times New Roman"/>
          <w:sz w:val="20"/>
        </w:rPr>
        <w:t xml:space="preserve">” </w:t>
      </w:r>
      <w:r>
        <w:rPr>
          <w:rFonts w:ascii="Times New Roman;serif" w:hAnsi="Times New Roman;serif"/>
          <w:b w:val="false"/>
          <w:sz w:val="22"/>
        </w:rPr>
        <w:t>means, with respect to any period, any Investment, sale, transfer or other disposition of assets, incurrence or repayment of Indebtedness, Restricted Payment, subsidiary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designation or other event that by the terms of the Loan Documents requires “Pro Forma Compliance” with a test or covenant hereunder or requires such test or covenant to be calculated on a Pro Forma Basis or after giving Pro Forma Effect thereto.</w:t>
      </w:r>
    </w:p>
    <w:p>
      <w:pPr>
        <w:pStyle w:val="TextBody"/>
        <w:bidi w:val="0"/>
        <w:spacing w:before="0" w:after="240"/>
        <w:jc w:val="both"/>
        <w:rPr/>
      </w:pPr>
      <w:r>
        <w:rPr/>
        <w:t>“</w:t>
      </w:r>
      <w:r>
        <w:rPr>
          <w:rFonts w:ascii="Times New Roman;serif" w:hAnsi="Times New Roman;serif"/>
          <w:b w:val="false"/>
          <w:sz w:val="22"/>
          <w:u w:val="single"/>
        </w:rPr>
        <w:t>Sponsor Management Agreement</w:t>
      </w:r>
      <w:r>
        <w:rPr>
          <w:rFonts w:ascii="Times New Roman" w:hAnsi="Times New Roman"/>
          <w:sz w:val="20"/>
        </w:rPr>
        <w:t xml:space="preserve">” </w:t>
      </w:r>
      <w:r>
        <w:rPr>
          <w:rFonts w:ascii="Times New Roman;serif" w:hAnsi="Times New Roman;serif"/>
          <w:b w:val="false"/>
          <w:sz w:val="22"/>
        </w:rPr>
        <w:t>means any management agreement between certain of the management companies associated with the Investors and Holdings, Bidco or its Restricted Subsidiaries.</w:t>
      </w:r>
    </w:p>
    <w:p>
      <w:pPr>
        <w:pStyle w:val="TextBody"/>
        <w:bidi w:val="0"/>
        <w:spacing w:before="0" w:after="240"/>
        <w:jc w:val="both"/>
        <w:rPr/>
      </w:pPr>
      <w:r>
        <w:rPr/>
        <w:t>“</w:t>
      </w:r>
      <w:r>
        <w:rPr>
          <w:rFonts w:ascii="Times New Roman;serif" w:hAnsi="Times New Roman;serif"/>
          <w:b w:val="false"/>
          <w:sz w:val="22"/>
          <w:u w:val="single"/>
        </w:rPr>
        <w:t>Spot Rate</w:t>
      </w:r>
      <w:r>
        <w:rPr>
          <w:rFonts w:ascii="Times New Roman" w:hAnsi="Times New Roman"/>
          <w:sz w:val="20"/>
        </w:rPr>
        <w:t xml:space="preserve">” </w:t>
      </w:r>
      <w:r>
        <w:rPr>
          <w:rFonts w:ascii="Times New Roman;serif" w:hAnsi="Times New Roman;serif"/>
          <w:b w:val="false"/>
          <w:sz w:val="22"/>
        </w:rPr>
        <w:t xml:space="preserve">means, on any day, with respect to any Alternative Currency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Administrative Agent for such purpose, or, at the discretion of the Administrative Agent, such Spot Rate shall instead be the arithmetic average of the spot rates of exchange of the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at the time of any such determination, for any reason, no such spot rate is being quoted, the Administrative Agent may use any other reasonable method it deems appropriate to determine such rate, and such determination shall be presumed correct absent manifest error.</w:t>
      </w:r>
    </w:p>
    <w:p>
      <w:pPr>
        <w:pStyle w:val="TextBody"/>
        <w:bidi w:val="0"/>
        <w:spacing w:before="0" w:after="240"/>
        <w:jc w:val="both"/>
        <w:rPr/>
      </w:pPr>
      <w:r>
        <w:rPr/>
        <w:t>“</w:t>
      </w:r>
      <w:r>
        <w:rPr>
          <w:rFonts w:ascii="Times New Roman;serif" w:hAnsi="Times New Roman;serif"/>
          <w:b w:val="false"/>
          <w:sz w:val="22"/>
          <w:u w:val="single"/>
        </w:rPr>
        <w:t>Squeeze-Out</w:t>
      </w:r>
      <w:r>
        <w:rPr>
          <w:rFonts w:ascii="Times New Roman" w:hAnsi="Times New Roman"/>
          <w:sz w:val="20"/>
        </w:rPr>
        <w:t xml:space="preserve">” </w:t>
      </w:r>
      <w:r>
        <w:rPr>
          <w:rFonts w:ascii="Times New Roman;serif" w:hAnsi="Times New Roman;serif"/>
          <w:b w:val="false"/>
          <w:sz w:val="22"/>
        </w:rPr>
        <w:t>means an acquisition of the outstanding shares in the Company that Bidco has not acquired pursuant to the procedures contained in sections 979 to 982 of the Companies Act 2006.</w:t>
      </w:r>
    </w:p>
    <w:p>
      <w:pPr>
        <w:pStyle w:val="TextBody"/>
        <w:bidi w:val="0"/>
        <w:spacing w:before="0" w:after="240"/>
        <w:jc w:val="both"/>
        <w:rPr/>
      </w:pPr>
      <w:r>
        <w:rPr/>
        <w:t>“</w:t>
      </w:r>
      <w:r>
        <w:rPr>
          <w:rFonts w:ascii="Times New Roman;serif" w:hAnsi="Times New Roman;serif"/>
          <w:b w:val="false"/>
          <w:sz w:val="22"/>
          <w:u w:val="single"/>
        </w:rPr>
        <w:t>Statutory Reserve Rate</w:t>
      </w:r>
      <w:r>
        <w:rPr>
          <w:rFonts w:ascii="Times New Roman" w:hAnsi="Times New Roman"/>
          <w:sz w:val="20"/>
        </w:rPr>
        <w:t xml:space="preserve">” </w:t>
      </w:r>
      <w:r>
        <w:rPr>
          <w:rFonts w:ascii="Times New Roman;serif" w:hAnsi="Times New Roman;serif"/>
          <w:b w:val="false"/>
          <w:sz w:val="22"/>
        </w:rPr>
        <w:t xml:space="preserve">means a fraction (expressed as a decimal), the numerator of which is the number one and the denominator of which is the number one </w:t>
      </w:r>
      <w:r>
        <w:rPr>
          <w:rFonts w:ascii="Times New Roman;serif" w:hAnsi="Times New Roman;serif"/>
          <w:b w:val="false"/>
          <w:sz w:val="22"/>
          <w:u w:val="single"/>
        </w:rPr>
        <w:t>minus</w:t>
      </w:r>
      <w:r>
        <w:rPr>
          <w:rFonts w:ascii="Times New Roman" w:hAnsi="Times New Roman"/>
          <w:sz w:val="20"/>
        </w:rPr>
        <w:t xml:space="preserve"> </w:t>
      </w:r>
      <w:r>
        <w:rPr>
          <w:rFonts w:ascii="Times New Roman;serif" w:hAnsi="Times New Roman;serif"/>
          <w:b w:val="false"/>
          <w:sz w:val="22"/>
        </w:rPr>
        <w:t>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pStyle w:val="TextBody"/>
        <w:bidi w:val="0"/>
        <w:spacing w:before="0" w:after="240"/>
        <w:jc w:val="both"/>
        <w:rPr/>
      </w:pPr>
      <w:r>
        <w:rPr/>
        <w:t>“</w:t>
      </w:r>
      <w:r>
        <w:rPr>
          <w:rFonts w:ascii="Times New Roman;serif" w:hAnsi="Times New Roman;serif"/>
          <w:b w:val="false"/>
          <w:sz w:val="22"/>
          <w:u w:val="single"/>
        </w:rPr>
        <w:t>Sterling</w:t>
      </w:r>
      <w:r>
        <w:rPr>
          <w:rFonts w:ascii="Times New Roman" w:hAnsi="Times New Roman"/>
          <w:sz w:val="20"/>
        </w:rPr>
        <w:t xml:space="preserve">” </w:t>
      </w:r>
      <w:r>
        <w:rPr>
          <w:rFonts w:ascii="Times New Roman;serif" w:hAnsi="Times New Roman;serif"/>
          <w:b w:val="false"/>
          <w:sz w:val="22"/>
        </w:rPr>
        <w:t>and “</w:t>
      </w:r>
      <w:r>
        <w:rPr>
          <w:rFonts w:ascii="Times New Roman;serif" w:hAnsi="Times New Roman;serif"/>
          <w:b w:val="false"/>
          <w:sz w:val="22"/>
          <w:u w:val="single"/>
        </w:rPr>
        <w:t>£</w:t>
      </w:r>
      <w:r>
        <w:rPr>
          <w:rFonts w:ascii="Times New Roman" w:hAnsi="Times New Roman"/>
          <w:sz w:val="20"/>
        </w:rPr>
        <w:t xml:space="preserve">” </w:t>
      </w:r>
      <w:r>
        <w:rPr>
          <w:rFonts w:ascii="Times New Roman;serif" w:hAnsi="Times New Roman;serif"/>
          <w:b w:val="false"/>
          <w:sz w:val="22"/>
        </w:rPr>
        <w:t>mean the lawful currency of the United Kingdom.</w:t>
      </w:r>
    </w:p>
    <w:p>
      <w:pPr>
        <w:pStyle w:val="TextBody"/>
        <w:bidi w:val="0"/>
        <w:spacing w:before="0" w:after="240"/>
        <w:jc w:val="both"/>
        <w:rPr/>
      </w:pPr>
      <w:r>
        <w:rPr/>
        <w:t>“</w:t>
      </w:r>
      <w:r>
        <w:rPr>
          <w:rFonts w:ascii="Times New Roman;serif" w:hAnsi="Times New Roman;serif"/>
          <w:b w:val="false"/>
          <w:sz w:val="22"/>
          <w:u w:val="single"/>
        </w:rPr>
        <w:t>Subject Lien</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6.02(a)</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Submitted Amount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2.10(a)(ii)(C)(1)</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Submitted Discount</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2.10(a)(ii)(C)(1)</w:t>
      </w:r>
      <w:r>
        <w:rPr>
          <w:rFonts w:ascii="Times New Roman;serif" w:hAnsi="Times New Roman;serif"/>
          <w:b w:val="false"/>
          <w:sz w:val="22"/>
        </w:rPr>
        <w:t>.</w:t>
      </w:r>
    </w:p>
    <w:p>
      <w:pPr>
        <w:pStyle w:val="TextBody"/>
        <w:bidi w:val="0"/>
        <w:spacing w:before="0" w:after="240"/>
        <w:jc w:val="both"/>
        <w:rPr/>
      </w:pPr>
      <w:bookmarkStart w:id="614" w:name="docxtextref858"/>
      <w:bookmarkEnd w:id="614"/>
      <w:r>
        <w:rPr/>
        <w:t>“</w:t>
      </w:r>
      <w:r>
        <w:rPr>
          <w:rFonts w:ascii="Times New Roman;serif" w:hAnsi="Times New Roman;serif"/>
          <w:b w:val="false"/>
          <w:sz w:val="22"/>
          <w:u w:val="single"/>
        </w:rPr>
        <w:t>Subordinated Indebtedness</w:t>
      </w:r>
      <w:r>
        <w:rPr>
          <w:rFonts w:ascii="Times New Roman" w:hAnsi="Times New Roman"/>
          <w:sz w:val="20"/>
        </w:rPr>
        <w:t xml:space="preserve">” </w:t>
      </w:r>
      <w:r>
        <w:rPr>
          <w:rFonts w:ascii="Times New Roman;serif" w:hAnsi="Times New Roman;serif"/>
          <w:b w:val="false"/>
          <w:sz w:val="22"/>
        </w:rPr>
        <w:t>means, any Indebtedness (other than (x)</w:t>
      </w:r>
      <w:r>
        <w:rPr>
          <w:rFonts w:ascii="Times New Roman" w:hAnsi="Times New Roman"/>
          <w:sz w:val="20"/>
        </w:rPr>
        <w:t xml:space="preserve"> </w:t>
      </w:r>
      <w:r>
        <w:rPr>
          <w:rFonts w:ascii="Times New Roman;serif" w:hAnsi="Times New Roman;serif"/>
          <w:b w:val="false"/>
          <w:sz w:val="22"/>
        </w:rPr>
        <w:t xml:space="preserve">any permitted intercompany Indebtedness owing to direct and indirect parent companies of Bidco, Bidco or any Restricted Subsidiary or </w:t>
      </w:r>
      <w:bookmarkStart w:id="615" w:name="docxtextref859"/>
      <w:bookmarkEnd w:id="615"/>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any Indebtedness in an aggregate principal amount not exceeding $250,000,000) of any Borrower or any other Guarantor which is by its terms subordinated in right of payment to the Loan Document Obligations.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Subordinated Shareholder Liabilities</w:t>
      </w:r>
      <w:r>
        <w:rPr>
          <w:rFonts w:ascii="Times New Roman" w:hAnsi="Times New Roman"/>
          <w:sz w:val="20"/>
        </w:rPr>
        <w:t xml:space="preserve">” </w:t>
      </w:r>
      <w:r>
        <w:rPr>
          <w:rFonts w:ascii="Times New Roman;serif" w:hAnsi="Times New Roman;serif"/>
          <w:b w:val="false"/>
          <w:sz w:val="22"/>
        </w:rPr>
        <w:t>means any loan or other indebtedness owed by Bidco or a Borrower to Holdings or any other (direct or indirect) shareholder of Bidco or a Borrower, provided that such loan or indebtedness is secured in favor of the Collateral Agent, does not require interest payments to be made in cash and is subordinated on terms satisfactory to the Administrative Agent.</w:t>
      </w:r>
    </w:p>
    <w:p>
      <w:pPr>
        <w:pStyle w:val="TextBody"/>
        <w:bidi w:val="0"/>
        <w:spacing w:before="0" w:after="240"/>
        <w:jc w:val="both"/>
        <w:rPr/>
      </w:pPr>
      <w:bookmarkStart w:id="616" w:name="docxtextref860"/>
      <w:bookmarkEnd w:id="616"/>
      <w:r>
        <w:rPr/>
        <w:t>“</w:t>
      </w:r>
      <w:r>
        <w:rPr>
          <w:rFonts w:ascii="Times New Roman;serif" w:hAnsi="Times New Roman;serif"/>
          <w:b w:val="false"/>
          <w:sz w:val="22"/>
          <w:u w:val="single"/>
        </w:rPr>
        <w:t>subsidiary</w:t>
      </w:r>
      <w:r>
        <w:rPr>
          <w:rFonts w:ascii="Times New Roman" w:hAnsi="Times New Roman"/>
          <w:sz w:val="20"/>
        </w:rPr>
        <w:t xml:space="preserve">” </w:t>
      </w:r>
      <w:r>
        <w:rPr>
          <w:rFonts w:ascii="Times New Roman;serif" w:hAnsi="Times New Roman;serif"/>
          <w:b w:val="false"/>
          <w:sz w:val="22"/>
        </w:rPr>
        <w:t>means, with respect to any Person (the “</w:t>
      </w:r>
      <w:r>
        <w:rPr>
          <w:rFonts w:ascii="Times New Roman;serif" w:hAnsi="Times New Roman;serif"/>
          <w:b w:val="false"/>
          <w:sz w:val="22"/>
          <w:u w:val="single"/>
        </w:rPr>
        <w:t>parent</w:t>
      </w:r>
      <w:r>
        <w:rPr>
          <w:rFonts w:ascii="Times New Roman" w:hAnsi="Times New Roman"/>
          <w:sz w:val="20"/>
        </w:rPr>
        <w:t>”</w:t>
      </w:r>
      <w:r>
        <w:rPr>
          <w:rFonts w:ascii="Times New Roman;serif" w:hAnsi="Times New Roman;serif"/>
          <w:b w:val="false"/>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IFRS, as well as any other corporation, limited liability company, partnership, association or other entity (a)</w:t>
      </w:r>
      <w:r>
        <w:rPr>
          <w:rFonts w:ascii="Times New Roman" w:hAnsi="Times New Roman"/>
          <w:sz w:val="20"/>
        </w:rPr>
        <w:t xml:space="preserve"> </w:t>
      </w:r>
      <w:r>
        <w:rPr>
          <w:rFonts w:ascii="Times New Roman;serif" w:hAnsi="Times New Roman;serif"/>
          <w:b w:val="false"/>
          <w:sz w:val="22"/>
        </w:rPr>
        <w:t xml:space="preserve">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w:t>
      </w:r>
      <w:bookmarkStart w:id="617" w:name="docxtextref861"/>
      <w:bookmarkEnd w:id="61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that is, as of such date, otherwise Controlled, by the parent or one or more subsidiaries of the parent or by the parent and one or more subsidiaries of the parent.</w:t>
      </w:r>
    </w:p>
    <w:p>
      <w:pPr>
        <w:pStyle w:val="TextBody"/>
        <w:bidi w:val="0"/>
        <w:spacing w:before="0" w:after="240"/>
        <w:jc w:val="both"/>
        <w:rPr/>
      </w:pPr>
      <w:r>
        <w:rPr/>
        <w:t>“</w:t>
      </w:r>
      <w:r>
        <w:rPr>
          <w:rFonts w:ascii="Times New Roman;serif" w:hAnsi="Times New Roman;serif"/>
          <w:b w:val="false"/>
          <w:sz w:val="22"/>
          <w:u w:val="single"/>
        </w:rPr>
        <w:t>Subsidiary</w:t>
      </w:r>
      <w:r>
        <w:rPr>
          <w:rFonts w:ascii="Times New Roman" w:hAnsi="Times New Roman"/>
          <w:sz w:val="20"/>
        </w:rPr>
        <w:t xml:space="preserve">” </w:t>
      </w:r>
      <w:r>
        <w:rPr>
          <w:rFonts w:ascii="Times New Roman;serif" w:hAnsi="Times New Roman;serif"/>
          <w:b w:val="false"/>
          <w:sz w:val="22"/>
        </w:rPr>
        <w:t>means any subsidiary of Bidco (unless otherwise specified).</w:t>
      </w:r>
    </w:p>
    <w:p>
      <w:pPr>
        <w:pStyle w:val="TextBody"/>
        <w:bidi w:val="0"/>
        <w:spacing w:before="0" w:after="240"/>
        <w:jc w:val="both"/>
        <w:rPr/>
      </w:pPr>
      <w:r>
        <w:rPr/>
        <w:t>“</w:t>
      </w:r>
      <w:r>
        <w:rPr>
          <w:rFonts w:ascii="Times New Roman;serif" w:hAnsi="Times New Roman;serif"/>
          <w:b w:val="false"/>
          <w:sz w:val="22"/>
          <w:u w:val="single"/>
        </w:rPr>
        <w:t>Subsidiary Loan Party</w:t>
      </w:r>
      <w:r>
        <w:rPr>
          <w:rFonts w:ascii="Times New Roman" w:hAnsi="Times New Roman"/>
          <w:sz w:val="20"/>
        </w:rPr>
        <w:t xml:space="preserve">” </w:t>
      </w:r>
      <w:r>
        <w:rPr>
          <w:rFonts w:ascii="Times New Roman;serif" w:hAnsi="Times New Roman;serif"/>
          <w:b w:val="false"/>
          <w:sz w:val="22"/>
        </w:rPr>
        <w:t>means each Subsidiary of Bidco that is a party to the Guarantee Agreement.</w:t>
      </w:r>
    </w:p>
    <w:p>
      <w:pPr>
        <w:pStyle w:val="TextBody"/>
        <w:bidi w:val="0"/>
        <w:spacing w:before="0" w:after="240"/>
        <w:jc w:val="both"/>
        <w:rPr/>
      </w:pPr>
      <w:r>
        <w:rPr/>
        <w:t>“</w:t>
      </w:r>
      <w:r>
        <w:rPr>
          <w:rFonts w:ascii="Times New Roman;serif" w:hAnsi="Times New Roman;serif"/>
          <w:b w:val="false"/>
          <w:sz w:val="22"/>
          <w:u w:val="single"/>
        </w:rPr>
        <w:t>Successor Entity</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6.03(a)(iv)</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Supported QFC</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9.20</w:t>
      </w:r>
      <w:r>
        <w:rPr>
          <w:rFonts w:ascii="Times New Roman;serif" w:hAnsi="Times New Roman;serif"/>
          <w:b w:val="false"/>
          <w:sz w:val="22"/>
        </w:rPr>
        <w:t>.</w:t>
      </w:r>
    </w:p>
    <w:p>
      <w:pPr>
        <w:pStyle w:val="TextBody"/>
        <w:bidi w:val="0"/>
        <w:spacing w:before="0" w:after="240"/>
        <w:jc w:val="both"/>
        <w:rPr/>
      </w:pPr>
      <w:bookmarkStart w:id="618" w:name="docxtextref864"/>
      <w:bookmarkEnd w:id="618"/>
      <w:r>
        <w:rPr/>
        <w:t>“</w:t>
      </w:r>
      <w:r>
        <w:rPr>
          <w:rFonts w:ascii="Times New Roman;serif" w:hAnsi="Times New Roman;serif"/>
          <w:b w:val="false"/>
          <w:sz w:val="22"/>
          <w:u w:val="single"/>
        </w:rPr>
        <w:t>Swap Agreement</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w:t>
      </w:r>
      <w:bookmarkStart w:id="619" w:name="docxtextref865"/>
      <w:bookmarkEnd w:id="61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w:t>
      </w:r>
      <w:bookmarkStart w:id="620" w:name="docxtextref863"/>
      <w:bookmarkEnd w:id="620"/>
      <w:r>
        <w:rPr>
          <w:rFonts w:ascii="Times New Roman;serif" w:hAnsi="Times New Roman;serif"/>
          <w:b w:val="false"/>
          <w:sz w:val="22"/>
        </w:rPr>
        <w:t>schedules, a “</w:t>
      </w:r>
      <w:r>
        <w:rPr>
          <w:rFonts w:ascii="Times New Roman;serif" w:hAnsi="Times New Roman;serif"/>
          <w:b w:val="false"/>
          <w:sz w:val="22"/>
          <w:u w:val="single"/>
        </w:rPr>
        <w:t>Master Agreement</w:t>
      </w:r>
      <w:r>
        <w:rPr>
          <w:rFonts w:ascii="Times New Roman" w:hAnsi="Times New Roman"/>
          <w:sz w:val="20"/>
        </w:rPr>
        <w:t>”</w:t>
      </w:r>
      <w:r>
        <w:rPr>
          <w:rFonts w:ascii="Times New Roman;serif" w:hAnsi="Times New Roman;serif"/>
          <w:b w:val="false"/>
          <w:sz w:val="22"/>
        </w:rPr>
        <w:t>), including any such obligations or liabilities under any Master Agreement.</w:t>
      </w:r>
    </w:p>
    <w:p>
      <w:pPr>
        <w:pStyle w:val="TextBody"/>
        <w:bidi w:val="0"/>
        <w:spacing w:before="0" w:after="240"/>
        <w:jc w:val="both"/>
        <w:rPr/>
      </w:pPr>
      <w:r>
        <w:rPr/>
        <w:t>“</w:t>
      </w:r>
      <w:r>
        <w:rPr>
          <w:rFonts w:ascii="Times New Roman;serif" w:hAnsi="Times New Roman;serif"/>
          <w:b w:val="false"/>
          <w:sz w:val="22"/>
          <w:u w:val="single"/>
        </w:rPr>
        <w:t>Swiss Franc</w:t>
      </w:r>
      <w:r>
        <w:rPr>
          <w:rFonts w:ascii="Times New Roman" w:hAnsi="Times New Roman"/>
          <w:sz w:val="20"/>
        </w:rPr>
        <w:t xml:space="preserve">” </w:t>
      </w:r>
      <w:r>
        <w:rPr>
          <w:rFonts w:ascii="Times New Roman;serif" w:hAnsi="Times New Roman;serif"/>
          <w:b w:val="false"/>
          <w:sz w:val="22"/>
        </w:rPr>
        <w:t>means the lawful currency of Switzerland.</w:t>
      </w:r>
    </w:p>
    <w:p>
      <w:pPr>
        <w:pStyle w:val="TextBody"/>
        <w:bidi w:val="0"/>
        <w:spacing w:before="0" w:after="240"/>
        <w:jc w:val="both"/>
        <w:rPr/>
      </w:pPr>
      <w:r>
        <w:rPr/>
        <w:t>“</w:t>
      </w:r>
      <w:r>
        <w:rPr>
          <w:rFonts w:ascii="Times New Roman;serif" w:hAnsi="Times New Roman;serif"/>
          <w:b w:val="false"/>
          <w:sz w:val="22"/>
          <w:u w:val="single"/>
        </w:rPr>
        <w:t>Swingline Commitment</w:t>
      </w:r>
      <w:r>
        <w:rPr>
          <w:rFonts w:ascii="Times New Roman" w:hAnsi="Times New Roman"/>
          <w:sz w:val="20"/>
        </w:rPr>
        <w:t xml:space="preserve">” </w:t>
      </w:r>
      <w:r>
        <w:rPr>
          <w:rFonts w:ascii="Times New Roman;serif" w:hAnsi="Times New Roman;serif"/>
          <w:b w:val="false"/>
          <w:sz w:val="22"/>
        </w:rPr>
        <w:t>means the commitment of the Swingline Lender to make Swingline Loans up to an aggregate principal amount not to exceed $150,000,000.</w:t>
      </w:r>
    </w:p>
    <w:p>
      <w:pPr>
        <w:pStyle w:val="TextBody"/>
        <w:bidi w:val="0"/>
        <w:spacing w:before="0" w:after="240"/>
        <w:jc w:val="both"/>
        <w:rPr/>
      </w:pPr>
      <w:r>
        <w:rPr/>
        <w:t>“</w:t>
      </w:r>
      <w:r>
        <w:rPr>
          <w:rFonts w:ascii="Times New Roman;serif" w:hAnsi="Times New Roman;serif"/>
          <w:b w:val="false"/>
          <w:sz w:val="22"/>
          <w:u w:val="single"/>
        </w:rPr>
        <w:t>Swingline Exposure</w:t>
      </w:r>
      <w:r>
        <w:rPr>
          <w:rFonts w:ascii="Times New Roman" w:hAnsi="Times New Roman"/>
          <w:sz w:val="20"/>
        </w:rPr>
        <w:t xml:space="preserve">” </w:t>
      </w:r>
      <w:r>
        <w:rPr>
          <w:rFonts w:ascii="Times New Roman;serif" w:hAnsi="Times New Roman;serif"/>
          <w:b w:val="false"/>
          <w:sz w:val="22"/>
        </w:rPr>
        <w:t>means, at any time, the aggregate principal amount of all Swingline Loans outstanding at such time. The Swingline Exposure of any Revolving Lender at any time shall be its Applicable Percentage of the aggregate Swingline Exposure at such time.</w:t>
      </w:r>
    </w:p>
    <w:p>
      <w:pPr>
        <w:pStyle w:val="TextBody"/>
        <w:bidi w:val="0"/>
        <w:spacing w:before="0" w:after="240"/>
        <w:jc w:val="both"/>
        <w:rPr/>
      </w:pPr>
      <w:r>
        <w:rPr/>
        <w:t>“</w:t>
      </w:r>
      <w:r>
        <w:rPr>
          <w:rFonts w:ascii="Times New Roman;serif" w:hAnsi="Times New Roman;serif"/>
          <w:b w:val="false"/>
          <w:sz w:val="22"/>
          <w:u w:val="single"/>
        </w:rPr>
        <w:t>Swingline Lender</w:t>
      </w:r>
      <w:r>
        <w:rPr>
          <w:rFonts w:ascii="Times New Roman" w:hAnsi="Times New Roman"/>
          <w:sz w:val="20"/>
        </w:rPr>
        <w:t xml:space="preserve">” </w:t>
      </w:r>
      <w:r>
        <w:rPr>
          <w:rFonts w:ascii="Times New Roman;serif" w:hAnsi="Times New Roman;serif"/>
          <w:b w:val="false"/>
          <w:sz w:val="22"/>
        </w:rPr>
        <w:t>means (a) the Administrative Agent and (b) each Revolving Lender that shall have become a Swingline Lender hereunder as provided in Section 2.24(d) (other than any Person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that shall have ceased to be a Swingline Lender as provided in </w:t>
      </w:r>
      <w:r>
        <w:rPr>
          <w:rFonts w:ascii="Times New Roman;serif" w:hAnsi="Times New Roman;serif"/>
          <w:b w:val="false"/>
          <w:sz w:val="22"/>
          <w:u w:val="single"/>
        </w:rPr>
        <w:t>Section 2.24(e)</w:t>
      </w:r>
      <w:r>
        <w:rPr>
          <w:rFonts w:ascii="Times New Roman;serif" w:hAnsi="Times New Roman;serif"/>
          <w:b w:val="false"/>
          <w:sz w:val="22"/>
        </w:rPr>
        <w:t>), each in its capacity as a lender of Swingline Loans hereunder.</w:t>
      </w:r>
    </w:p>
    <w:p>
      <w:pPr>
        <w:pStyle w:val="TextBody"/>
        <w:bidi w:val="0"/>
        <w:spacing w:before="0" w:after="240"/>
        <w:jc w:val="both"/>
        <w:rPr/>
      </w:pPr>
      <w:r>
        <w:rPr/>
        <w:t>“</w:t>
      </w:r>
      <w:r>
        <w:rPr>
          <w:rFonts w:ascii="Times New Roman;serif" w:hAnsi="Times New Roman;serif"/>
          <w:b w:val="false"/>
          <w:sz w:val="22"/>
          <w:u w:val="single"/>
        </w:rPr>
        <w:t>Swingline Loan</w:t>
      </w:r>
      <w:r>
        <w:rPr>
          <w:rFonts w:ascii="Times New Roman" w:hAnsi="Times New Roman"/>
          <w:sz w:val="20"/>
        </w:rPr>
        <w:t xml:space="preserve">” </w:t>
      </w:r>
      <w:r>
        <w:rPr>
          <w:rFonts w:ascii="Times New Roman;serif" w:hAnsi="Times New Roman;serif"/>
          <w:b w:val="false"/>
          <w:sz w:val="22"/>
        </w:rPr>
        <w:t xml:space="preserve">means a Loan made pursuant to </w:t>
      </w:r>
      <w:r>
        <w:rPr>
          <w:rFonts w:ascii="Times New Roman;serif" w:hAnsi="Times New Roman;serif"/>
          <w:b w:val="false"/>
          <w:sz w:val="22"/>
          <w:u w:val="single"/>
        </w:rPr>
        <w:t>Section 2.24</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Target Debt Refinancing Outside Date</w:t>
      </w:r>
      <w:r>
        <w:rPr>
          <w:rFonts w:ascii="Times New Roman" w:hAnsi="Times New Roman"/>
          <w:sz w:val="20"/>
        </w:rPr>
        <w:t xml:space="preserve">” </w:t>
      </w:r>
      <w:r>
        <w:rPr>
          <w:rFonts w:ascii="Times New Roman;serif" w:hAnsi="Times New Roman;serif"/>
          <w:b w:val="false"/>
          <w:sz w:val="22"/>
        </w:rPr>
        <w:t>means the date falling sixty (60) days following the Effective Date.</w:t>
      </w:r>
    </w:p>
    <w:p>
      <w:pPr>
        <w:pStyle w:val="TextBody"/>
        <w:bidi w:val="0"/>
        <w:spacing w:before="0" w:after="240"/>
        <w:jc w:val="both"/>
        <w:rPr/>
      </w:pPr>
      <w:r>
        <w:rPr/>
        <w:t>“</w:t>
      </w:r>
      <w:r>
        <w:rPr>
          <w:rFonts w:ascii="Times New Roman;serif" w:hAnsi="Times New Roman;serif"/>
          <w:b w:val="false"/>
          <w:sz w:val="22"/>
          <w:u w:val="single"/>
        </w:rPr>
        <w:t>Target Refinancing Indebtedness</w:t>
      </w:r>
      <w:r>
        <w:rPr>
          <w:rFonts w:ascii="Times New Roman" w:hAnsi="Times New Roman"/>
          <w:sz w:val="20"/>
        </w:rPr>
        <w:t xml:space="preserve">” </w:t>
      </w:r>
      <w:r>
        <w:rPr>
          <w:rFonts w:ascii="Times New Roman;serif" w:hAnsi="Times New Roman;serif"/>
          <w:b w:val="false"/>
          <w:sz w:val="22"/>
        </w:rPr>
        <w:t xml:space="preserve">means the indebtedness outstanding under each of (a) the Existing Revolving Facility Agreement, (b) the 2024 Notes, (c) the 2022 Notes, (d) 2011 Ex-Im Credit Agreement, (e) the 2014 Ex-Im Credit Agreement and (f) the Potential Rollover Instruments;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to the extent that any portion of the Potential Rollover Instruments for which Bidco has made an offer has not been refinanced prior to the Target Debt Refinancing Outside Date, Bidco may elect, by notice to the Administrative Agent, prior to the Target Debt Refinancing Outside Date that such portion of the Potential Rollover Instruments shall remain outstanding, in which case such portion of the Potential Rollover Instruments shall not constitute Target Refinancing Indebtedness.</w:t>
      </w:r>
    </w:p>
    <w:p>
      <w:pPr>
        <w:pStyle w:val="TextBody"/>
        <w:bidi w:val="0"/>
        <w:spacing w:before="0" w:after="240"/>
        <w:jc w:val="both"/>
        <w:rPr/>
      </w:pPr>
      <w:r>
        <w:rPr/>
        <w:t>“</w:t>
      </w:r>
      <w:r>
        <w:rPr>
          <w:rFonts w:ascii="Times New Roman;serif" w:hAnsi="Times New Roman;serif"/>
          <w:b w:val="false"/>
          <w:sz w:val="22"/>
          <w:u w:val="single"/>
        </w:rPr>
        <w:t>Target Shares</w:t>
      </w:r>
      <w:r>
        <w:rPr>
          <w:rFonts w:ascii="Times New Roman" w:hAnsi="Times New Roman"/>
          <w:sz w:val="20"/>
        </w:rPr>
        <w:t xml:space="preserve">” </w:t>
      </w:r>
      <w:r>
        <w:rPr>
          <w:rFonts w:ascii="Times New Roman;serif" w:hAnsi="Times New Roman;serif"/>
          <w:b w:val="false"/>
          <w:sz w:val="22"/>
        </w:rPr>
        <w:t>means 100% of the issued share capital in the Company.</w:t>
      </w:r>
    </w:p>
    <w:p>
      <w:pPr>
        <w:pStyle w:val="TextBody"/>
        <w:bidi w:val="0"/>
        <w:spacing w:before="0" w:after="240"/>
        <w:jc w:val="both"/>
        <w:rPr/>
      </w:pPr>
      <w:r>
        <w:rPr/>
        <w:t>“</w:t>
      </w:r>
      <w:r>
        <w:rPr>
          <w:rFonts w:ascii="Times New Roman;serif" w:hAnsi="Times New Roman;serif"/>
          <w:b w:val="false"/>
          <w:sz w:val="22"/>
          <w:u w:val="single"/>
        </w:rPr>
        <w:t>Tax Confirmation</w:t>
      </w:r>
      <w:r>
        <w:rPr>
          <w:rFonts w:ascii="Times New Roman" w:hAnsi="Times New Roman"/>
          <w:sz w:val="20"/>
        </w:rPr>
        <w:t xml:space="preserve">” </w:t>
      </w:r>
      <w:r>
        <w:rPr>
          <w:rFonts w:ascii="Times New Roman;serif" w:hAnsi="Times New Roman;serif"/>
          <w:b w:val="false"/>
          <w:sz w:val="22"/>
        </w:rPr>
        <w:t>means a confirmation by a Lender that it is beneficially entitled to interest payable to that Lender in respect of a Loan Document and is either: (i) a company resident in the United Kingdom for United Kingdom tax purposes;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United Kingdom Corporation Tax Act 2009 (“</w:t>
      </w:r>
      <w:r>
        <w:rPr>
          <w:rFonts w:ascii="Times New Roman;serif" w:hAnsi="Times New Roman;serif"/>
          <w:b w:val="false"/>
          <w:sz w:val="22"/>
          <w:u w:val="single"/>
        </w:rPr>
        <w:t>CTA</w:t>
      </w:r>
      <w:r>
        <w:rPr>
          <w:rFonts w:ascii="Times New Roman" w:hAnsi="Times New Roman"/>
          <w:sz w:val="20"/>
        </w:rPr>
        <w:t>”</w:t>
      </w:r>
      <w:r>
        <w:rPr>
          <w:rFonts w:ascii="Times New Roman;serif" w:hAnsi="Times New Roman;serif"/>
          <w:b w:val="false"/>
          <w:sz w:val="22"/>
        </w:rPr>
        <w:t>))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pStyle w:val="TextBody"/>
        <w:bidi w:val="0"/>
        <w:spacing w:before="0" w:after="240"/>
        <w:jc w:val="both"/>
        <w:rPr/>
      </w:pPr>
      <w:r>
        <w:rPr/>
        <w:t>“</w:t>
      </w:r>
      <w:r>
        <w:rPr>
          <w:rFonts w:ascii="Times New Roman;serif" w:hAnsi="Times New Roman;serif"/>
          <w:b w:val="false"/>
          <w:sz w:val="22"/>
          <w:u w:val="single"/>
        </w:rPr>
        <w:t>Tax Distributions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6.05(b)(xv)(B)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Tax Group</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6.05(b)(xv)(B)</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Tax Structure Memorandum</w:t>
      </w:r>
      <w:r>
        <w:rPr>
          <w:rFonts w:ascii="Times New Roman" w:hAnsi="Times New Roman"/>
          <w:sz w:val="20"/>
        </w:rPr>
        <w:t xml:space="preserve">” </w:t>
      </w:r>
      <w:r>
        <w:rPr>
          <w:rFonts w:ascii="Times New Roman;serif" w:hAnsi="Times New Roman;serif"/>
          <w:b w:val="false"/>
          <w:sz w:val="22"/>
        </w:rPr>
        <w:t>means the tax structure memorandum prepared by PricewaterhouseCoopers LLP entitled “Project Triton - Structuring Strawman Paper” in connection with the Transactions.</w:t>
      </w:r>
    </w:p>
    <w:p>
      <w:pPr>
        <w:pStyle w:val="TextBody"/>
        <w:bidi w:val="0"/>
        <w:spacing w:before="0" w:after="240"/>
        <w:jc w:val="both"/>
        <w:rPr/>
      </w:pPr>
      <w:r>
        <w:rPr/>
        <w:t>“</w:t>
      </w:r>
      <w:r>
        <w:rPr>
          <w:rFonts w:ascii="Times New Roman;serif" w:hAnsi="Times New Roman;serif"/>
          <w:b w:val="false"/>
          <w:sz w:val="22"/>
          <w:u w:val="single"/>
        </w:rPr>
        <w:t>Taxes</w:t>
      </w:r>
      <w:r>
        <w:rPr>
          <w:rFonts w:ascii="Times New Roman" w:hAnsi="Times New Roman"/>
          <w:sz w:val="20"/>
        </w:rPr>
        <w:t xml:space="preserve">” </w:t>
      </w:r>
      <w:r>
        <w:rPr>
          <w:rFonts w:ascii="Times New Roman;serif" w:hAnsi="Times New Roman;serif"/>
          <w:b w:val="false"/>
          <w:sz w:val="22"/>
        </w:rPr>
        <w:t>means any and all present or future taxes, levies, imposts, duties, deductions, charges or withholdings imposed by any Governmental Authority, including any interest, additions to tax or penalties applicable thereto.</w:t>
      </w:r>
    </w:p>
    <w:p>
      <w:pPr>
        <w:pStyle w:val="TextBody"/>
        <w:bidi w:val="0"/>
        <w:spacing w:before="0" w:after="240"/>
        <w:jc w:val="both"/>
        <w:rPr/>
      </w:pPr>
      <w:r>
        <w:rPr/>
        <w:t>“</w:t>
      </w:r>
      <w:r>
        <w:rPr>
          <w:rFonts w:ascii="Times New Roman;serif" w:hAnsi="Times New Roman;serif"/>
          <w:b w:val="false"/>
          <w:sz w:val="22"/>
          <w:u w:val="single"/>
        </w:rPr>
        <w:t>Term Borrowers</w:t>
      </w:r>
      <w:r>
        <w:rPr>
          <w:rFonts w:ascii="Times New Roman" w:hAnsi="Times New Roman"/>
          <w:sz w:val="20"/>
        </w:rPr>
        <w:t xml:space="preserve">” </w:t>
      </w:r>
      <w:r>
        <w:rPr>
          <w:rFonts w:ascii="Times New Roman;serif" w:hAnsi="Times New Roman;serif"/>
          <w:b w:val="false"/>
          <w:sz w:val="22"/>
        </w:rPr>
        <w:t>has the meaning assigned to such term in the preliminary statements hereto.</w:t>
      </w:r>
    </w:p>
    <w:p>
      <w:pPr>
        <w:pStyle w:val="TextBody"/>
        <w:bidi w:val="0"/>
        <w:spacing w:before="0" w:after="240"/>
        <w:jc w:val="both"/>
        <w:rPr/>
      </w:pPr>
      <w:bookmarkStart w:id="621" w:name="docxtextref869"/>
      <w:bookmarkEnd w:id="621"/>
      <w:r>
        <w:rPr/>
        <w:t>“</w:t>
      </w:r>
      <w:r>
        <w:rPr>
          <w:rFonts w:ascii="Times New Roman;serif" w:hAnsi="Times New Roman;serif"/>
          <w:b w:val="false"/>
          <w:sz w:val="22"/>
          <w:u w:val="single"/>
        </w:rPr>
        <w:t>Term Commitment</w:t>
      </w:r>
      <w:r>
        <w:rPr>
          <w:rFonts w:ascii="Times New Roman" w:hAnsi="Times New Roman"/>
          <w:sz w:val="20"/>
        </w:rPr>
        <w:t xml:space="preserve">” </w:t>
      </w:r>
      <w:r>
        <w:rPr>
          <w:rFonts w:ascii="Times New Roman;serif" w:hAnsi="Times New Roman;serif"/>
          <w:b w:val="false"/>
          <w:sz w:val="22"/>
        </w:rPr>
        <w:t>means, with respect to each Lender, the commitment, if any, of such Lender to make a Term Loan hereunder, expressed as an amount representing the maximum principal amount of the Term Loan to be made by such Lender hereunder, as such commitment may be (a)</w:t>
      </w:r>
      <w:r>
        <w:rPr>
          <w:rFonts w:ascii="Times New Roman" w:hAnsi="Times New Roman"/>
          <w:sz w:val="20"/>
        </w:rPr>
        <w:t xml:space="preserve"> </w:t>
      </w:r>
      <w:r>
        <w:rPr>
          <w:rFonts w:ascii="Times New Roman;serif" w:hAnsi="Times New Roman;serif"/>
          <w:b w:val="false"/>
          <w:sz w:val="22"/>
        </w:rPr>
        <w:t xml:space="preserve">reduced from time to time pursuant to </w:t>
      </w:r>
      <w:r>
        <w:rPr>
          <w:rFonts w:ascii="Times New Roman;serif" w:hAnsi="Times New Roman;serif"/>
          <w:b w:val="false"/>
          <w:sz w:val="22"/>
          <w:u w:val="single"/>
        </w:rPr>
        <w:t>Section 2.07</w:t>
      </w:r>
      <w:r>
        <w:rPr>
          <w:rFonts w:ascii="Times New Roman" w:hAnsi="Times New Roman"/>
          <w:sz w:val="20"/>
        </w:rPr>
        <w:t xml:space="preserve"> </w:t>
      </w:r>
      <w:r>
        <w:rPr>
          <w:rFonts w:ascii="Times New Roman;serif" w:hAnsi="Times New Roman;serif"/>
          <w:b w:val="false"/>
          <w:sz w:val="22"/>
        </w:rPr>
        <w:t xml:space="preserve">and </w:t>
      </w:r>
      <w:bookmarkStart w:id="622" w:name="docxtextref870"/>
      <w:bookmarkEnd w:id="62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reduced or increased from time to time pursuant to </w:t>
      </w:r>
      <w:bookmarkStart w:id="623" w:name="docxtextref871"/>
      <w:bookmarkEnd w:id="62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assignments by or to such Lender pursuant to an Assignment and Assumption, (ii) a Refinancing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24" w:name="docxtextref872"/>
      <w:bookmarkEnd w:id="624"/>
      <w:r>
        <w:rPr>
          <w:rFonts w:ascii="Times New Roman;serif" w:hAnsi="Times New Roman;serif"/>
          <w:b w:val="false"/>
          <w:sz w:val="22"/>
        </w:rPr>
        <w:t xml:space="preserve">Amendment, (iii) an Incremental Facility Amendment in respect of any Term Loans or (iv) a Loan Modification Agreement. The amount of each Lender’s Term Commitment as of the Effective Date is set forth on </w:t>
      </w:r>
      <w:r>
        <w:rPr>
          <w:rFonts w:ascii="Times New Roman;serif" w:hAnsi="Times New Roman;serif"/>
          <w:b w:val="false"/>
          <w:sz w:val="22"/>
          <w:u w:val="single"/>
        </w:rPr>
        <w:t>Schedule 2.01</w:t>
      </w:r>
      <w:r>
        <w:rPr>
          <w:rFonts w:ascii="Times New Roman" w:hAnsi="Times New Roman"/>
          <w:sz w:val="20"/>
        </w:rPr>
        <w:t xml:space="preserve"> </w:t>
      </w:r>
      <w:r>
        <w:rPr>
          <w:rFonts w:ascii="Times New Roman;serif" w:hAnsi="Times New Roman;serif"/>
          <w:b w:val="false"/>
          <w:sz w:val="22"/>
        </w:rPr>
        <w:t>or in the Assignment and Assumption pursuant to which such Lender shall have assumed its Term Commitment, Incremental Facility Amendment, Loan Modification Agreement or Refinancing Amendment, as the case may be. As of the Effective Date, the total Term Commitment, including the Initial Term Commitment, is $1,750,000,000.</w:t>
      </w:r>
    </w:p>
    <w:p>
      <w:pPr>
        <w:pStyle w:val="TextBody"/>
        <w:bidi w:val="0"/>
        <w:spacing w:before="0" w:after="240"/>
        <w:jc w:val="both"/>
        <w:rPr/>
      </w:pPr>
      <w:r>
        <w:rPr/>
        <w:t>“</w:t>
      </w:r>
      <w:r>
        <w:rPr>
          <w:rFonts w:ascii="Times New Roman;serif" w:hAnsi="Times New Roman;serif"/>
          <w:b w:val="false"/>
          <w:sz w:val="22"/>
          <w:u w:val="single"/>
        </w:rPr>
        <w:t>Term Lender</w:t>
      </w:r>
      <w:r>
        <w:rPr>
          <w:rFonts w:ascii="Times New Roman" w:hAnsi="Times New Roman"/>
          <w:sz w:val="20"/>
        </w:rPr>
        <w:t xml:space="preserve">” </w:t>
      </w:r>
      <w:r>
        <w:rPr>
          <w:rFonts w:ascii="Times New Roman;serif" w:hAnsi="Times New Roman;serif"/>
          <w:b w:val="false"/>
          <w:sz w:val="22"/>
        </w:rPr>
        <w:t>means a Lender with a Term Commitment or an outstanding Term Loan.</w:t>
      </w:r>
    </w:p>
    <w:p>
      <w:pPr>
        <w:pStyle w:val="TextBody"/>
        <w:bidi w:val="0"/>
        <w:spacing w:before="0" w:after="240"/>
        <w:jc w:val="both"/>
        <w:rPr/>
      </w:pPr>
      <w:r>
        <w:rPr/>
        <w:t>“</w:t>
      </w:r>
      <w:r>
        <w:rPr>
          <w:rFonts w:ascii="Times New Roman;serif" w:hAnsi="Times New Roman;serif"/>
          <w:b w:val="false"/>
          <w:sz w:val="22"/>
          <w:u w:val="single"/>
        </w:rPr>
        <w:t>Term Loans</w:t>
      </w:r>
      <w:r>
        <w:rPr>
          <w:rFonts w:ascii="Times New Roman" w:hAnsi="Times New Roman"/>
          <w:sz w:val="20"/>
        </w:rPr>
        <w:t xml:space="preserve">” </w:t>
      </w:r>
      <w:r>
        <w:rPr>
          <w:rFonts w:ascii="Times New Roman;serif" w:hAnsi="Times New Roman;serif"/>
          <w:b w:val="false"/>
          <w:sz w:val="22"/>
        </w:rPr>
        <w:t>means Initial Term Loans, Other Term Loans and Incremental Term Loans, as the context requires.</w:t>
      </w:r>
    </w:p>
    <w:p>
      <w:pPr>
        <w:pStyle w:val="TextBody"/>
        <w:bidi w:val="0"/>
        <w:spacing w:before="0" w:after="240"/>
        <w:jc w:val="both"/>
        <w:rPr/>
      </w:pPr>
      <w:bookmarkStart w:id="625" w:name="docxtextref873"/>
      <w:bookmarkEnd w:id="625"/>
      <w:r>
        <w:rPr/>
        <w:t>“</w:t>
      </w:r>
      <w:r>
        <w:rPr>
          <w:rFonts w:ascii="Times New Roman;serif" w:hAnsi="Times New Roman;serif"/>
          <w:b w:val="false"/>
          <w:sz w:val="22"/>
          <w:u w:val="single"/>
        </w:rPr>
        <w:t>Term Maturity Date</w:t>
      </w:r>
      <w:r>
        <w:rPr>
          <w:rFonts w:ascii="Times New Roman" w:hAnsi="Times New Roman"/>
          <w:sz w:val="20"/>
        </w:rPr>
        <w:t xml:space="preserve">” </w:t>
      </w:r>
      <w:r>
        <w:rPr>
          <w:rFonts w:ascii="Times New Roman;serif" w:hAnsi="Times New Roman;serif"/>
          <w:b w:val="false"/>
          <w:sz w:val="22"/>
        </w:rPr>
        <w:t>means (i)</w:t>
      </w:r>
      <w:r>
        <w:rPr>
          <w:rFonts w:ascii="Times New Roman" w:hAnsi="Times New Roman"/>
          <w:sz w:val="20"/>
        </w:rPr>
        <w:t xml:space="preserve"> </w:t>
      </w:r>
      <w:r>
        <w:rPr>
          <w:rFonts w:ascii="Times New Roman;serif" w:hAnsi="Times New Roman;serif"/>
          <w:b w:val="false"/>
          <w:sz w:val="22"/>
        </w:rPr>
        <w:t>December 12, 2026 (or, if such day is not a Business Day, the immediately preceding Business Day) or (ii) with respect to any Term Lender that has the maturity date of its Term Loans extended pursuant to a Permitted Amendment, the extended maturity date set forth in any such Loan Modification Agreement.</w:t>
      </w:r>
    </w:p>
    <w:p>
      <w:pPr>
        <w:pStyle w:val="TextBody"/>
        <w:bidi w:val="0"/>
        <w:spacing w:before="0" w:after="240"/>
        <w:jc w:val="both"/>
        <w:rPr/>
      </w:pPr>
      <w:bookmarkStart w:id="626" w:name="docxtextref874"/>
      <w:bookmarkEnd w:id="626"/>
      <w:r>
        <w:rPr/>
        <w:t>“</w:t>
      </w:r>
      <w:r>
        <w:rPr>
          <w:rFonts w:ascii="Times New Roman;serif" w:hAnsi="Times New Roman;serif"/>
          <w:b w:val="false"/>
          <w:sz w:val="22"/>
          <w:u w:val="single"/>
        </w:rPr>
        <w:t>Termination Date</w:t>
      </w:r>
      <w:r>
        <w:rPr>
          <w:rFonts w:ascii="Times New Roman" w:hAnsi="Times New Roman"/>
          <w:sz w:val="20"/>
        </w:rPr>
        <w:t xml:space="preserve">” </w:t>
      </w:r>
      <w:r>
        <w:rPr>
          <w:rFonts w:ascii="Times New Roman;serif" w:hAnsi="Times New Roman;serif"/>
          <w:b w:val="false"/>
          <w:sz w:val="22"/>
        </w:rPr>
        <w:t>means the date on which all Commitments have expired or been terminated, all Secured Obligations have been paid in full in cash (other than (x)</w:t>
      </w:r>
      <w:r>
        <w:rPr>
          <w:rFonts w:ascii="Times New Roman" w:hAnsi="Times New Roman"/>
          <w:sz w:val="20"/>
        </w:rPr>
        <w:t xml:space="preserve"> </w:t>
      </w:r>
      <w:r>
        <w:rPr>
          <w:rFonts w:ascii="Times New Roman;serif" w:hAnsi="Times New Roman;serif"/>
          <w:b w:val="false"/>
          <w:sz w:val="22"/>
        </w:rPr>
        <w:t xml:space="preserve">Secured Swap Obligations not yet due and payable, </w:t>
      </w:r>
      <w:bookmarkStart w:id="627" w:name="docxtextref875"/>
      <w:bookmarkEnd w:id="62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Secured Cash Management Obligations not yet due and payable and </w:t>
      </w:r>
      <w:bookmarkStart w:id="628" w:name="docxtextref876"/>
      <w:bookmarkEnd w:id="628"/>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pStyle w:val="TextBody"/>
        <w:bidi w:val="0"/>
        <w:spacing w:before="0" w:after="240"/>
        <w:jc w:val="both"/>
        <w:rPr/>
      </w:pPr>
      <w:r>
        <w:rPr/>
        <w:t>“</w:t>
      </w:r>
      <w:r>
        <w:rPr>
          <w:rFonts w:ascii="Times New Roman;serif" w:hAnsi="Times New Roman;serif"/>
          <w:b w:val="false"/>
          <w:sz w:val="22"/>
          <w:u w:val="single"/>
        </w:rPr>
        <w:t>Test Period</w:t>
      </w:r>
      <w:r>
        <w:rPr>
          <w:rFonts w:ascii="Times New Roman" w:hAnsi="Times New Roman"/>
          <w:sz w:val="20"/>
        </w:rPr>
        <w:t xml:space="preserve">” </w:t>
      </w:r>
      <w:r>
        <w:rPr>
          <w:rFonts w:ascii="Times New Roman;serif" w:hAnsi="Times New Roman;serif"/>
          <w:b w:val="false"/>
          <w:sz w:val="22"/>
        </w:rPr>
        <w:t xml:space="preserve">means, at any date of determination, the period of four consecutive fiscal quarters of Bidco then last ended as of such time for which financial statements have been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(b)</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for any date of determination before the delivery of the first financial statements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(b)</w:t>
      </w:r>
      <w:r>
        <w:rPr>
          <w:rFonts w:ascii="Times New Roman;serif" w:hAnsi="Times New Roman;serif"/>
          <w:b w:val="false"/>
          <w:sz w:val="22"/>
        </w:rPr>
        <w:t>, the Test Period shall be the period of four consecutive fiscal quarters of the Borrower then last ended as of such time for which financial statements are internally available.</w:t>
      </w:r>
    </w:p>
    <w:p>
      <w:pPr>
        <w:pStyle w:val="TextBody"/>
        <w:bidi w:val="0"/>
        <w:spacing w:before="0" w:after="240"/>
        <w:jc w:val="both"/>
        <w:rPr/>
      </w:pPr>
      <w:r>
        <w:rPr/>
        <w:t>“</w:t>
      </w:r>
      <w:r>
        <w:rPr>
          <w:rFonts w:ascii="Times New Roman;serif" w:hAnsi="Times New Roman;serif"/>
          <w:b w:val="false"/>
          <w:sz w:val="22"/>
          <w:u w:val="single"/>
        </w:rPr>
        <w:t>Ticking Fee Percentage</w:t>
      </w:r>
      <w:r>
        <w:rPr>
          <w:rFonts w:ascii="Times New Roman" w:hAnsi="Times New Roman"/>
          <w:sz w:val="20"/>
        </w:rPr>
        <w:t xml:space="preserve">” </w:t>
      </w:r>
      <w:r>
        <w:rPr>
          <w:rFonts w:ascii="Times New Roman;serif" w:hAnsi="Times New Roman;serif"/>
          <w:b w:val="false"/>
          <w:sz w:val="22"/>
        </w:rPr>
        <w:t>means, for any day, a percentage equal to (a) for the period commencing on the Allocation Date through (and including) the earliest to occur of (i) the Effective Date and (ii) the 45th day after the Allocation Date, 0%, (b) if the Effective Date has not occurred prior to the commencement of such period, for the period commencing on the 46th day after the Allocation Date through (and including) the earliest to occur of (i) the Effective Date and (ii) the 90th day after the Allocation Date, 50% of the Applicable Rate used to determine the interest rate applicable to Eurodollar Initial Term Loans, and (c) if the Effective Date has not occurred prior to the commencement of such period, for the period commencing on the 91st day after the Allocation Date through (but excluding) the Effective Date, the Applicable Rate used to determine the interest rate applicable to Eurodollar Initial Term Loans.</w:t>
      </w:r>
    </w:p>
    <w:p>
      <w:pPr>
        <w:pStyle w:val="TextBody"/>
        <w:bidi w:val="0"/>
        <w:spacing w:before="0" w:after="240"/>
        <w:jc w:val="both"/>
        <w:rPr/>
      </w:pPr>
      <w:bookmarkStart w:id="629" w:name="docxtextref881"/>
      <w:bookmarkEnd w:id="629"/>
      <w:r>
        <w:rPr/>
        <w:t>“</w:t>
      </w:r>
      <w:r>
        <w:rPr>
          <w:rFonts w:ascii="Times New Roman;serif" w:hAnsi="Times New Roman;serif"/>
          <w:b w:val="false"/>
          <w:sz w:val="22"/>
          <w:u w:val="single"/>
        </w:rPr>
        <w:t>Total Net Leverage Ratio</w:t>
      </w:r>
      <w:r>
        <w:rPr>
          <w:rFonts w:ascii="Times New Roman" w:hAnsi="Times New Roman"/>
          <w:sz w:val="20"/>
        </w:rPr>
        <w:t xml:space="preserve">” </w:t>
      </w:r>
      <w:r>
        <w:rPr>
          <w:rFonts w:ascii="Times New Roman;serif" w:hAnsi="Times New Roman;serif"/>
          <w:b w:val="false"/>
          <w:sz w:val="22"/>
        </w:rPr>
        <w:t>means, as of any date of determination, the ratio, on a Pro Forma Basis, of (a)</w:t>
      </w:r>
      <w:r>
        <w:rPr>
          <w:rFonts w:ascii="Times New Roman" w:hAnsi="Times New Roman"/>
          <w:sz w:val="20"/>
        </w:rPr>
        <w:t xml:space="preserve"> </w:t>
      </w:r>
      <w:r>
        <w:rPr>
          <w:rFonts w:ascii="Times New Roman;serif" w:hAnsi="Times New Roman;serif"/>
          <w:b w:val="false"/>
          <w:sz w:val="22"/>
        </w:rPr>
        <w:t xml:space="preserve">the sum of (i) Consolidated Total Indebtedness as of such date and (ii) the Reserved Indebtedness Amount applicable at such time to the calculation of the Total Net Leverage Ratio with respect to commitments first obtained as of such date but not utilized as of such date (but only to the extent such commitments are being obtained in reliance on a test based on such ratio) to </w:t>
      </w:r>
      <w:bookmarkStart w:id="630" w:name="docxtextref882"/>
      <w:bookmarkEnd w:id="63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Consolidated EBITDA for the most recently ended Test Period as of such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prior to the expiration of the Certain Funds Period, any unused Initial Term Commitments (without duplication of any Indebtedness to be refinanced with the proceeds of such unused commitments) shall be included as Consolidated Total Indebtedness for purposes of this definition.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-89-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Transaction Costs</w:t>
      </w:r>
      <w:r>
        <w:rPr>
          <w:rFonts w:ascii="Times New Roman" w:hAnsi="Times New Roman"/>
          <w:sz w:val="20"/>
        </w:rPr>
        <w:t xml:space="preserve">” </w:t>
      </w:r>
      <w:r>
        <w:rPr>
          <w:rFonts w:ascii="Times New Roman;serif" w:hAnsi="Times New Roman;serif"/>
          <w:b w:val="false"/>
          <w:sz w:val="22"/>
        </w:rPr>
        <w:t>means all fees, costs and expenses incurred or payable by any parent entity of Holdings, Holdings, Bidco, the Borrowers or any Subsidiary in connection with the Transactions, including, without limitation, any upfront fees or original issue discount.</w:t>
      </w:r>
    </w:p>
    <w:p>
      <w:pPr>
        <w:pStyle w:val="TextBody"/>
        <w:bidi w:val="0"/>
        <w:spacing w:before="0" w:after="240"/>
        <w:jc w:val="both"/>
        <w:rPr/>
      </w:pPr>
      <w:bookmarkStart w:id="631" w:name="docxtextref883"/>
      <w:bookmarkEnd w:id="631"/>
      <w:r>
        <w:rPr/>
        <w:t>“</w:t>
      </w:r>
      <w:r>
        <w:rPr>
          <w:rFonts w:ascii="Times New Roman;serif" w:hAnsi="Times New Roman;serif"/>
          <w:b w:val="false"/>
          <w:sz w:val="22"/>
          <w:u w:val="single"/>
        </w:rPr>
        <w:t>Transactions</w:t>
      </w:r>
      <w:r>
        <w:rPr>
          <w:rFonts w:ascii="Times New Roman" w:hAnsi="Times New Roman"/>
          <w:sz w:val="20"/>
        </w:rPr>
        <w:t xml:space="preserve">” </w:t>
      </w:r>
      <w:r>
        <w:rPr>
          <w:rFonts w:ascii="Times New Roman;serif" w:hAnsi="Times New Roman;serif"/>
          <w:b w:val="false"/>
          <w:sz w:val="22"/>
        </w:rPr>
        <w:t>means (a)</w:t>
      </w:r>
      <w:r>
        <w:rPr>
          <w:rFonts w:ascii="Times New Roman" w:hAnsi="Times New Roman"/>
          <w:sz w:val="20"/>
        </w:rPr>
        <w:t xml:space="preserve"> </w:t>
      </w:r>
      <w:r>
        <w:rPr>
          <w:rFonts w:ascii="Times New Roman;serif" w:hAnsi="Times New Roman;serif"/>
          <w:b w:val="false"/>
          <w:sz w:val="22"/>
        </w:rPr>
        <w:t xml:space="preserve">the Financing Transactions, </w:t>
      </w:r>
      <w:bookmarkStart w:id="632" w:name="docxtextref884"/>
      <w:bookmarkEnd w:id="632"/>
      <w:r>
        <w:rPr>
          <w:rFonts w:ascii="Times New Roman;serif" w:hAnsi="Times New Roman;serif"/>
          <w:b w:val="false"/>
          <w:sz w:val="22"/>
        </w:rPr>
        <w:t>(b) the issuance of the Senior Secured Notes, (c)</w:t>
      </w:r>
      <w:r>
        <w:rPr>
          <w:rFonts w:ascii="Times New Roman" w:hAnsi="Times New Roman"/>
          <w:sz w:val="20"/>
        </w:rPr>
        <w:t xml:space="preserve"> </w:t>
      </w:r>
      <w:r>
        <w:rPr>
          <w:rFonts w:ascii="Times New Roman;serif" w:hAnsi="Times New Roman;serif"/>
          <w:b w:val="false"/>
          <w:sz w:val="22"/>
        </w:rPr>
        <w:t xml:space="preserve">the Acquisition and the other transactions contemplated by the Acquisition Documents, </w:t>
      </w:r>
      <w:bookmarkStart w:id="633" w:name="docxtextref885"/>
      <w:bookmarkEnd w:id="633"/>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the Equity Contributions, </w:t>
      </w:r>
      <w:bookmarkStart w:id="634" w:name="docxtextref886"/>
      <w:bookmarkEnd w:id="634"/>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the Refinancing, (f) any step, circumstance, payment, event, reorganization or transaction contemplated by or relating to the Tax Structure Memorandum (other than any exit steps or cash repatriation described therein), including, in each case, any intermediate steps or actions necessary to implement the steps, circumstances, payments or transactions in relation thereto and/or described therein and </w:t>
      </w:r>
      <w:bookmarkStart w:id="635" w:name="docxtextref887"/>
      <w:bookmarkEnd w:id="635"/>
      <w:r>
        <w:rPr>
          <w:rFonts w:ascii="Times New Roman;serif" w:hAnsi="Times New Roman;serif"/>
          <w:b w:val="false"/>
          <w:sz w:val="22"/>
        </w:rPr>
        <w:t>(g)</w:t>
      </w:r>
      <w:r>
        <w:rPr>
          <w:rFonts w:ascii="Times New Roman" w:hAnsi="Times New Roman"/>
          <w:sz w:val="20"/>
        </w:rPr>
        <w:t xml:space="preserve"> </w:t>
      </w:r>
      <w:r>
        <w:rPr>
          <w:rFonts w:ascii="Times New Roman;serif" w:hAnsi="Times New Roman;serif"/>
          <w:b w:val="false"/>
          <w:sz w:val="22"/>
        </w:rPr>
        <w:t>the payment of the Transaction Costs.</w:t>
      </w:r>
    </w:p>
    <w:p>
      <w:pPr>
        <w:pStyle w:val="TextBody"/>
        <w:bidi w:val="0"/>
        <w:spacing w:before="0" w:after="240"/>
        <w:jc w:val="both"/>
        <w:rPr/>
      </w:pPr>
      <w:r>
        <w:rPr/>
        <w:t>“</w:t>
      </w:r>
      <w:r>
        <w:rPr>
          <w:rFonts w:ascii="Times New Roman;serif" w:hAnsi="Times New Roman;serif"/>
          <w:b w:val="false"/>
          <w:sz w:val="22"/>
          <w:u w:val="single"/>
        </w:rPr>
        <w:t>Treasury Capital Stock</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6.05(b)(ii)</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Type</w:t>
      </w:r>
      <w:r>
        <w:rPr>
          <w:rFonts w:ascii="Times New Roman;serif" w:hAnsi="Times New Roman;serif"/>
          <w:b w:val="false"/>
          <w:sz w:val="22"/>
        </w:rPr>
        <w:t>,” when used in reference to any Loan or Borrowing, refers to whether the rate of interest on such Loan, or on the Loans comprising such Borrowing, is determined by reference to the Adjusted LIBO Rate or the Alternate Base Rate.</w:t>
      </w:r>
    </w:p>
    <w:p>
      <w:pPr>
        <w:pStyle w:val="TextBody"/>
        <w:bidi w:val="0"/>
        <w:spacing w:before="0" w:after="240"/>
        <w:jc w:val="both"/>
        <w:rPr/>
      </w:pPr>
      <w:r>
        <w:rPr/>
        <w:t>“</w:t>
      </w:r>
      <w:r>
        <w:rPr>
          <w:rFonts w:ascii="Times New Roman;serif" w:hAnsi="Times New Roman;serif"/>
          <w:b w:val="false"/>
          <w:sz w:val="22"/>
          <w:u w:val="single"/>
        </w:rPr>
        <w:t>UCC</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Uniform Commercial Code</w:t>
      </w:r>
      <w:r>
        <w:rPr>
          <w:rFonts w:ascii="Times New Roman" w:hAnsi="Times New Roman"/>
          <w:sz w:val="20"/>
        </w:rPr>
        <w:t xml:space="preserve">” </w:t>
      </w:r>
      <w:r>
        <w:rPr>
          <w:rFonts w:ascii="Times New Roman;serif" w:hAnsi="Times New Roman;serif"/>
          <w:b w:val="false"/>
          <w:sz w:val="22"/>
        </w:rPr>
        <w:t xml:space="preserve">means the Uniform Commercial Code as in effect from time to time in the State of New York;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pStyle w:val="TextBody"/>
        <w:bidi w:val="0"/>
        <w:spacing w:before="0" w:after="240"/>
        <w:jc w:val="both"/>
        <w:rPr/>
      </w:pPr>
      <w:r>
        <w:rPr/>
        <w:t>“</w:t>
      </w:r>
      <w:r>
        <w:rPr>
          <w:rFonts w:ascii="Times New Roman;serif" w:hAnsi="Times New Roman;serif"/>
          <w:b w:val="false"/>
          <w:sz w:val="22"/>
          <w:u w:val="single"/>
        </w:rPr>
        <w:t>UCP</w:t>
      </w:r>
      <w:r>
        <w:rPr>
          <w:rFonts w:ascii="Times New Roman" w:hAnsi="Times New Roman"/>
          <w:sz w:val="20"/>
        </w:rPr>
        <w:t xml:space="preserve">” </w:t>
      </w:r>
      <w:r>
        <w:rPr>
          <w:rFonts w:ascii="Times New Roman;serif" w:hAnsi="Times New Roman;serif"/>
          <w:b w:val="false"/>
          <w:sz w:val="22"/>
        </w:rPr>
        <w:t>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w:t>
      </w:r>
    </w:p>
    <w:p>
      <w:pPr>
        <w:pStyle w:val="TextBody"/>
        <w:bidi w:val="0"/>
        <w:spacing w:before="0" w:after="240"/>
        <w:jc w:val="both"/>
        <w:rPr/>
      </w:pPr>
      <w:r>
        <w:rPr/>
        <w:t>“</w:t>
      </w:r>
      <w:r>
        <w:rPr>
          <w:rFonts w:ascii="Times New Roman;serif" w:hAnsi="Times New Roman;serif"/>
          <w:b w:val="false"/>
          <w:sz w:val="22"/>
          <w:u w:val="single"/>
        </w:rPr>
        <w:t>Undisclosed Administration</w:t>
      </w:r>
      <w:r>
        <w:rPr>
          <w:rFonts w:ascii="Times New Roman" w:hAnsi="Times New Roman"/>
          <w:sz w:val="20"/>
        </w:rPr>
        <w:t xml:space="preserve">” </w:t>
      </w:r>
      <w:r>
        <w:rPr>
          <w:rFonts w:ascii="Times New Roman;serif" w:hAnsi="Times New Roman;serif"/>
          <w:b w:val="false"/>
          <w:sz w:val="22"/>
        </w:rPr>
        <w:t>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pStyle w:val="TextBody"/>
        <w:bidi w:val="0"/>
        <w:spacing w:before="0" w:after="240"/>
        <w:jc w:val="both"/>
        <w:rPr/>
      </w:pPr>
      <w:r>
        <w:rPr/>
        <w:t>“</w:t>
      </w:r>
      <w:r>
        <w:rPr>
          <w:rFonts w:ascii="Times New Roman;serif" w:hAnsi="Times New Roman;serif"/>
          <w:b w:val="false"/>
          <w:sz w:val="22"/>
          <w:u w:val="single"/>
        </w:rPr>
        <w:t>United States Tax Compliance Certificate</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2.16(e)(ii)(B)(3)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Unrestricted Subsidiary</w:t>
      </w:r>
      <w:r>
        <w:rPr>
          <w:rFonts w:ascii="Times New Roman" w:hAnsi="Times New Roman"/>
          <w:sz w:val="20"/>
        </w:rPr>
        <w:t xml:space="preserve">” </w:t>
      </w:r>
      <w:r>
        <w:rPr>
          <w:rFonts w:ascii="Times New Roman;serif" w:hAnsi="Times New Roman;serif"/>
          <w:b w:val="false"/>
          <w:sz w:val="22"/>
        </w:rPr>
        <w:t xml:space="preserve">means any Subsidiary designated by the Borrower as an Unrestricted Subsidiary pursuant to </w:t>
      </w:r>
      <w:r>
        <w:rPr>
          <w:rFonts w:ascii="Times New Roman;serif" w:hAnsi="Times New Roman;serif"/>
          <w:b w:val="false"/>
          <w:sz w:val="22"/>
          <w:u w:val="single"/>
        </w:rPr>
        <w:t>Section 5.13</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USA PATRIOT Act</w:t>
      </w:r>
      <w:r>
        <w:rPr>
          <w:rFonts w:ascii="Times New Roman" w:hAnsi="Times New Roman"/>
          <w:sz w:val="20"/>
        </w:rPr>
        <w:t xml:space="preserve">” </w:t>
      </w:r>
      <w:r>
        <w:rPr>
          <w:rFonts w:ascii="Times New Roman;serif" w:hAnsi="Times New Roman;serif"/>
          <w:b w:val="false"/>
          <w:sz w:val="22"/>
        </w:rPr>
        <w:t>means the Uniting and Strengthening America by Providing Appropriate Tools Required to Intercept and Obstruct Terrorism Act of 2001, as amended from time to time.</w:t>
      </w:r>
    </w:p>
    <w:p>
      <w:pPr>
        <w:pStyle w:val="TextBody"/>
        <w:bidi w:val="0"/>
        <w:spacing w:before="0" w:after="240"/>
        <w:jc w:val="both"/>
        <w:rPr/>
      </w:pPr>
      <w:r>
        <w:rPr/>
        <w:t>“</w:t>
      </w:r>
      <w:r>
        <w:rPr>
          <w:rFonts w:ascii="Times New Roman;serif" w:hAnsi="Times New Roman;serif"/>
          <w:b w:val="false"/>
          <w:sz w:val="22"/>
          <w:u w:val="single"/>
        </w:rPr>
        <w:t>U.K. Borrower</w:t>
      </w:r>
      <w:r>
        <w:rPr>
          <w:rFonts w:ascii="Times New Roman" w:hAnsi="Times New Roman"/>
          <w:sz w:val="20"/>
        </w:rPr>
        <w:t xml:space="preserve">” </w:t>
      </w:r>
      <w:r>
        <w:rPr>
          <w:rFonts w:ascii="Times New Roman;serif" w:hAnsi="Times New Roman;serif"/>
          <w:b w:val="false"/>
          <w:sz w:val="22"/>
        </w:rPr>
        <w:t>means a Borrower incorporated in the United Kingdom and/or tax resident in the United Kingdom (and for these purposes it shall be assumed that a Borrower incorporated in Guernsey is tax resident in the United Kingdom).</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U.K. Non-Bank Lender</w:t>
      </w:r>
      <w:r>
        <w:rPr>
          <w:rFonts w:ascii="Times New Roman" w:hAnsi="Times New Roman"/>
          <w:sz w:val="20"/>
        </w:rPr>
        <w:t xml:space="preserve">” </w:t>
      </w:r>
      <w:r>
        <w:rPr>
          <w:rFonts w:ascii="Times New Roman;serif" w:hAnsi="Times New Roman;serif"/>
          <w:b w:val="false"/>
          <w:sz w:val="22"/>
        </w:rPr>
        <w:t>means a Lender (a) which is: (i) a company resident in the United Kingdom for United Kingdom tax purposes, (ii) a partnership each 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(b) which has provided a Tax Confirmation, and (c) in respect of which an officer of HMRC has not given, or has given and has subsequently revoked, a direction under section 931 of the ITA which relates to the payment.</w:t>
      </w:r>
    </w:p>
    <w:p>
      <w:pPr>
        <w:pStyle w:val="TextBody"/>
        <w:bidi w:val="0"/>
        <w:spacing w:before="0" w:after="240"/>
        <w:jc w:val="both"/>
        <w:rPr/>
      </w:pPr>
      <w:r>
        <w:rPr/>
        <w:t>“</w:t>
      </w:r>
      <w:r>
        <w:rPr>
          <w:rFonts w:ascii="Times New Roman;serif" w:hAnsi="Times New Roman;serif"/>
          <w:b w:val="false"/>
          <w:sz w:val="22"/>
          <w:u w:val="single"/>
        </w:rPr>
        <w:t>U.S. Borrower</w:t>
      </w:r>
      <w:r>
        <w:rPr>
          <w:rFonts w:ascii="Times New Roman" w:hAnsi="Times New Roman"/>
          <w:sz w:val="20"/>
        </w:rPr>
        <w:t xml:space="preserve">” </w:t>
      </w:r>
      <w:r>
        <w:rPr>
          <w:rFonts w:ascii="Times New Roman;serif" w:hAnsi="Times New Roman;serif"/>
          <w:b w:val="false"/>
          <w:sz w:val="22"/>
        </w:rPr>
        <w:t>has the meaning assigned to such term in the preliminary statements hereto.</w:t>
      </w:r>
    </w:p>
    <w:p>
      <w:pPr>
        <w:pStyle w:val="TextBody"/>
        <w:bidi w:val="0"/>
        <w:spacing w:before="0" w:after="240"/>
        <w:jc w:val="both"/>
        <w:rPr/>
      </w:pPr>
      <w:r>
        <w:rPr/>
        <w:t>“</w:t>
      </w:r>
      <w:r>
        <w:rPr>
          <w:rFonts w:ascii="Times New Roman;serif" w:hAnsi="Times New Roman;serif"/>
          <w:b w:val="false"/>
          <w:sz w:val="22"/>
          <w:u w:val="single"/>
        </w:rPr>
        <w:t>U.S. Loan Party</w:t>
      </w:r>
      <w:r>
        <w:rPr>
          <w:rFonts w:ascii="Times New Roman" w:hAnsi="Times New Roman"/>
          <w:sz w:val="20"/>
        </w:rPr>
        <w:t xml:space="preserve">” </w:t>
      </w:r>
      <w:r>
        <w:rPr>
          <w:rFonts w:ascii="Times New Roman;serif" w:hAnsi="Times New Roman;serif"/>
          <w:b w:val="false"/>
          <w:sz w:val="22"/>
        </w:rPr>
        <w:t>means any Loan Party that is organized in the United States, any state thereof or the District of Columbia.</w:t>
      </w:r>
    </w:p>
    <w:p>
      <w:pPr>
        <w:pStyle w:val="TextBody"/>
        <w:bidi w:val="0"/>
        <w:spacing w:before="0" w:after="240"/>
        <w:jc w:val="both"/>
        <w:rPr/>
      </w:pPr>
      <w:r>
        <w:rPr/>
        <w:t>“</w:t>
      </w:r>
      <w:r>
        <w:rPr>
          <w:rFonts w:ascii="Times New Roman;serif" w:hAnsi="Times New Roman;serif"/>
          <w:b w:val="false"/>
          <w:sz w:val="22"/>
          <w:u w:val="single"/>
        </w:rPr>
        <w:t>U.S. Restricted Subsidiary</w:t>
      </w:r>
      <w:r>
        <w:rPr>
          <w:rFonts w:ascii="Times New Roman" w:hAnsi="Times New Roman"/>
          <w:sz w:val="20"/>
        </w:rPr>
        <w:t xml:space="preserve">” </w:t>
      </w:r>
      <w:r>
        <w:rPr>
          <w:rFonts w:ascii="Times New Roman;serif" w:hAnsi="Times New Roman;serif"/>
          <w:b w:val="false"/>
          <w:sz w:val="22"/>
        </w:rPr>
        <w:t>means any Subsidiary of Bidco that is organized in the United States, any state thereof or the District of Columbia, other than an Unrestricted Subsidiary.</w:t>
      </w:r>
    </w:p>
    <w:p>
      <w:pPr>
        <w:pStyle w:val="TextBody"/>
        <w:bidi w:val="0"/>
        <w:spacing w:before="0" w:after="240"/>
        <w:jc w:val="both"/>
        <w:rPr/>
      </w:pPr>
      <w:r>
        <w:rPr/>
        <w:t>“</w:t>
      </w:r>
      <w:r>
        <w:rPr>
          <w:rFonts w:ascii="Times New Roman;serif" w:hAnsi="Times New Roman;serif"/>
          <w:b w:val="false"/>
          <w:sz w:val="22"/>
          <w:u w:val="single"/>
        </w:rPr>
        <w:t>U.S. Special Resolution Regimes</w:t>
      </w:r>
      <w:r>
        <w:rPr>
          <w:rFonts w:ascii="Times New Roman" w:hAnsi="Times New Roman"/>
          <w:sz w:val="20"/>
        </w:rPr>
        <w:t xml:space="preserve">” </w:t>
      </w:r>
      <w:r>
        <w:rPr>
          <w:rFonts w:ascii="Times New Roman;serif" w:hAnsi="Times New Roman;serif"/>
          <w:b w:val="false"/>
          <w:sz w:val="22"/>
        </w:rPr>
        <w:t xml:space="preserve">has the meaning assigned to such term in </w:t>
      </w:r>
      <w:r>
        <w:rPr>
          <w:rFonts w:ascii="Times New Roman;serif" w:hAnsi="Times New Roman;serif"/>
          <w:b w:val="false"/>
          <w:sz w:val="22"/>
          <w:u w:val="single"/>
        </w:rPr>
        <w:t>Section 9.20</w:t>
      </w:r>
      <w:r>
        <w:rPr>
          <w:rFonts w:ascii="Times New Roman;serif" w:hAnsi="Times New Roman;serif"/>
          <w:b w:val="false"/>
          <w:sz w:val="22"/>
        </w:rPr>
        <w:t>.</w:t>
      </w:r>
    </w:p>
    <w:p>
      <w:pPr>
        <w:pStyle w:val="TextBody"/>
        <w:bidi w:val="0"/>
        <w:spacing w:before="0" w:after="240"/>
        <w:jc w:val="both"/>
        <w:rPr/>
      </w:pPr>
      <w:r>
        <w:rPr/>
        <w:t>“</w:t>
      </w:r>
      <w:r>
        <w:rPr>
          <w:rFonts w:ascii="Times New Roman;serif" w:hAnsi="Times New Roman;serif"/>
          <w:b w:val="false"/>
          <w:sz w:val="22"/>
          <w:u w:val="single"/>
        </w:rPr>
        <w:t>VAT</w:t>
      </w:r>
      <w:r>
        <w:rPr>
          <w:rFonts w:ascii="Times New Roman" w:hAnsi="Times New Roman"/>
          <w:sz w:val="20"/>
        </w:rPr>
        <w:t xml:space="preserve">” </w:t>
      </w:r>
      <w:r>
        <w:rPr>
          <w:rFonts w:ascii="Times New Roman;serif" w:hAnsi="Times New Roman;serif"/>
          <w:b w:val="false"/>
          <w:sz w:val="22"/>
        </w:rPr>
        <w:t>(a) any tax imposed in any member state of the European Union pursuant to EC Council Directive 2006/112 on the common system of value added tax and national legislation implementing that Directive or any predecessor to it or supplemental to that Directive; and (b) any other sales or turnover tax of a similar nature, whether imposed in a member state of the European Union in or, or levied in addition to, such tax referred to in paragraph (a) above, or imposed elsewhere.</w:t>
      </w:r>
    </w:p>
    <w:p>
      <w:pPr>
        <w:pStyle w:val="TextBody"/>
        <w:bidi w:val="0"/>
        <w:spacing w:before="0" w:after="240"/>
        <w:jc w:val="both"/>
        <w:rPr/>
      </w:pPr>
      <w:bookmarkStart w:id="636" w:name="docxtextref891"/>
      <w:bookmarkEnd w:id="636"/>
      <w:r>
        <w:rPr/>
        <w:t>“</w:t>
      </w:r>
      <w:r>
        <w:rPr>
          <w:rFonts w:ascii="Times New Roman;serif" w:hAnsi="Times New Roman;serif"/>
          <w:b w:val="false"/>
          <w:sz w:val="22"/>
          <w:u w:val="single"/>
        </w:rPr>
        <w:t>Weighted Average Life to Maturity</w:t>
      </w:r>
      <w:r>
        <w:rPr>
          <w:rFonts w:ascii="Times New Roman" w:hAnsi="Times New Roman"/>
          <w:sz w:val="20"/>
        </w:rPr>
        <w:t xml:space="preserve">” </w:t>
      </w:r>
      <w:r>
        <w:rPr>
          <w:rFonts w:ascii="Times New Roman;serif" w:hAnsi="Times New Roman;serif"/>
          <w:b w:val="false"/>
          <w:sz w:val="22"/>
        </w:rPr>
        <w:t>means, when applied to any Indebtedness at any date, the number of years obtained by dividing: (a)</w:t>
      </w:r>
      <w:r>
        <w:rPr>
          <w:rFonts w:ascii="Times New Roman" w:hAnsi="Times New Roman"/>
          <w:sz w:val="20"/>
        </w:rPr>
        <w:t xml:space="preserve"> </w:t>
      </w:r>
      <w:r>
        <w:rPr>
          <w:rFonts w:ascii="Times New Roman;serif" w:hAnsi="Times New Roman;serif"/>
          <w:b w:val="false"/>
          <w:sz w:val="22"/>
        </w:rPr>
        <w:t xml:space="preserve">the sum of the products obtained by multiplying </w:t>
      </w:r>
      <w:bookmarkStart w:id="637" w:name="docxtextref892"/>
      <w:bookmarkEnd w:id="637"/>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w:t>
      </w:r>
      <w:bookmarkStart w:id="638" w:name="docxtextref893"/>
      <w:bookmarkEnd w:id="63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then outstanding principal amount of such Indebtedness.</w:t>
      </w:r>
    </w:p>
    <w:p>
      <w:pPr>
        <w:pStyle w:val="TextBody"/>
        <w:bidi w:val="0"/>
        <w:spacing w:before="0" w:after="240"/>
        <w:jc w:val="both"/>
        <w:rPr/>
      </w:pPr>
      <w:r>
        <w:rPr/>
        <w:t>“</w:t>
      </w:r>
      <w:r>
        <w:rPr>
          <w:rFonts w:ascii="Times New Roman;serif" w:hAnsi="Times New Roman;serif"/>
          <w:b w:val="false"/>
          <w:sz w:val="22"/>
          <w:u w:val="single"/>
        </w:rPr>
        <w:t>Wholly Owned Restricted Subsidiary</w:t>
      </w:r>
      <w:r>
        <w:rPr>
          <w:rFonts w:ascii="Times New Roman" w:hAnsi="Times New Roman"/>
          <w:sz w:val="20"/>
        </w:rPr>
        <w:t xml:space="preserve">” </w:t>
      </w:r>
      <w:r>
        <w:rPr>
          <w:rFonts w:ascii="Times New Roman;serif" w:hAnsi="Times New Roman;serif"/>
          <w:b w:val="false"/>
          <w:sz w:val="22"/>
        </w:rPr>
        <w:t>means any Restricted Subsidiary that is a Wholly Owned Subsidiary.</w:t>
      </w:r>
    </w:p>
    <w:p>
      <w:pPr>
        <w:pStyle w:val="TextBody"/>
        <w:bidi w:val="0"/>
        <w:spacing w:before="0" w:after="240"/>
        <w:jc w:val="both"/>
        <w:rPr/>
      </w:pPr>
      <w:bookmarkStart w:id="639" w:name="docxtextref894"/>
      <w:bookmarkEnd w:id="639"/>
      <w:r>
        <w:rPr/>
        <w:t>“</w:t>
      </w:r>
      <w:r>
        <w:rPr>
          <w:rFonts w:ascii="Times New Roman;serif" w:hAnsi="Times New Roman;serif"/>
          <w:b w:val="false"/>
          <w:sz w:val="22"/>
          <w:u w:val="single"/>
        </w:rPr>
        <w:t>Wholly Owned Subsidiary</w:t>
      </w:r>
      <w:r>
        <w:rPr>
          <w:rFonts w:ascii="Times New Roman" w:hAnsi="Times New Roman"/>
          <w:sz w:val="20"/>
        </w:rPr>
        <w:t xml:space="preserve">” </w:t>
      </w:r>
      <w:r>
        <w:rPr>
          <w:rFonts w:ascii="Times New Roman;serif" w:hAnsi="Times New Roman;serif"/>
          <w:b w:val="false"/>
          <w:sz w:val="22"/>
        </w:rPr>
        <w:t>means, with respect to any Person at any date, a subsidiary of such Person of which securities or other ownership interests representing 100% of the Equity Interests (other than (a)</w:t>
      </w:r>
      <w:r>
        <w:rPr>
          <w:rFonts w:ascii="Times New Roman" w:hAnsi="Times New Roman"/>
          <w:sz w:val="20"/>
        </w:rPr>
        <w:t xml:space="preserve"> </w:t>
      </w:r>
      <w:r>
        <w:rPr>
          <w:rFonts w:ascii="Times New Roman;serif" w:hAnsi="Times New Roman;serif"/>
          <w:b w:val="false"/>
          <w:sz w:val="22"/>
        </w:rPr>
        <w:t xml:space="preserve">directors’ qualifying shares and </w:t>
      </w:r>
      <w:bookmarkStart w:id="640" w:name="docxtextref895"/>
      <w:bookmarkEnd w:id="64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pStyle w:val="TextBody"/>
        <w:bidi w:val="0"/>
        <w:spacing w:before="0" w:after="240"/>
        <w:jc w:val="both"/>
        <w:rPr/>
      </w:pPr>
      <w:bookmarkStart w:id="641" w:name="docxtextref896"/>
      <w:bookmarkEnd w:id="641"/>
      <w:r>
        <w:rPr/>
        <w:t>“</w:t>
      </w:r>
      <w:r>
        <w:rPr>
          <w:rFonts w:ascii="Times New Roman;serif" w:hAnsi="Times New Roman;serif"/>
          <w:b w:val="false"/>
          <w:sz w:val="22"/>
          <w:u w:val="single"/>
        </w:rPr>
        <w:t>Withdrawal Liability</w:t>
      </w:r>
      <w:r>
        <w:rPr>
          <w:rFonts w:ascii="Times New Roman" w:hAnsi="Times New Roman"/>
          <w:sz w:val="20"/>
        </w:rPr>
        <w:t xml:space="preserve">” </w:t>
      </w:r>
      <w:r>
        <w:rPr>
          <w:rFonts w:ascii="Times New Roman;serif" w:hAnsi="Times New Roman;serif"/>
          <w:b w:val="false"/>
          <w:sz w:val="22"/>
        </w:rPr>
        <w:t>means liability to a Multiemployer Plan as a result of a complete or partial withdrawal from such Multiemployer Plan, as such terms are defined in Part I</w:t>
      </w:r>
      <w:r>
        <w:rPr>
          <w:rFonts w:ascii="Times New Roman" w:hAnsi="Times New Roman"/>
          <w:sz w:val="20"/>
        </w:rPr>
        <w:t xml:space="preserve"> </w:t>
      </w:r>
      <w:r>
        <w:rPr>
          <w:rFonts w:ascii="Times New Roman;serif" w:hAnsi="Times New Roman;serif"/>
          <w:b w:val="false"/>
          <w:sz w:val="22"/>
        </w:rPr>
        <w:t>of Subtitle E of Title IV of ERISA.</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pPr>
      <w:r>
        <w:rPr/>
        <w:t>“</w:t>
      </w:r>
      <w:r>
        <w:rPr>
          <w:rFonts w:ascii="Times New Roman;serif" w:hAnsi="Times New Roman;serif"/>
          <w:b w:val="false"/>
          <w:sz w:val="22"/>
          <w:u w:val="single"/>
        </w:rPr>
        <w:t>Write-Down and Conversion Powers</w:t>
      </w:r>
      <w:r>
        <w:rPr>
          <w:rFonts w:ascii="Times New Roman" w:hAnsi="Times New Roman"/>
          <w:sz w:val="20"/>
        </w:rPr>
        <w:t xml:space="preserve">” </w:t>
      </w:r>
      <w:r>
        <w:rPr>
          <w:rFonts w:ascii="Times New Roman;serif" w:hAnsi="Times New Roman;serif"/>
          <w:b w:val="false"/>
          <w:sz w:val="22"/>
        </w:rPr>
        <w:t>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before="0" w:after="240"/>
        <w:jc w:val="both"/>
        <w:rPr/>
      </w:pPr>
      <w:r>
        <w:rPr/>
        <w:t>“</w:t>
      </w:r>
      <w:r>
        <w:rPr>
          <w:rFonts w:ascii="Times New Roman;serif" w:hAnsi="Times New Roman;serif"/>
          <w:b w:val="false"/>
          <w:sz w:val="22"/>
          <w:u w:val="single"/>
        </w:rPr>
        <w:t>Yen</w:t>
      </w:r>
      <w:r>
        <w:rPr>
          <w:rFonts w:ascii="Times New Roman" w:hAnsi="Times New Roman"/>
          <w:sz w:val="20"/>
        </w:rPr>
        <w:t xml:space="preserve">” </w:t>
      </w:r>
      <w:r>
        <w:rPr>
          <w:rFonts w:ascii="Times New Roman;serif" w:hAnsi="Times New Roman;serif"/>
          <w:b w:val="false"/>
          <w:sz w:val="22"/>
        </w:rPr>
        <w:t>and “</w:t>
      </w:r>
      <w:r>
        <w:rPr>
          <w:rFonts w:ascii="Times New Roman;serif" w:hAnsi="Times New Roman;serif"/>
          <w:b w:val="false"/>
          <w:sz w:val="22"/>
          <w:u w:val="single"/>
        </w:rPr>
        <w:t>¥</w:t>
      </w:r>
      <w:r>
        <w:rPr>
          <w:rFonts w:ascii="Times New Roman" w:hAnsi="Times New Roman"/>
          <w:sz w:val="20"/>
        </w:rPr>
        <w:t xml:space="preserve">” </w:t>
      </w:r>
      <w:r>
        <w:rPr>
          <w:rFonts w:ascii="Times New Roman;serif" w:hAnsi="Times New Roman;serif"/>
          <w:b w:val="false"/>
          <w:sz w:val="22"/>
        </w:rPr>
        <w:t>shall mean the lawful currency of Japan.</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1.02 </w:t>
      </w:r>
      <w:r>
        <w:rPr>
          <w:rFonts w:ascii="Times New Roman;serif" w:hAnsi="Times New Roman;serif"/>
          <w:b w:val="false"/>
          <w:sz w:val="22"/>
          <w:u w:val="single"/>
        </w:rPr>
        <w:t>Classification of Loans and Borrowings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For purposes of this Agreement, Loans and Borrowings may be classified and referred to by Class (</w:t>
      </w:r>
      <w:r>
        <w:rPr>
          <w:rFonts w:ascii="Times New Roman;serif" w:hAnsi="Times New Roman;serif"/>
          <w:b w:val="false"/>
          <w:sz w:val="22"/>
          <w:u w:val="single"/>
        </w:rPr>
        <w:t>e.g</w:t>
      </w:r>
      <w:r>
        <w:rPr>
          <w:rFonts w:ascii="Times New Roman;serif" w:hAnsi="Times New Roman;serif"/>
          <w:b w:val="false"/>
          <w:sz w:val="22"/>
        </w:rPr>
        <w:t>., a “</w:t>
      </w:r>
      <w:r>
        <w:rPr>
          <w:rFonts w:ascii="Times New Roman;serif" w:hAnsi="Times New Roman;serif"/>
          <w:b w:val="false"/>
          <w:sz w:val="22"/>
          <w:u w:val="single"/>
        </w:rPr>
        <w:t>Revolving Loan</w:t>
      </w:r>
      <w:r>
        <w:rPr>
          <w:rFonts w:ascii="Times New Roman" w:hAnsi="Times New Roman"/>
          <w:sz w:val="20"/>
        </w:rPr>
        <w:t>”</w:t>
      </w:r>
      <w:r>
        <w:rPr>
          <w:rFonts w:ascii="Times New Roman;serif" w:hAnsi="Times New Roman;serif"/>
          <w:b w:val="false"/>
          <w:sz w:val="22"/>
        </w:rPr>
        <w:t>) or by Type (</w:t>
      </w:r>
      <w:r>
        <w:rPr>
          <w:rFonts w:ascii="Times New Roman;serif" w:hAnsi="Times New Roman;serif"/>
          <w:b w:val="false"/>
          <w:sz w:val="22"/>
          <w:u w:val="single"/>
        </w:rPr>
        <w:t>e.g</w:t>
      </w:r>
      <w:r>
        <w:rPr>
          <w:rFonts w:ascii="Times New Roman;serif" w:hAnsi="Times New Roman;serif"/>
          <w:b w:val="false"/>
          <w:sz w:val="22"/>
        </w:rPr>
        <w:t>., a “</w:t>
      </w:r>
      <w:r>
        <w:rPr>
          <w:rFonts w:ascii="Times New Roman;serif" w:hAnsi="Times New Roman;serif"/>
          <w:b w:val="false"/>
          <w:sz w:val="22"/>
          <w:u w:val="single"/>
        </w:rPr>
        <w:t>Eurodollar Loan</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ABR Loan</w:t>
      </w:r>
      <w:r>
        <w:rPr>
          <w:rFonts w:ascii="Times New Roman" w:hAnsi="Times New Roman"/>
          <w:sz w:val="20"/>
        </w:rPr>
        <w:t>”</w:t>
      </w:r>
      <w:r>
        <w:rPr>
          <w:rFonts w:ascii="Times New Roman;serif" w:hAnsi="Times New Roman;serif"/>
          <w:b w:val="false"/>
          <w:sz w:val="22"/>
        </w:rPr>
        <w:t>) or by Class and Type (</w:t>
      </w:r>
      <w:r>
        <w:rPr>
          <w:rFonts w:ascii="Times New Roman;serif" w:hAnsi="Times New Roman;serif"/>
          <w:b w:val="false"/>
          <w:sz w:val="22"/>
          <w:u w:val="single"/>
        </w:rPr>
        <w:t>e.g</w:t>
      </w:r>
      <w:r>
        <w:rPr>
          <w:rFonts w:ascii="Times New Roman;serif" w:hAnsi="Times New Roman;serif"/>
          <w:b w:val="false"/>
          <w:sz w:val="22"/>
        </w:rPr>
        <w:t>., a “</w:t>
      </w:r>
      <w:r>
        <w:rPr>
          <w:rFonts w:ascii="Times New Roman;serif" w:hAnsi="Times New Roman;serif"/>
          <w:b w:val="false"/>
          <w:sz w:val="22"/>
          <w:u w:val="single"/>
        </w:rPr>
        <w:t>Eurodollar Revolving Loan</w:t>
      </w:r>
      <w:r>
        <w:rPr>
          <w:rFonts w:ascii="Times New Roman" w:hAnsi="Times New Roman"/>
          <w:sz w:val="20"/>
        </w:rPr>
        <w:t>”</w:t>
      </w:r>
      <w:r>
        <w:rPr>
          <w:rFonts w:ascii="Times New Roman;serif" w:hAnsi="Times New Roman;serif"/>
          <w:b w:val="false"/>
          <w:sz w:val="22"/>
        </w:rPr>
        <w:t>). Borrowings also may be classified and referred to by Class (</w:t>
      </w:r>
      <w:r>
        <w:rPr>
          <w:rFonts w:ascii="Times New Roman;serif" w:hAnsi="Times New Roman;serif"/>
          <w:b w:val="false"/>
          <w:sz w:val="22"/>
          <w:u w:val="single"/>
        </w:rPr>
        <w:t>e.g</w:t>
      </w:r>
      <w:r>
        <w:rPr>
          <w:rFonts w:ascii="Times New Roman;serif" w:hAnsi="Times New Roman;serif"/>
          <w:b w:val="false"/>
          <w:sz w:val="22"/>
        </w:rPr>
        <w:t>., a “</w:t>
      </w:r>
      <w:r>
        <w:rPr>
          <w:rFonts w:ascii="Times New Roman;serif" w:hAnsi="Times New Roman;serif"/>
          <w:b w:val="false"/>
          <w:sz w:val="22"/>
          <w:u w:val="single"/>
        </w:rPr>
        <w:t>Revolving Borrowing</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Term Borrowing</w:t>
      </w:r>
      <w:r>
        <w:rPr>
          <w:rFonts w:ascii="Times New Roman" w:hAnsi="Times New Roman"/>
          <w:sz w:val="20"/>
        </w:rPr>
        <w:t>”</w:t>
      </w:r>
      <w:r>
        <w:rPr>
          <w:rFonts w:ascii="Times New Roman;serif" w:hAnsi="Times New Roman;serif"/>
          <w:b w:val="false"/>
          <w:sz w:val="22"/>
        </w:rPr>
        <w:t>) or by Type (</w:t>
      </w:r>
      <w:r>
        <w:rPr>
          <w:rFonts w:ascii="Times New Roman;serif" w:hAnsi="Times New Roman;serif"/>
          <w:b w:val="false"/>
          <w:sz w:val="22"/>
          <w:u w:val="single"/>
        </w:rPr>
        <w:t>e.g</w:t>
      </w:r>
      <w:r>
        <w:rPr>
          <w:rFonts w:ascii="Times New Roman;serif" w:hAnsi="Times New Roman;serif"/>
          <w:b w:val="false"/>
          <w:sz w:val="22"/>
        </w:rPr>
        <w:t>., a “</w:t>
      </w:r>
      <w:r>
        <w:rPr>
          <w:rFonts w:ascii="Times New Roman;serif" w:hAnsi="Times New Roman;serif"/>
          <w:b w:val="false"/>
          <w:sz w:val="22"/>
          <w:u w:val="single"/>
        </w:rPr>
        <w:t>Eurodollar Borrowing</w:t>
      </w:r>
      <w:r>
        <w:rPr>
          <w:rFonts w:ascii="Times New Roman" w:hAnsi="Times New Roman"/>
          <w:sz w:val="20"/>
        </w:rPr>
        <w:t>”</w:t>
      </w:r>
      <w:r>
        <w:rPr>
          <w:rFonts w:ascii="Times New Roman;serif" w:hAnsi="Times New Roman;serif"/>
          <w:b w:val="false"/>
          <w:sz w:val="22"/>
        </w:rPr>
        <w:t>) or by Class and Type (</w:t>
      </w:r>
      <w:r>
        <w:rPr>
          <w:rFonts w:ascii="Times New Roman;serif" w:hAnsi="Times New Roman;serif"/>
          <w:b w:val="false"/>
          <w:sz w:val="22"/>
          <w:u w:val="single"/>
        </w:rPr>
        <w:t>e.g</w:t>
      </w:r>
      <w:r>
        <w:rPr>
          <w:rFonts w:ascii="Times New Roman;serif" w:hAnsi="Times New Roman;serif"/>
          <w:b w:val="false"/>
          <w:sz w:val="22"/>
        </w:rPr>
        <w:t>., a “</w:t>
      </w:r>
      <w:r>
        <w:rPr>
          <w:rFonts w:ascii="Times New Roman;serif" w:hAnsi="Times New Roman;serif"/>
          <w:b w:val="false"/>
          <w:sz w:val="22"/>
          <w:u w:val="single"/>
        </w:rPr>
        <w:t>Eurodollar Revolving Borrowing</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1.03 </w:t>
      </w:r>
      <w:r>
        <w:rPr>
          <w:rFonts w:ascii="Times New Roman;serif" w:hAnsi="Times New Roman;serif"/>
          <w:b w:val="false"/>
          <w:sz w:val="22"/>
          <w:u w:val="single"/>
        </w:rPr>
        <w:t>Terms Generally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42" w:name="docxtextref899"/>
      <w:bookmarkEnd w:id="642"/>
      <w:r>
        <w:rPr>
          <w:rFonts w:ascii="Times New Roman;serif" w:hAnsi="Times New Roman;serif"/>
          <w:b w:val="false"/>
          <w:sz w:val="22"/>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w:t>
      </w:r>
      <w:r>
        <w:rPr>
          <w:rFonts w:ascii="Times New Roman" w:hAnsi="Times New Roman"/>
          <w:sz w:val="20"/>
        </w:rPr>
        <w:t xml:space="preserve"> </w:t>
      </w:r>
      <w:r>
        <w:rPr>
          <w:rFonts w:ascii="Times New Roman;serif" w:hAnsi="Times New Roman;serif"/>
          <w:b w:val="false"/>
          <w:sz w:val="22"/>
        </w:rPr>
        <w:t xml:space="preserve">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w:t>
      </w:r>
      <w:bookmarkStart w:id="643" w:name="docxtextref900"/>
      <w:bookmarkEnd w:id="64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w:t>
      </w:r>
      <w:bookmarkStart w:id="644" w:name="docxtextref901"/>
      <w:bookmarkEnd w:id="64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words “herein,” “hereof” and “hereunder,” and words of similar import, shall be construed to refer to this Agreement in its entirety and not to any particular provision hereof, </w:t>
      </w:r>
      <w:bookmarkStart w:id="645" w:name="docxtextref902"/>
      <w:bookmarkEnd w:id="645"/>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all references herein to Articles, Sections, Exhibits and </w:t>
      </w:r>
      <w:bookmarkStart w:id="646" w:name="docxtextref897"/>
      <w:bookmarkEnd w:id="646"/>
      <w:r>
        <w:rPr>
          <w:rFonts w:ascii="Times New Roman;serif" w:hAnsi="Times New Roman;serif"/>
          <w:b w:val="false"/>
          <w:sz w:val="22"/>
        </w:rPr>
        <w:t>Schedules</w:t>
      </w:r>
      <w:r>
        <w:rPr>
          <w:rFonts w:ascii="Times New Roman" w:hAnsi="Times New Roman"/>
          <w:sz w:val="20"/>
        </w:rPr>
        <w:t xml:space="preserve"> </w:t>
      </w:r>
      <w:r>
        <w:rPr>
          <w:rFonts w:ascii="Times New Roman;serif" w:hAnsi="Times New Roman;serif"/>
          <w:b w:val="false"/>
          <w:sz w:val="22"/>
        </w:rPr>
        <w:t xml:space="preserve">shall be construed to refer to Articles and Sections of, and Exhibits and </w:t>
      </w:r>
      <w:bookmarkStart w:id="647" w:name="docxtextref898"/>
      <w:bookmarkEnd w:id="647"/>
      <w:r>
        <w:rPr>
          <w:rFonts w:ascii="Times New Roman;serif" w:hAnsi="Times New Roman;serif"/>
          <w:b w:val="false"/>
          <w:sz w:val="22"/>
        </w:rPr>
        <w:t>Schedules</w:t>
      </w:r>
      <w:r>
        <w:rPr>
          <w:rFonts w:ascii="Times New Roman" w:hAnsi="Times New Roman"/>
          <w:sz w:val="20"/>
        </w:rPr>
        <w:t xml:space="preserve"> </w:t>
      </w:r>
      <w:r>
        <w:rPr>
          <w:rFonts w:ascii="Times New Roman;serif" w:hAnsi="Times New Roman;serif"/>
          <w:b w:val="false"/>
          <w:sz w:val="22"/>
        </w:rPr>
        <w:t xml:space="preserve">to, this Agreement and </w:t>
      </w:r>
      <w:bookmarkStart w:id="648" w:name="docxtextref903"/>
      <w:bookmarkEnd w:id="648"/>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1.04 </w:t>
      </w:r>
      <w:r>
        <w:rPr>
          <w:rFonts w:ascii="Times New Roman;serif" w:hAnsi="Times New Roman;serif"/>
          <w:b w:val="false"/>
          <w:sz w:val="22"/>
          <w:u w:val="single"/>
        </w:rPr>
        <w:t>Accounting Terms; IFRS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IFRS, except as otherwise specifically prescribed herein.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1.05 </w:t>
      </w:r>
      <w:r>
        <w:rPr>
          <w:rFonts w:ascii="Times New Roman;serif" w:hAnsi="Times New Roman;serif"/>
          <w:b w:val="false"/>
          <w:sz w:val="22"/>
          <w:u w:val="single"/>
        </w:rPr>
        <w:t>Effectuation of Transactions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All references herein to Holdings, Bidco and the other Subsidiaries shall be deemed to be references to such Persons, and all the representations and warranties of Holdings, any Intermediate Parent, Bidco and the other Loan Parties contained in this Agreement and the other Loan Documents shall be deemed made, in each case, after giving effect to the Acquisition and the other Transactions to occur on the Effective Date, unless the context otherwise requires.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1.06 </w:t>
      </w:r>
      <w:r>
        <w:rPr>
          <w:rFonts w:ascii="Times New Roman;serif" w:hAnsi="Times New Roman;serif"/>
          <w:b w:val="false"/>
          <w:sz w:val="22"/>
          <w:u w:val="single"/>
        </w:rPr>
        <w:t>Limited Condition Transactions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49" w:name="docxtextref904"/>
      <w:bookmarkEnd w:id="649"/>
      <w:r>
        <w:rPr>
          <w:rFonts w:ascii="Times New Roman;serif" w:hAnsi="Times New Roman;serif"/>
          <w:b w:val="false"/>
          <w:sz w:val="22"/>
        </w:rPr>
        <w:t>Notwithstanding anything in this Agreement or any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Bidco (Bidco’s election to exercise such option in connection with any Limited Condition Transaction, an “</w:t>
      </w:r>
      <w:r>
        <w:rPr>
          <w:rFonts w:ascii="Times New Roman;serif" w:hAnsi="Times New Roman;serif"/>
          <w:b w:val="false"/>
          <w:sz w:val="22"/>
          <w:u w:val="single"/>
        </w:rPr>
        <w:t>LCT Election</w:t>
      </w:r>
      <w:r>
        <w:rPr>
          <w:rFonts w:ascii="Times New Roman" w:hAnsi="Times New Roman"/>
          <w:sz w:val="20"/>
        </w:rPr>
        <w:t>”</w:t>
      </w:r>
      <w:r>
        <w:rPr>
          <w:rFonts w:ascii="Times New Roman;serif" w:hAnsi="Times New Roman;serif"/>
          <w:b w:val="false"/>
          <w:sz w:val="22"/>
        </w:rPr>
        <w:t>), be deemed to be either (i) the date the definitive agreements for such Limited Condition Transaction are entered into (or, in respect of any transaction described in clause (b) of the definition of “Limited Condition Transaction”, delivery of irrevocable notice or similar event) or (ii) solely in connection with an acquisition to which the City Code applies, the date on which a “Rule 2.7 announcement” of a firm intention to make an offer in respect of a target company is made in compliance with the City Code (the “</w:t>
      </w:r>
      <w:r>
        <w:rPr>
          <w:rFonts w:ascii="Times New Roman;serif" w:hAnsi="Times New Roman;serif"/>
          <w:b w:val="false"/>
          <w:sz w:val="22"/>
          <w:u w:val="single"/>
        </w:rPr>
        <w:t>LCT Test Date</w:t>
      </w:r>
      <w:r>
        <w:rPr>
          <w:rFonts w:ascii="Times New Roman" w:hAnsi="Times New Roman"/>
          <w:sz w:val="20"/>
        </w:rPr>
        <w:t>”</w:t>
      </w:r>
      <w:r>
        <w:rPr>
          <w:rFonts w:ascii="Times New Roman;serif" w:hAnsi="Times New Roman;serif"/>
          <w:b w:val="false"/>
          <w:sz w:val="22"/>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Bidco could have taken such action on the relevant LCT Test Date in compliance with such ratios and provisions, such provisions shall be deemed to have been complied with; </w:t>
      </w:r>
      <w:r>
        <w:rPr>
          <w:rFonts w:ascii="Times New Roman;serif" w:hAnsi="Times New Roman;serif"/>
          <w:b w:val="false"/>
          <w:i/>
          <w:sz w:val="22"/>
        </w:rPr>
        <w:t xml:space="preserve">provided </w:t>
      </w:r>
      <w:r>
        <w:rPr>
          <w:rFonts w:ascii="Times New Roman;serif" w:hAnsi="Times New Roman;serif"/>
          <w:b w:val="false"/>
          <w:sz w:val="22"/>
        </w:rPr>
        <w:t>that at the option of Bidco, the relevant ratios and baskets may be recalculated at the time of consummation of such Limited Condition Transaction. For the avoidance of doubt, (x)</w:t>
      </w:r>
      <w:r>
        <w:rPr>
          <w:rFonts w:ascii="Times New Roman" w:hAnsi="Times New Roman"/>
          <w:sz w:val="20"/>
        </w:rPr>
        <w:t xml:space="preserve"> </w:t>
      </w:r>
      <w:r>
        <w:rPr>
          <w:rFonts w:ascii="Times New Roman;serif" w:hAnsi="Times New Roman;serif"/>
          <w:b w:val="false"/>
          <w:sz w:val="22"/>
        </w:rPr>
        <w:t xml:space="preserve">if any of such ratios or baskets are exceeded (or, with respect to the Interest Coverage Ratio, not reached) as a result of fluctuations in such ratio or basket (including due to fluctuations in Consolidated EBITDA of Bidco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w:t>
      </w:r>
      <w:bookmarkStart w:id="650" w:name="docxtextref905"/>
      <w:bookmarkEnd w:id="65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such ratios and other provisions shall not be tested at the time of consummation of such Limited Condition Transaction or related Specified Transactions. If Bidco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Transaction has actually closed or the definitive agreement with respect thereto has been terminated or expires (or, if applicable, the irrevocable notice or similar event is terminated or expires).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1.07 </w:t>
      </w:r>
      <w:r>
        <w:rPr>
          <w:rFonts w:ascii="Times New Roman;serif" w:hAnsi="Times New Roman;serif"/>
          <w:b w:val="false"/>
          <w:sz w:val="22"/>
          <w:u w:val="single"/>
        </w:rPr>
        <w:t>Certain Determinations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51" w:name="docxtextref910"/>
      <w:bookmarkEnd w:id="651"/>
      <w:r>
        <w:rPr>
          <w:rFonts w:ascii="Times New Roman;serif" w:hAnsi="Times New Roman;serif"/>
          <w:b w:val="false"/>
          <w:sz w:val="22"/>
        </w:rPr>
        <w:t xml:space="preserve">(a) For purposes of determining compliance with any of the covenants set forth in </w:t>
      </w:r>
      <w:r>
        <w:rPr>
          <w:rFonts w:ascii="Times New Roman;serif" w:hAnsi="Times New Roman;serif"/>
          <w:b w:val="false"/>
          <w:sz w:val="22"/>
          <w:u w:val="single"/>
        </w:rPr>
        <w:t>Article V</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Article VI</w:t>
      </w:r>
      <w:r>
        <w:rPr>
          <w:rFonts w:ascii="Times New Roman" w:hAnsi="Times New Roman"/>
          <w:sz w:val="20"/>
        </w:rPr>
        <w:t xml:space="preserve"> </w:t>
      </w:r>
      <w:r>
        <w:rPr>
          <w:rFonts w:ascii="Times New Roman;serif" w:hAnsi="Times New Roman;serif"/>
          <w:b w:val="false"/>
          <w:sz w:val="22"/>
        </w:rPr>
        <w:t xml:space="preserve">(including in connection with any Incremental Facility) at any time (whether at the time of incurrence or thereafter), any Lien, Investment, Indebtedness, Restricted Payment, Asset Sale or Affiliate transaction meets the criteria of one, or more than one, of the categories permitted pursuant to </w:t>
      </w:r>
      <w:r>
        <w:rPr>
          <w:rFonts w:ascii="Times New Roman;serif" w:hAnsi="Times New Roman;serif"/>
          <w:b w:val="false"/>
          <w:sz w:val="22"/>
          <w:u w:val="single"/>
        </w:rPr>
        <w:t>Article V</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Article VI</w:t>
      </w:r>
      <w:r>
        <w:rPr>
          <w:rFonts w:ascii="Times New Roman" w:hAnsi="Times New Roman"/>
          <w:sz w:val="20"/>
        </w:rPr>
        <w:t xml:space="preserve"> </w:t>
      </w:r>
      <w:r>
        <w:rPr>
          <w:rFonts w:ascii="Times New Roman;serif" w:hAnsi="Times New Roman;serif"/>
          <w:b w:val="false"/>
          <w:sz w:val="22"/>
        </w:rPr>
        <w:t>(including in connection with any Incremental Facility), Bidco (i)</w:t>
      </w:r>
      <w:r>
        <w:rPr>
          <w:rFonts w:ascii="Times New Roman" w:hAnsi="Times New Roman"/>
          <w:sz w:val="20"/>
        </w:rPr>
        <w:t xml:space="preserve"> </w:t>
      </w:r>
      <w:r>
        <w:rPr>
          <w:rFonts w:ascii="Times New Roman;serif" w:hAnsi="Times New Roman;serif"/>
          <w:b w:val="false"/>
          <w:sz w:val="22"/>
        </w:rPr>
        <w:t>shall in its sole discretion determine under which category such Lien (other than Liens securing the Secured Obligations), Investment, Indebtedness (other than Indebtedness incurred under the Loan Documents), Asset Sale, Restricted Payment or Affiliate transaction (or, in each case, any portion there) is permitted and (ii) shall be permitted, in its sole discretion, to make any redetermination and/or to divide, classify or reclassify under which category or categories such Lien, Investment, Indebtedness, Asset Sale, Restricted Payment or Affiliate transaction is permitted from time to time as it may determine and without notice to the Administrative Agent or any Lender, so long as at the time of such redesignation Bidco would be permitted to incur such Lien, Investment, Indebtedness or Restricted Payment under such category or categories, as applicable. For the avoidance of doubt, if the applicable date for meeting any requirement hereunder or under any other Loan Document falls on a day that is not a Business Day, compliance with such requirement shall not be required until noon on the first Business Day following such applicable date.</w:t>
      </w:r>
    </w:p>
    <w:p>
      <w:pPr>
        <w:pStyle w:val="TextBody"/>
        <w:bidi w:val="0"/>
        <w:spacing w:before="0" w:after="240"/>
        <w:jc w:val="both"/>
        <w:rPr>
          <w:rFonts w:ascii="Times New Roman" w:hAnsi="Times New Roman"/>
          <w:sz w:val="20"/>
        </w:rPr>
      </w:pPr>
      <w:r>
        <w:rPr>
          <w:rFonts w:ascii="Times New Roman;serif" w:hAnsi="Times New Roman;serif"/>
          <w:b w:val="false"/>
          <w:sz w:val="22"/>
        </w:rPr>
        <w:t>(b) 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w:t>
      </w:r>
      <w:r>
        <w:rPr>
          <w:rFonts w:ascii="Times New Roman;serif" w:hAnsi="Times New Roman;serif"/>
          <w:b w:val="false"/>
          <w:sz w:val="22"/>
          <w:u w:val="single"/>
        </w:rPr>
        <w:t>Fixed Amounts</w:t>
      </w:r>
      <w:r>
        <w:rPr>
          <w:rFonts w:ascii="Times New Roman" w:hAnsi="Times New Roman"/>
          <w:sz w:val="20"/>
        </w:rPr>
        <w:t>”</w:t>
      </w:r>
      <w:r>
        <w:rPr>
          <w:rFonts w:ascii="Times New Roman;serif" w:hAnsi="Times New Roman;serif"/>
          <w:b w:val="false"/>
          <w:sz w:val="22"/>
        </w:rPr>
        <w:t>) substantially concurrently with any amounts incurred or transactions entered into (or consummated) in reliance on a provision of this Agreement that requires compliance with any such financial ratio or test (any such amounts, the “</w:t>
      </w:r>
      <w:r>
        <w:rPr>
          <w:rFonts w:ascii="Times New Roman;serif" w:hAnsi="Times New Roman;serif"/>
          <w:b w:val="false"/>
          <w:sz w:val="22"/>
          <w:u w:val="single"/>
        </w:rPr>
        <w:t>Incurrence Based Amounts</w:t>
      </w:r>
      <w:r>
        <w:rPr>
          <w:rFonts w:ascii="Times New Roman" w:hAnsi="Times New Roman"/>
          <w:sz w:val="20"/>
        </w:rPr>
        <w:t>”</w:t>
      </w:r>
      <w:r>
        <w:rPr>
          <w:rFonts w:ascii="Times New Roman;serif" w:hAnsi="Times New Roman;serif"/>
          <w:b w:val="false"/>
          <w:sz w:val="22"/>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6.02</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Notwithstanding anything to the contrary herein, the Form Intercreditor Agreements shall be deemed to be reasonable and acceptable to the Administrative Agent and the Lenders, the Administrative Agent and the Lenders shall be deemed to have consented to the use of each such Form Intercreditor Agreement (and to the Administrative Agent’s execution thereof) in connection with any Indebtedness secured by the Collateral that is permitted to be incurred, issued and/or assumed by Bidco or any of its Subsidiaries pursuant to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6.02</w:t>
      </w:r>
      <w:r>
        <w:rPr>
          <w:rFonts w:ascii="Times New Roman" w:hAnsi="Times New Roman"/>
          <w:sz w:val="20"/>
        </w:rPr>
        <w:t xml:space="preserve"> </w:t>
      </w:r>
      <w:r>
        <w:rPr>
          <w:rFonts w:ascii="Times New Roman;serif" w:hAnsi="Times New Roman;serif"/>
          <w:b w:val="false"/>
          <w:sz w:val="22"/>
        </w:rPr>
        <w:t>and the Administrative Agent shall be authorized to execute and deliver on behalf of the Secured Parties the applicable Form Intercreditor Agreements.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Notwithstanding anything to the contrary herein, solely for the purposes of calculating the “Total Net Leverage Ratio”, “Senior Secured Net Leverage Ratio”, “Senior Secured First Lien Net Leverage Ratio” or “Interest Coverage Ratio” in connection with any incurrence test under the covenants set forth in </w:t>
      </w:r>
      <w:r>
        <w:rPr>
          <w:rFonts w:ascii="Times New Roman;serif" w:hAnsi="Times New Roman;serif"/>
          <w:b w:val="false"/>
          <w:sz w:val="22"/>
          <w:u w:val="single"/>
        </w:rPr>
        <w:t>Article VI</w:t>
      </w:r>
      <w:r>
        <w:rPr>
          <w:rFonts w:ascii="Times New Roman" w:hAnsi="Times New Roman"/>
          <w:sz w:val="20"/>
        </w:rPr>
        <w:t xml:space="preserve"> </w:t>
      </w:r>
      <w:r>
        <w:rPr>
          <w:rFonts w:ascii="Times New Roman;serif" w:hAnsi="Times New Roman;serif"/>
          <w:b w:val="false"/>
          <w:sz w:val="22"/>
        </w:rPr>
        <w:t>(including in connection with any Incremental Facility), excluding the Financial Performance Covenant, Consolidated EBITDA shall be calculated without giving effect to Consolidated EBITDA attributable solely to the Ligado Cooperation Agreement.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1.08 </w:t>
      </w:r>
      <w:r>
        <w:rPr>
          <w:rFonts w:ascii="Times New Roman;serif" w:hAnsi="Times New Roman;serif"/>
          <w:b w:val="false"/>
          <w:sz w:val="22"/>
          <w:u w:val="single"/>
        </w:rPr>
        <w:t>Additional Alternative Currencies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Bidco and the Borrowers may from time to time request that Eurodollar Revolving Loans be made and/or Letters of Credit be issued in a currency other than dollars or those specifically listed in the definition of “Alternative Currency.” In the case of any such request with respect to the making of Eurodollar Revolving Loans, such request shall be subject to the approval of the Administrative Agent and all of the Revolving Lenders. In the case of any such request with respect to the issuance of Letters of Credit, such request shall be subject to the approval of the Administrative Agent, the applicable Issuing Bank and all of the Revolving Lenders.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Any such request shall be made to the Administrative Agent not later than 11:00 a.m. (New York City time), ten (10) Business Days prior to the date of the desired Revolving Borrowing or issuance of Letters of Credit (or such other time or date as may be agreed to by the Administrative Agent and, in the case of any such request pertaining to Letters of Credit, each Issuing Bank, in its or their sole discretion). In the case of any such request pertaining to Eurodollar Revolving Loans, the Administrative Agent shall promptly notify each Revolving Lender thereof. In the case of any such request pertaining to Letters of Credit, the Administrative Agent shall promptly notify the applicable Issuing Bank thereof. Each Revolving Lender (in the case of any such request pertaining to Eurodollar Revolving Loans) or each Issuing Bank (in the case of a request pertaining to Letters of Credit) shall notify the Administrative Agent, not later than 11:00 a.m. (New York City time), two (2) Business Days after its receipt of such request as to whether it consents, in its sole discretion, to the making of Eurodollar Revolving Loans or the issuance of Letters of Credit, as the case may be, in such requested currency.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Any failure by a Revolving Lender or an Issuing Bank, as the case may be, to respond to such request within the time period specified in the last sentence of clause (b) above shall be deemed to be a refusal by such Revolving Lender or such Issuing Bank, as the case may be, to permit Eurodollar Revolving Loans to be made or Letters of Credit to be issued in such requested currency. If the Administrative Agent and all the Revolving Lenders consent to making Eurodollar Revolving Loans in such requested currency, the Administrative Agent shall so notify Bidco and the Borrowers and such currency shall thereupon be deemed for all purposes to be an Alternative Currency hereunder for purposes of any Borrowings of Eurodollar Revolving Loans. If the Administrative Agent and each Issuing Bank consent to the issuance of Letters of Credit in such requested currency, the Administrative Agent shall so notify Bidco and the Borrowers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serif" w:hAnsi="Times New Roman;serif"/>
          <w:b w:val="false"/>
          <w:sz w:val="22"/>
          <w:u w:val="single"/>
        </w:rPr>
        <w:t>Section 1.08</w:t>
      </w:r>
      <w:r>
        <w:rPr>
          <w:rFonts w:ascii="Times New Roman;serif" w:hAnsi="Times New Roman;serif"/>
          <w:b w:val="false"/>
          <w:sz w:val="22"/>
        </w:rPr>
        <w:t>, the Administrative Agent shall promptly so notify Bidco and the Borrowers.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1.09 </w:t>
      </w:r>
      <w:r>
        <w:rPr>
          <w:rFonts w:ascii="Times New Roman;serif" w:hAnsi="Times New Roman;serif"/>
          <w:b w:val="false"/>
          <w:sz w:val="22"/>
          <w:u w:val="single"/>
        </w:rPr>
        <w:t>Currency Equivalents Generally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52" w:name="docxtextref916"/>
      <w:bookmarkEnd w:id="652"/>
      <w:r>
        <w:rPr>
          <w:rFonts w:ascii="Times New Roman;serif" w:hAnsi="Times New Roman;serif"/>
          <w:b w:val="false"/>
          <w:sz w:val="22"/>
        </w:rPr>
        <w:t>Wherever in this Agreement in connection with a Borrowing, conversion, continuation or prepayment of a Eurodollar Loan or the issuance, amendment or extension of a Letter of Credit, an amount, such as a required minimum or multiple amount, is expressed in dollars, but such Borrowing, Eurodollar Loan or Letter of Credit is denominated in an Alternative Currency, such amount shall be the relevant Alternative Currency Equivalent of such dollar amount (rounded to the nearest unit of such Alternative Currency, with 0.5</w:t>
      </w:r>
      <w:r>
        <w:rPr>
          <w:rFonts w:ascii="Times New Roman" w:hAnsi="Times New Roman"/>
          <w:sz w:val="20"/>
        </w:rPr>
        <w:t xml:space="preserve"> </w:t>
      </w:r>
      <w:r>
        <w:rPr>
          <w:rFonts w:ascii="Times New Roman;serif" w:hAnsi="Times New Roman;serif"/>
          <w:b w:val="false"/>
          <w:sz w:val="22"/>
        </w:rPr>
        <w:t>of a unit being rounded upward), as determined by the Administrative Agent or the applicable Issuing Bank, as the case may be.</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1.10 </w:t>
      </w:r>
      <w:r>
        <w:rPr>
          <w:rFonts w:ascii="Times New Roman;serif" w:hAnsi="Times New Roman;serif"/>
          <w:b w:val="false"/>
          <w:sz w:val="22"/>
          <w:u w:val="single"/>
        </w:rPr>
        <w:t>Divisions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Any reference herein to a merger, transfer, consolidation, amalgamation, assignment, sale, disposition or transfer, or similar term, shall be deemed to apply to a division of or by a limited liability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company or other Person, or an allocation of assets to a series of a limited liability company or other Person (or the unwinding of such a division or allocation) (any such transaction, a “</w:t>
      </w:r>
      <w:r>
        <w:rPr>
          <w:rFonts w:ascii="Times New Roman;serif" w:hAnsi="Times New Roman;serif"/>
          <w:b w:val="false"/>
          <w:sz w:val="22"/>
          <w:u w:val="single"/>
        </w:rPr>
        <w:t>Division</w:t>
      </w:r>
      <w:r>
        <w:rPr>
          <w:rFonts w:ascii="Times New Roman" w:hAnsi="Times New Roman"/>
          <w:sz w:val="20"/>
        </w:rPr>
        <w:t>”</w:t>
      </w:r>
      <w:r>
        <w:rPr>
          <w:rFonts w:ascii="Times New Roman;serif" w:hAnsi="Times New Roman;serif"/>
          <w:b w:val="false"/>
          <w:sz w:val="22"/>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1.11 </w:t>
      </w:r>
      <w:r>
        <w:rPr>
          <w:rFonts w:ascii="Times New Roman;serif" w:hAnsi="Times New Roman;serif"/>
          <w:b w:val="false"/>
          <w:sz w:val="22"/>
          <w:u w:val="single"/>
        </w:rPr>
        <w:t>Agreed Security Principles; Guarantee Limitations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Guarantee Agreement, the Security Documents, the determination of Collateral and assets that constitute Excluded Assets of any Non-U.S. Loan Party and each other guaranty and security document delivered or to be delivered under this Agreement, and any obligation to enter into such document or obligation and/or provide security in any Collateral, by any Non-U.S. Loan Party shall be subject in all respects to the Agreed Security Principles and the Guarantee Limitations.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1.12 </w:t>
      </w:r>
      <w:r>
        <w:rPr>
          <w:rFonts w:ascii="Times New Roman;serif" w:hAnsi="Times New Roman;serif"/>
          <w:b w:val="false"/>
          <w:sz w:val="22"/>
          <w:u w:val="single"/>
        </w:rPr>
        <w:t>Additional Borrowers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Notwithstanding anything in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to the contrary, following the Effective Date, Bidco and the Borrowers may request that one or more Subsidiaries of Bidco that is a Restricted Subsidiary incorporated under the laws of England and Wales be added as an additional Revolving Borrower under the Revolving Facility by delivering to the Administrative Agent an Additional Borrower Agreement executed by such Subsidiary and the Borrower Representative. Such Subsidiary shall for all purposes of this Agreement be a Revolving Borrower and a Borrower hereunder after the latest of (i) five (5) Business Days (or such shorter period as the Administrative Agent shall agree) after delivery of such Additional Borrower Agreement and (ii)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without any written objection submitted by the Lenders or the Administrative Agent within five (5) Business Days of the date of receipt of such documentation and other information;</w:t>
      </w:r>
      <w:r>
        <w:rPr>
          <w:rFonts w:ascii="Times New Roman" w:hAnsi="Times New Roman"/>
          <w:sz w:val="20"/>
        </w:rPr>
        <w:t xml:space="preserve"> </w:t>
      </w:r>
      <w:r>
        <w:rPr>
          <w:rFonts w:ascii="Times New Roman;serif" w:hAnsi="Times New Roman;serif"/>
          <w:b w:val="false"/>
          <w:i/>
          <w:sz w:val="22"/>
        </w:rPr>
        <w:t>provided</w:t>
      </w:r>
      <w:r>
        <w:rPr>
          <w:rFonts w:ascii="Times New Roman" w:hAnsi="Times New Roman"/>
          <w:sz w:val="20"/>
        </w:rPr>
        <w:t xml:space="preserve"> </w:t>
      </w:r>
      <w:r>
        <w:rPr>
          <w:rFonts w:ascii="Times New Roman;serif" w:hAnsi="Times New Roman;serif"/>
          <w:b w:val="false"/>
          <w:sz w:val="22"/>
        </w:rPr>
        <w:t>that each Additional Borrower shall also be a Guarantor. Any obligations in respect of Borrowings by any Additional Borrower under this Agreement will constitute “Loan Document Obligations” for all purposes of the Loan Documents. Promptly following receipt of any Additional Borrower Agreement, the Administrative Agent shall send a copy thereof to each Lender.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1.13 </w:t>
      </w:r>
      <w:r>
        <w:rPr>
          <w:rFonts w:ascii="Times New Roman;serif" w:hAnsi="Times New Roman;serif"/>
          <w:b w:val="false"/>
          <w:sz w:val="22"/>
          <w:u w:val="single"/>
        </w:rPr>
        <w:t>Borrower Representative</w:t>
      </w:r>
      <w:r>
        <w:rPr>
          <w:rFonts w:ascii="Times New Roman;serif" w:hAnsi="Times New Roman;serif"/>
          <w:b w:val="false"/>
          <w:sz w:val="22"/>
        </w:rPr>
        <w:t>. Each Borrower hereby designates the Finco Borrower as its borrower representative (the “</w:t>
      </w:r>
      <w:r>
        <w:rPr>
          <w:rFonts w:ascii="Times New Roman;serif" w:hAnsi="Times New Roman;serif"/>
          <w:b w:val="false"/>
          <w:sz w:val="22"/>
          <w:u w:val="single"/>
        </w:rPr>
        <w:t>Borrower Representative</w:t>
      </w:r>
      <w:r>
        <w:rPr>
          <w:rFonts w:ascii="Times New Roman" w:hAnsi="Times New Roman"/>
          <w:sz w:val="20"/>
        </w:rPr>
        <w:t>”</w:t>
      </w:r>
      <w:r>
        <w:rPr>
          <w:rFonts w:ascii="Times New Roman;serif" w:hAnsi="Times New Roman;serif"/>
          <w:b w:val="false"/>
          <w:sz w:val="22"/>
        </w:rPr>
        <w:t xml:space="preserve">). The Borrower Representative may act as agent on behalf of each of the Borrowers for the purposes of issuing notices of Borrowing and notices of conversion/continuation of any Loans pursuant to </w:t>
      </w:r>
      <w:r>
        <w:rPr>
          <w:rFonts w:ascii="Times New Roman;serif" w:hAnsi="Times New Roman;serif"/>
          <w:b w:val="false"/>
          <w:sz w:val="22"/>
          <w:u w:val="single"/>
        </w:rPr>
        <w:t>Section 2.02</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2.03</w:t>
      </w:r>
      <w:r>
        <w:rPr>
          <w:rFonts w:ascii="Times New Roman" w:hAnsi="Times New Roman"/>
          <w:sz w:val="20"/>
        </w:rPr>
        <w:t xml:space="preserve"> </w:t>
      </w:r>
      <w:r>
        <w:rPr>
          <w:rFonts w:ascii="Times New Roman;serif" w:hAnsi="Times New Roman;serif"/>
          <w:b w:val="false"/>
          <w:sz w:val="22"/>
        </w:rPr>
        <w:t>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and certifications)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upon and enforceable against such Borrower to the same extent as if the same had been made directly by such Borrower.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1.14 </w:t>
      </w:r>
      <w:r>
        <w:rPr>
          <w:rFonts w:ascii="Times New Roman;serif" w:hAnsi="Times New Roman;serif"/>
          <w:b w:val="false"/>
          <w:sz w:val="22"/>
          <w:u w:val="single"/>
        </w:rPr>
        <w:t>Guernsey</w:t>
      </w:r>
      <w:r>
        <w:rPr>
          <w:rFonts w:ascii="Times New Roman" w:hAnsi="Times New Roman"/>
          <w:sz w:val="20"/>
          <w:u w:val="single"/>
        </w:rPr>
        <w:t xml:space="preserve"> </w:t>
      </w:r>
      <w:r>
        <w:rPr>
          <w:rFonts w:ascii="Times New Roman;serif" w:hAnsi="Times New Roman;serif"/>
          <w:b w:val="false"/>
          <w:sz w:val="22"/>
          <w:u w:val="single"/>
        </w:rPr>
        <w:t>Customary Law</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(a) Each Loan Party organized in Guernsey irrevocably waives and abandons any and all rights which it may at any time have under the existing or future laws of Guernsey:</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whether by virtue of the </w:t>
      </w:r>
      <w:r>
        <w:rPr>
          <w:rFonts w:ascii="Times New Roman;serif" w:hAnsi="Times New Roman;serif"/>
          <w:b w:val="false"/>
          <w:i/>
          <w:sz w:val="22"/>
        </w:rPr>
        <w:t>droit de discussion</w:t>
      </w:r>
      <w:r>
        <w:rPr>
          <w:rFonts w:ascii="Times New Roman" w:hAnsi="Times New Roman"/>
          <w:sz w:val="20"/>
        </w:rPr>
        <w:t xml:space="preserve"> </w:t>
      </w:r>
      <w:r>
        <w:rPr>
          <w:rFonts w:ascii="Times New Roman;serif" w:hAnsi="Times New Roman;serif"/>
          <w:b w:val="false"/>
          <w:sz w:val="22"/>
        </w:rPr>
        <w:t>or otherwise, to require that recourse be had to the assets of any other person party to any of the Loan Documents before any claim in enforced against such Guarantor in respect of the obligations assumed by such Guarantor under or in connection with any Loan Document. Each Guarantor organized in Guernsey undertakes that, if any enforcement proceedings are initiated by any Lender, Secured Party, the Administrative Agent, the Collateral Agent or any finance party against that Guarantor in respect of any such obligations, that Guarantor shall not claim that any other party to any of the Loan Documents be made a party to such proceedings, and each such Guarantor agrees to be bound by the Loan Documents whether or not any such Guarantor or other person is made a party to any legal proceedings for the recovery of amounts due or owing or for the enforcement of obligations owed to such Lender, Secured Party, the Administrative Agent, the Collateral Agent or any finance party and whether the formalities required by any existing or future law of Guernsey, in regard to the rights or obligations of sureties shall or shall not have been observed;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whether by virtue of </w:t>
      </w:r>
      <w:r>
        <w:rPr>
          <w:rFonts w:ascii="Times New Roman;serif" w:hAnsi="Times New Roman;serif"/>
          <w:b w:val="false"/>
          <w:i/>
          <w:sz w:val="22"/>
        </w:rPr>
        <w:t>the droit de division</w:t>
      </w:r>
      <w:r>
        <w:rPr>
          <w:rFonts w:ascii="Times New Roman" w:hAnsi="Times New Roman"/>
          <w:sz w:val="20"/>
        </w:rPr>
        <w:t xml:space="preserve"> </w:t>
      </w:r>
      <w:r>
        <w:rPr>
          <w:rFonts w:ascii="Times New Roman;serif" w:hAnsi="Times New Roman;serif"/>
          <w:b w:val="false"/>
          <w:sz w:val="22"/>
        </w:rPr>
        <w:t>or otherwise to require that any liability under any guarantee or indemnity given in or in connection with any Loan Document be divided or apportioned with any other person or reduced in any manner.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This waiver applies irrespective of any law or any provision of a Loan Document to the contrary.</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II</w:t>
      </w:r>
      <w:r>
        <w:rPr>
          <w:rFonts w:ascii="Times New Roman;serif" w:hAnsi="Times New Roman;serif"/>
          <w:b w:val="false"/>
          <w:caps/>
          <w:sz w:val="22"/>
          <w:u w:val="single"/>
        </w:rPr>
        <w:br/>
        <w:br/>
        <w:t>The Credits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2.01 </w:t>
      </w:r>
      <w:r>
        <w:rPr>
          <w:rFonts w:ascii="Times New Roman;serif" w:hAnsi="Times New Roman;serif"/>
          <w:b w:val="false"/>
          <w:sz w:val="22"/>
          <w:u w:val="single"/>
        </w:rPr>
        <w:t>Commitments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53" w:name="docxtextref917"/>
      <w:bookmarkEnd w:id="653"/>
      <w:r>
        <w:rPr>
          <w:rFonts w:ascii="Times New Roman;serif" w:hAnsi="Times New Roman;serif"/>
          <w:b w:val="false"/>
          <w:sz w:val="22"/>
        </w:rPr>
        <w:t>Subject to the terms and conditions set forth herein, (a)</w:t>
      </w:r>
      <w:r>
        <w:rPr>
          <w:rFonts w:ascii="Times New Roman" w:hAnsi="Times New Roman"/>
          <w:sz w:val="20"/>
        </w:rPr>
        <w:t xml:space="preserve"> </w:t>
      </w:r>
      <w:r>
        <w:rPr>
          <w:rFonts w:ascii="Times New Roman;serif" w:hAnsi="Times New Roman;serif"/>
          <w:b w:val="false"/>
          <w:sz w:val="22"/>
        </w:rPr>
        <w:t>each Term Lender agrees to make Initial Term Loans to the applicable Term Borrower (i) in one drawing in connection with the Transactions on the Effective Date and (ii) in one additional drawing as a Certain Funds Utilization in connection with the Refinancing on or after the Effective Date until the Initial Term Commitment Expiration Date, each denominated in dollars and in an aggregate principal amount not exceeding such Term Lender’s then unused Initial Term Commitment and (b) each Revolving Lender agrees to make Revolving Loans to the applicable Revolving Borrower denominated in dollars or an Alternative Currency from time to time during the Revolving Availability Period in an aggregate principal amount which will not result in such Revolving Lender’s Revolving Exposure exceeding such Revolving Lender’s Revolving Commitment. Within the foregoing limits and subject to the terms and conditions set forth herein, the Revolving Borrowers may borrow, prepay and reborrow Revolving Loans. Amounts repaid or prepaid in respect of Term Loans may not be reborrowed.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2.02 </w:t>
      </w:r>
      <w:r>
        <w:rPr>
          <w:rFonts w:ascii="Times New Roman;serif" w:hAnsi="Times New Roman;serif"/>
          <w:b w:val="false"/>
          <w:sz w:val="22"/>
          <w:u w:val="single"/>
        </w:rPr>
        <w:t>Loans and Borrowings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Commitments of the Lenders are several and other than as expressly provided in </w:t>
      </w:r>
      <w:r>
        <w:rPr>
          <w:rFonts w:ascii="Times New Roman;serif" w:hAnsi="Times New Roman;serif"/>
          <w:b w:val="false"/>
          <w:sz w:val="22"/>
          <w:u w:val="single"/>
        </w:rPr>
        <w:t>Section 2.21(a)(iv)</w:t>
      </w:r>
      <w:r>
        <w:rPr>
          <w:rFonts w:ascii="Times New Roman" w:hAnsi="Times New Roman"/>
          <w:sz w:val="20"/>
        </w:rPr>
        <w:t xml:space="preserve"> </w:t>
      </w:r>
      <w:r>
        <w:rPr>
          <w:rFonts w:ascii="Times New Roman;serif" w:hAnsi="Times New Roman;serif"/>
          <w:b w:val="false"/>
          <w:sz w:val="22"/>
        </w:rPr>
        <w:t>with respect to a Defaulting Lender, no Lender shall be responsible for any other Lender’s failure to make Loans as required hereby.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Subject to </w:t>
      </w:r>
      <w:r>
        <w:rPr>
          <w:rFonts w:ascii="Times New Roman;serif" w:hAnsi="Times New Roman;serif"/>
          <w:b w:val="false"/>
          <w:sz w:val="22"/>
          <w:u w:val="single"/>
        </w:rPr>
        <w:t>Section 2.13</w:t>
      </w:r>
      <w:r>
        <w:rPr>
          <w:rFonts w:ascii="Times New Roman;serif" w:hAnsi="Times New Roman;serif"/>
          <w:b w:val="false"/>
          <w:sz w:val="22"/>
        </w:rPr>
        <w:t xml:space="preserve">, each Revolving Borrowing and Term Borrowing shall be comprised entirely of ABR Loans or Eurodollar Loans as the Borrowers may request in accordance herewith. Each Swingline Loan shall be an ABR Loan. Each Revolving Borrowing in an Alternative Currency shall be a Eurodollar Loan. Each Lender at its option may make any Loan by causing any domestic or foreign branch or Affiliate of such Lender to make such Loan;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exercise of such option shall not affect the obligation of the Borrowers to repay such Loan in accordance with the terms of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At the commencement of each Interest Period for any Eurodollar Borrowing, such Borrowing shall be in an aggregate amount that is an integral multiple of the Borrowing Multiple and not less than the Borrowing Minimum;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there shall not at any time be more than a total of ten Eurodollar Borrowings outstanding. Notwithstanding anything to the contrary herein, an ABR Revolving Borrowing (including a Borrowing of Swingline Loans) may be in an aggregate amount equal to the entire unused balance of the aggregate Revolving Commitments (and/or the Swingline Commitments, as applicable) or that is required to finance the reimbursement of a LC Disbursement as contemplated by </w:t>
      </w:r>
      <w:r>
        <w:rPr>
          <w:rFonts w:ascii="Times New Roman;serif" w:hAnsi="Times New Roman;serif"/>
          <w:b w:val="false"/>
          <w:sz w:val="22"/>
          <w:u w:val="single"/>
        </w:rPr>
        <w:t>Section 2.04(f)</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2.03 </w:t>
      </w:r>
      <w:r>
        <w:rPr>
          <w:rFonts w:ascii="Times New Roman;serif" w:hAnsi="Times New Roman;serif"/>
          <w:b w:val="false"/>
          <w:sz w:val="22"/>
          <w:u w:val="single"/>
        </w:rPr>
        <w:t>Requests for Borrowings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54" w:name="docxtextref922"/>
      <w:bookmarkEnd w:id="654"/>
      <w:r>
        <w:rPr>
          <w:rFonts w:ascii="Times New Roman;serif" w:hAnsi="Times New Roman;serif"/>
          <w:b w:val="false"/>
          <w:sz w:val="22"/>
        </w:rPr>
        <w:t xml:space="preserve">To request a Revolving Borrowing or Term Borrowing, the applicable Borrower shall deliver by hand delivery, facsimile or other electronic transmission to the Administrative Agent a written Borrowing Request signed by the applicable Borrower substantially in the form of </w:t>
      </w:r>
      <w:r>
        <w:rPr>
          <w:rFonts w:ascii="Times New Roman;serif" w:hAnsi="Times New Roman;serif"/>
          <w:b w:val="false"/>
          <w:sz w:val="22"/>
          <w:u w:val="single"/>
        </w:rPr>
        <w:t>Exhibit T</w:t>
      </w:r>
      <w:r>
        <w:rPr>
          <w:rFonts w:ascii="Times New Roman" w:hAnsi="Times New Roman"/>
          <w:sz w:val="20"/>
        </w:rPr>
        <w:t xml:space="preserve"> </w:t>
      </w:r>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in the case of a Eurodollar Borrowing in dollars, not later than 2:00 p.m., New York City time, three (3) Business Days before the date of the proposed Borrowing (or, in the case of any Eurodollar Borrowing in dollars to be made on the Effective Date or in the sole discretion of the Administrative Agent, one (1) Business Day), </w:t>
      </w:r>
      <w:bookmarkStart w:id="655" w:name="docxtextref923"/>
      <w:bookmarkEnd w:id="65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the case of a Eurodollar Borrowing in an Alternative Currency other than Yen, not later than 2:00 p.m., New York City time, four (4) Business Days before the date of the proposed Borrowing (or any shorter period agreed by the Administrative Agent and the Revolving Lenders in their sole discretion), (c) in the case of a Eurodollar Borrowing in Yen, not later than 2:00 p.m., New York City time, five (5) Business Days before the date of the proposed Borrowing (or any shorter period agreed by the Administrative Agent and the Revolving Lenders in their sole discretion) or </w:t>
      </w:r>
      <w:bookmarkStart w:id="656" w:name="docxtextref924"/>
      <w:bookmarkEnd w:id="656"/>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in the case of an ABR Borrowing, not later than 11:00 a.m., New York City time, on the date of the proposed Borrowing. Each such written Borrowing Request shall specify the following information: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specifying the Class of the requested Borrowing;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the aggregate amount of such Borrowing;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the date of such Borrowing, which shall be a Business Day;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(iv) whether such Borrowing is to be an ABR Borrowing or a Eurodollar Borrowing;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in the case of a Eurodollar Borrowing, the initial Interest Period to be applicable thereto, which shall be a period contemplated by the definition of the term “Interest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 in the case of a Borrowing of Revolving Loans, the currency of such Revolving Loans;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(vii) the location and number of the applicable Borrower’s account or accounts to which funds are to be disbursed, which shall comply with the requirements of </w:t>
      </w:r>
      <w:r>
        <w:rPr>
          <w:rFonts w:ascii="Times New Roman;serif" w:hAnsi="Times New Roman;serif"/>
          <w:b w:val="false"/>
          <w:sz w:val="22"/>
          <w:u w:val="single"/>
        </w:rPr>
        <w:t>Section 2.05</w:t>
      </w:r>
      <w:r>
        <w:rPr>
          <w:rFonts w:ascii="Times New Roman;serif" w:hAnsi="Times New Roman;serif"/>
          <w:b w:val="false"/>
          <w:sz w:val="22"/>
        </w:rPr>
        <w:t xml:space="preserve">, or, in the case of any ABR Revolving Borrowing or Swingline Loan requested to finance the reimbursement of an LC Disbursement as provided in </w:t>
      </w:r>
      <w:r>
        <w:rPr>
          <w:rFonts w:ascii="Times New Roman;serif" w:hAnsi="Times New Roman;serif"/>
          <w:b w:val="false"/>
          <w:sz w:val="22"/>
          <w:u w:val="single"/>
        </w:rPr>
        <w:t>Section 2.04(f)</w:t>
      </w:r>
      <w:r>
        <w:rPr>
          <w:rFonts w:ascii="Times New Roman;serif" w:hAnsi="Times New Roman;serif"/>
          <w:b w:val="false"/>
          <w:sz w:val="22"/>
        </w:rPr>
        <w:t>, the identity of the Issuing Bank that made such LC Disbursement;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(viii) that as of the date of such Borrowing, with respect to any other Borrowing after the Effective Date (other than a Certain Funds Utilization), the conditions set forth in </w:t>
      </w:r>
      <w:r>
        <w:rPr>
          <w:rFonts w:ascii="Times New Roman;serif" w:hAnsi="Times New Roman;serif"/>
          <w:b w:val="false"/>
          <w:sz w:val="22"/>
          <w:u w:val="single"/>
        </w:rPr>
        <w:t>Sections 4.02(a)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4.02(b)</w:t>
      </w:r>
      <w:r>
        <w:rPr>
          <w:rFonts w:ascii="Times New Roman" w:hAnsi="Times New Roman"/>
          <w:sz w:val="20"/>
        </w:rPr>
        <w:t xml:space="preserve"> </w:t>
      </w:r>
      <w:r>
        <w:rPr>
          <w:rFonts w:ascii="Times New Roman;serif" w:hAnsi="Times New Roman;serif"/>
          <w:b w:val="false"/>
          <w:sz w:val="22"/>
        </w:rPr>
        <w:t>are satisfied;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(ix) that as of the date of such Borrowing, only in respect of a Certain Funds Utilization, the conditions set forth in clauses (i) and (k) of </w:t>
      </w:r>
      <w:r>
        <w:rPr>
          <w:rFonts w:ascii="Times New Roman;serif" w:hAnsi="Times New Roman;serif"/>
          <w:b w:val="false"/>
          <w:sz w:val="22"/>
          <w:u w:val="single"/>
        </w:rPr>
        <w:t>Section 4.01</w:t>
      </w:r>
      <w:r>
        <w:rPr>
          <w:rFonts w:ascii="Times New Roman" w:hAnsi="Times New Roman"/>
          <w:sz w:val="20"/>
        </w:rPr>
        <w:t xml:space="preserve"> </w:t>
      </w:r>
      <w:r>
        <w:rPr>
          <w:rFonts w:ascii="Times New Roman;serif" w:hAnsi="Times New Roman;serif"/>
          <w:b w:val="false"/>
          <w:sz w:val="22"/>
        </w:rPr>
        <w:t>are satisfied.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If no election as to the Type of Borrowing is specified as to any Borrowing, then the requested Borrowing shall be a Eurodollar Borrowing. If no Interest Period is specified with respect to any requested Eurodollar Borrowing, then the applicable Borrower shall be deemed to have selected an Interest Period of one month’s duration. Promptly following receipt of a Borrowing Request in accordance with this </w:t>
      </w:r>
      <w:r>
        <w:rPr>
          <w:rFonts w:ascii="Times New Roman;serif" w:hAnsi="Times New Roman;serif"/>
          <w:b w:val="false"/>
          <w:sz w:val="22"/>
          <w:u w:val="single"/>
        </w:rPr>
        <w:t>Section 2.03</w:t>
      </w:r>
      <w:r>
        <w:rPr>
          <w:rFonts w:ascii="Times New Roman;serif" w:hAnsi="Times New Roman;serif"/>
          <w:b w:val="false"/>
          <w:sz w:val="22"/>
        </w:rPr>
        <w:t>, the Administrative Agent shall advise each Lender of the applicable Class of the details thereof and of the amount of such Lender’s Loan to be made as part of the requested Borrowing.</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2.04 </w:t>
      </w:r>
      <w:r>
        <w:rPr>
          <w:rFonts w:ascii="Times New Roman;serif" w:hAnsi="Times New Roman;serif"/>
          <w:b w:val="false"/>
          <w:sz w:val="22"/>
          <w:u w:val="single"/>
        </w:rPr>
        <w:t>Letters of Credit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w:t>
      </w:r>
      <w:r>
        <w:rPr>
          <w:rFonts w:ascii="Times New Roman;serif" w:hAnsi="Times New Roman;serif"/>
          <w:b w:val="false"/>
          <w:sz w:val="22"/>
          <w:u w:val="single"/>
        </w:rPr>
        <w:t>General</w:t>
      </w:r>
      <w:r>
        <w:rPr>
          <w:rFonts w:ascii="Times New Roman;serif" w:hAnsi="Times New Roman;serif"/>
          <w:b w:val="false"/>
          <w:sz w:val="22"/>
        </w:rPr>
        <w:t xml:space="preserve">. Subject to the terms and conditions set forth herein (including </w:t>
      </w:r>
      <w:r>
        <w:rPr>
          <w:rFonts w:ascii="Times New Roman;serif" w:hAnsi="Times New Roman;serif"/>
          <w:b w:val="false"/>
          <w:sz w:val="22"/>
          <w:u w:val="single"/>
        </w:rPr>
        <w:t>Section 2.21</w:t>
      </w:r>
      <w:r>
        <w:rPr>
          <w:rFonts w:ascii="Times New Roman;serif" w:hAnsi="Times New Roman;serif"/>
          <w:b w:val="false"/>
          <w:sz w:val="22"/>
        </w:rPr>
        <w:t xml:space="preserve">), each Issuing Bank agrees, in reliance upon the agreements of the Revolving Lenders (with respect to Letters of Credit) and the Revolving Borrowers set forth in this </w:t>
      </w:r>
      <w:r>
        <w:rPr>
          <w:rFonts w:ascii="Times New Roman;serif" w:hAnsi="Times New Roman;serif"/>
          <w:b w:val="false"/>
          <w:sz w:val="22"/>
          <w:u w:val="single"/>
        </w:rPr>
        <w:t>Section 2.04</w:t>
      </w:r>
      <w:r>
        <w:rPr>
          <w:rFonts w:ascii="Times New Roman" w:hAnsi="Times New Roman"/>
          <w:sz w:val="20"/>
        </w:rPr>
        <w:t xml:space="preserve"> </w:t>
      </w:r>
      <w:r>
        <w:rPr>
          <w:rFonts w:ascii="Times New Roman;serif" w:hAnsi="Times New Roman;serif"/>
          <w:b w:val="false"/>
          <w:sz w:val="22"/>
        </w:rPr>
        <w:t>and elsewhere in the Loan Documents, to issue Letters of Credit denominated in dollars or an Alternative Currency for the applicable Revolving Borrower’s own account (or for the account of any Subsidiary of Bidco so long as Bidco is an obligor in respect of all Loan Document Obligations arising under or in respect of such Letter of Credit), in a form reasonably acceptable to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Bidco to, or entered into by any Revolving Borrower with, the applicable Issuing Bank relating to any Letter of Credit, including the Existing Letters of Credit, the terms and conditions of this Agreement shall control.</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Issuance, Amendment, Renewal or Extension; Certain Conditions</w:t>
      </w:r>
      <w:r>
        <w:rPr>
          <w:rFonts w:ascii="Times New Roman;serif" w:hAnsi="Times New Roman;serif"/>
          <w:b w:val="false"/>
          <w:sz w:val="22"/>
        </w:rPr>
        <w:t>. To request the issuance of a Letter of Credit (or the amendment, renewal or extension of an outstanding Letter of Credit), the applicable Revolving Borrower shall deliver in writing by hand delivery or facsimile (or transmit by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-99-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57" w:name="docxtextref934"/>
      <w:bookmarkEnd w:id="657"/>
      <w:r>
        <w:rPr>
          <w:rFonts w:ascii="Times New Roman;serif" w:hAnsi="Times New Roman;serif"/>
          <w:b w:val="false"/>
          <w:sz w:val="22"/>
        </w:rPr>
        <w:t>electronic communication, if arrangements for doing so have been approved by the recipient) to the applicable Issuing Bank and the Administrative Agent (at least four (4)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serif" w:hAnsi="Times New Roman;serif"/>
          <w:b w:val="false"/>
          <w:sz w:val="22"/>
        </w:rPr>
        <w:t xml:space="preserve">), the amount and currency of such Letter of Credit, the name and address of the beneficiary thereof and such other information as shall be necessary to prepare, amend, renew or extend, as the case may be, such Letter of Credit. Each such notice shall be in the form of </w:t>
      </w:r>
      <w:r>
        <w:rPr>
          <w:rFonts w:ascii="Times New Roman;serif" w:hAnsi="Times New Roman;serif"/>
          <w:b w:val="false"/>
          <w:sz w:val="22"/>
          <w:u w:val="single"/>
        </w:rPr>
        <w:t>Exhibit U</w:t>
      </w:r>
      <w:r>
        <w:rPr>
          <w:rFonts w:ascii="Times New Roman;serif" w:hAnsi="Times New Roman;serif"/>
          <w:b w:val="false"/>
          <w:sz w:val="22"/>
        </w:rPr>
        <w:t>, appropriately completed (each, a “</w:t>
      </w:r>
      <w:r>
        <w:rPr>
          <w:rFonts w:ascii="Times New Roman;serif" w:hAnsi="Times New Roman;serif"/>
          <w:b w:val="false"/>
          <w:sz w:val="22"/>
          <w:u w:val="single"/>
        </w:rPr>
        <w:t>Letter of Credit Request</w:t>
      </w:r>
      <w:r>
        <w:rPr>
          <w:rFonts w:ascii="Times New Roman" w:hAnsi="Times New Roman"/>
          <w:sz w:val="20"/>
        </w:rPr>
        <w:t>”</w:t>
      </w:r>
      <w:r>
        <w:rPr>
          <w:rFonts w:ascii="Times New Roman;serif" w:hAnsi="Times New Roman;serif"/>
          <w:b w:val="false"/>
          <w:sz w:val="22"/>
        </w:rPr>
        <w:t xml:space="preserve">). If requested by the applicable Issuing Bank, the applicable Revolving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applicable Revolving Borrower shall be deemed to represent and warrant that), after giving effect to such issuance, amendment, renewal or extension, </w:t>
      </w:r>
      <w:bookmarkStart w:id="658" w:name="docxtextref935"/>
      <w:bookmarkEnd w:id="65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aggregate Revolving Exposures shall not exceed the aggregate Revolving Commitments, (ii) the aggregate LC Exposure shall not exceed the Letter of Credit Sublimit, and (iii) unless otherwise agreed by such Issuing Bank in its sole discretion, the Applicable Fronting Exposure of such Issuing Bank (or of such Issuing Bank’s applicable affiliate) shall not exceed the LC Commitment of such Issuing Bank. No Issuing Bank shall be under any obligation to issue any Letter of Credit if </w:t>
      </w:r>
      <w:bookmarkStart w:id="659" w:name="docxtextref936"/>
      <w:bookmarkEnd w:id="659"/>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such Letter of Credit is to be denominated in a currency other than dollars or an Alternative Currency, (iv) except as otherwise agreed by the Administrative Agent and such Issuing Bank, the Letter of Credit is in an initial stated amount less than $100,000, in the case of a commercial Letter of Credit, or $500,000, in the case of a standby Letter of Credit, or </w:t>
      </w:r>
      <w:bookmarkStart w:id="660" w:name="docxtextref937"/>
      <w:bookmarkEnd w:id="660"/>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with respect to Letters of Credit, any Lender is at that time a Defaulting Lender, if after giving effect to </w:t>
      </w:r>
      <w:r>
        <w:rPr>
          <w:rFonts w:ascii="Times New Roman;serif" w:hAnsi="Times New Roman;serif"/>
          <w:b w:val="false"/>
          <w:sz w:val="22"/>
          <w:u w:val="single"/>
        </w:rPr>
        <w:t>Section 2.21(a)(iv)</w:t>
      </w:r>
      <w:r>
        <w:rPr>
          <w:rFonts w:ascii="Times New Roman;serif" w:hAnsi="Times New Roman;serif"/>
          <w:b w:val="false"/>
          <w:sz w:val="22"/>
        </w:rPr>
        <w:t xml:space="preserve">, any Defaulting Lender Fronting Exposure remains outstanding, unless such Issuing Bank has entered into arrangements, including the delivery of cash collateral, reasonably satisfactory to such Issuing Bank with the applicable Revolving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w:t>
      </w:r>
      <w:bookmarkStart w:id="661" w:name="docxtextref938"/>
      <w:bookmarkEnd w:id="66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to amend or extend any Letter of Credit if </w:t>
      </w:r>
      <w:bookmarkStart w:id="662" w:name="docxtextref939"/>
      <w:bookmarkEnd w:id="66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such Issuing Bank would have no obligation at such time to issue such Letter of Credit in its amended form under the terms hereof or </w:t>
      </w:r>
      <w:bookmarkStart w:id="663" w:name="docxtextref940"/>
      <w:bookmarkEnd w:id="66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Notwithstanding anything to the contrary herein, Barclays and UBS AG, Stamford Branch and their respective Affiliates shall not be under any obligation to issue bank guarantees or commercial Letters of Credit without their prior written consent. The Existing Letters of Credit shall, as of the Effective Date, be deemed to have been issued as Letters of Credit hereunder and subject to and governed by the terms of this Agreement.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64" w:name="docxtextref942"/>
      <w:bookmarkEnd w:id="664"/>
      <w:r>
        <w:rPr>
          <w:rFonts w:ascii="Times New Roman;serif" w:hAnsi="Times New Roman;serif"/>
          <w:b w:val="false"/>
          <w:sz w:val="22"/>
        </w:rPr>
        <w:t xml:space="preserve">(c) </w:t>
      </w:r>
      <w:r>
        <w:rPr>
          <w:rFonts w:ascii="Times New Roman;serif" w:hAnsi="Times New Roman;serif"/>
          <w:b w:val="false"/>
          <w:sz w:val="22"/>
          <w:u w:val="single"/>
        </w:rPr>
        <w:t>Notice</w:t>
      </w:r>
      <w:r>
        <w:rPr>
          <w:rFonts w:ascii="Times New Roman;serif" w:hAnsi="Times New Roman;serif"/>
          <w:b w:val="false"/>
          <w:sz w:val="22"/>
        </w:rPr>
        <w:t>. Each Issuing Bank agrees that it shall not permit any issuance, amendment, renewal or extension of a Letter of Credit to occur unless it shall have given to the Administrative Agent written notice thereof required under paragraph (m)</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65" w:name="docxtextref943"/>
      <w:bookmarkEnd w:id="665"/>
      <w:r>
        <w:rPr>
          <w:rFonts w:ascii="Times New Roman;serif" w:hAnsi="Times New Roman;serif"/>
          <w:b w:val="false"/>
          <w:sz w:val="22"/>
        </w:rPr>
        <w:t xml:space="preserve">(d) </w:t>
      </w:r>
      <w:r>
        <w:rPr>
          <w:rFonts w:ascii="Times New Roman;serif" w:hAnsi="Times New Roman;serif"/>
          <w:b w:val="false"/>
          <w:sz w:val="22"/>
          <w:u w:val="single"/>
        </w:rPr>
        <w:t>Expiration Date</w:t>
      </w:r>
      <w:r>
        <w:rPr>
          <w:rFonts w:ascii="Times New Roman;serif" w:hAnsi="Times New Roman;serif"/>
          <w:b w:val="false"/>
          <w:sz w:val="22"/>
        </w:rPr>
        <w:t>. Each Letter of Credit shall expire at or prior to the close of business on the earlier of (i)</w:t>
      </w:r>
      <w:r>
        <w:rPr>
          <w:rFonts w:ascii="Times New Roman" w:hAnsi="Times New Roman"/>
          <w:sz w:val="20"/>
        </w:rPr>
        <w:t xml:space="preserve"> </w:t>
      </w:r>
      <w:r>
        <w:rPr>
          <w:rFonts w:ascii="Times New Roman;serif" w:hAnsi="Times New Roman;serif"/>
          <w:b w:val="false"/>
          <w:sz w:val="22"/>
        </w:rPr>
        <w:t xml:space="preserve">the date that is one year after the date of the issuance of such Letter of Credit (or, in the case of any extension thereof, the date to which it has been extended (not in excess of one year from the last applicable expiry date)) and (ii) the date that is the fifth (5th) Business Day prior to the Revolving Maturity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such expiry date is not a Business Day, such Letter of Credit shall expire at or prior to the close of business on the next succeeding Business Day;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any Letter of Credit may, upon the request of a Revolving Borrower, include a provision whereby such Letter of Credit shall be renewed or extended automatically for additional consecutive periods of one year or less (but not beyond the date that is the fifth (5</w:t>
      </w:r>
      <w:r>
        <w:rPr>
          <w:rFonts w:ascii="Times New Roman;serif" w:hAnsi="Times New Roman;serif"/>
          <w:b w:val="false"/>
          <w:sz w:val="15"/>
        </w:rPr>
        <w:t>th</w:t>
      </w:r>
      <w:r>
        <w:rPr>
          <w:rFonts w:ascii="Times New Roman;serif" w:hAnsi="Times New Roman;serif"/>
          <w:b w:val="false"/>
          <w:sz w:val="22"/>
        </w:rPr>
        <w:t xml:space="preserve">) Business Day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a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pStyle w:val="TextBody"/>
        <w:bidi w:val="0"/>
        <w:spacing w:before="0" w:after="240"/>
        <w:jc w:val="both"/>
        <w:rPr>
          <w:rFonts w:ascii="Times New Roman" w:hAnsi="Times New Roman"/>
          <w:sz w:val="20"/>
        </w:rPr>
      </w:pPr>
      <w:bookmarkStart w:id="666" w:name="docxtextref945"/>
      <w:bookmarkEnd w:id="666"/>
      <w:r>
        <w:rPr>
          <w:rFonts w:ascii="Times New Roman;serif" w:hAnsi="Times New Roman;serif"/>
          <w:b w:val="false"/>
          <w:sz w:val="22"/>
        </w:rPr>
        <w:t xml:space="preserve">(e) </w:t>
      </w:r>
      <w:r>
        <w:rPr>
          <w:rFonts w:ascii="Times New Roman;serif" w:hAnsi="Times New Roman;serif"/>
          <w:b w:val="false"/>
          <w:sz w:val="22"/>
          <w:u w:val="single"/>
        </w:rPr>
        <w:t>Participations in Letters of Credit</w:t>
      </w:r>
      <w:r>
        <w:rPr>
          <w:rFonts w:ascii="Times New Roman;serif" w:hAnsi="Times New Roman;serif"/>
          <w:b w:val="false"/>
          <w:sz w:val="22"/>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Revolving Borrowers on the date due as provided in paragraph (f)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serif" w:hAnsi="Times New Roman;serif"/>
          <w:b w:val="false"/>
          <w:sz w:val="22"/>
        </w:rPr>
        <w:t>, or of any reimbursement payment required to be refunded to the Revolving Borrowers for any reason.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pStyle w:val="TextBody"/>
        <w:bidi w:val="0"/>
        <w:spacing w:before="0" w:after="240"/>
        <w:jc w:val="both"/>
        <w:rPr>
          <w:rFonts w:ascii="Times New Roman" w:hAnsi="Times New Roman"/>
          <w:sz w:val="20"/>
        </w:rPr>
      </w:pPr>
      <w:bookmarkStart w:id="667" w:name="docxtextref949"/>
      <w:bookmarkEnd w:id="667"/>
      <w:r>
        <w:rPr>
          <w:rFonts w:ascii="Times New Roman;serif" w:hAnsi="Times New Roman;serif"/>
          <w:b w:val="false"/>
          <w:sz w:val="22"/>
        </w:rPr>
        <w:t xml:space="preserve">(f) </w:t>
      </w:r>
      <w:r>
        <w:rPr>
          <w:rFonts w:ascii="Times New Roman;serif" w:hAnsi="Times New Roman;serif"/>
          <w:b w:val="false"/>
          <w:sz w:val="22"/>
          <w:u w:val="single"/>
        </w:rPr>
        <w:t>Reimbursement of LC Disbursements</w:t>
      </w:r>
      <w:r>
        <w:rPr>
          <w:rFonts w:ascii="Times New Roman;serif" w:hAnsi="Times New Roman;serif"/>
          <w:b w:val="false"/>
          <w:sz w:val="22"/>
        </w:rPr>
        <w:t>. If an Issuing Bank shall make any LC Disbursement in respect of a Letter of Credit, the Revolving Borrowers shall reimburse such LC Disbursement by paying to the Administrative Agent an amount (in same day funds) equal to such LC Disbursement not later than 1:00 p.m., New York City time, on the Business Day immediately following the day that the applicable Revolving Borrower receives notice of such LC Disbursement (the “</w:t>
      </w:r>
      <w:r>
        <w:rPr>
          <w:rFonts w:ascii="Times New Roman;serif" w:hAnsi="Times New Roman;serif"/>
          <w:b w:val="false"/>
          <w:sz w:val="22"/>
          <w:u w:val="single"/>
        </w:rPr>
        <w:t>LC Reimbursement Date</w:t>
      </w:r>
      <w:r>
        <w:rPr>
          <w:rFonts w:ascii="Times New Roman" w:hAnsi="Times New Roman"/>
          <w:sz w:val="20"/>
        </w:rPr>
        <w:t>”</w:t>
      </w:r>
      <w:r>
        <w:rPr>
          <w:rFonts w:ascii="Times New Roman;serif" w:hAnsi="Times New Roman;serif"/>
          <w:b w:val="false"/>
          <w:sz w:val="22"/>
        </w:rPr>
        <w:t xml:space="preserve">), together with accrued interest or fees thereon in accordance with clause (i) of this </w:t>
      </w:r>
      <w:r>
        <w:rPr>
          <w:rFonts w:ascii="Times New Roman;serif" w:hAnsi="Times New Roman;serif"/>
          <w:b w:val="false"/>
          <w:sz w:val="22"/>
          <w:u w:val="single"/>
        </w:rPr>
        <w:t>Section 2.04</w:t>
      </w:r>
      <w:r>
        <w:rPr>
          <w:rFonts w:ascii="Times New Roman;serif" w:hAnsi="Times New Roman;serif"/>
          <w:b w:val="false"/>
          <w:sz w:val="22"/>
        </w:rPr>
        <w:t>. Each reimbursement of an LC Disbursement shall be denominated in the currency in which such LC Disbursement was made. Anything contained herein to the contrary notwithstanding, (i)</w:t>
      </w:r>
      <w:r>
        <w:rPr>
          <w:rFonts w:ascii="Times New Roman" w:hAnsi="Times New Roman"/>
          <w:sz w:val="20"/>
        </w:rPr>
        <w:t xml:space="preserve"> </w:t>
      </w:r>
      <w:r>
        <w:rPr>
          <w:rFonts w:ascii="Times New Roman;serif" w:hAnsi="Times New Roman;serif"/>
          <w:b w:val="false"/>
          <w:sz w:val="22"/>
        </w:rPr>
        <w:t xml:space="preserve">unless the Revolving Borrowers shall have notified the Administrative Agent and the applicable Issuing Bank prior to </w:t>
      </w:r>
      <w:bookmarkStart w:id="668" w:name="docxtextref950"/>
      <w:bookmarkEnd w:id="668"/>
      <w:r>
        <w:rPr>
          <w:rFonts w:ascii="Times New Roman;serif" w:hAnsi="Times New Roman;serif"/>
          <w:b w:val="false"/>
          <w:sz w:val="22"/>
        </w:rPr>
        <w:t>1:00 p.m., New York City time, on the date such LC Disbursement is made that the applicable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69" w:name="docxtextref948"/>
      <w:bookmarkEnd w:id="669"/>
      <w:r>
        <w:rPr>
          <w:rFonts w:ascii="Times New Roman;serif" w:hAnsi="Times New Roman;serif"/>
          <w:b w:val="false"/>
          <w:sz w:val="22"/>
        </w:rPr>
        <w:t xml:space="preserve">Revolving Borrower intends to reimburse the applicable Issuing Bank for the amount of the LC Disbursement (including any accrued interest or fees thereon) with funds other than the proceeds of Revolving Loans, the applicable Revolving Borrower shall be deemed to have given a timely Borrowing Request to the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w:t>
      </w:r>
      <w:r>
        <w:rPr>
          <w:rFonts w:ascii="Times New Roman;serif" w:hAnsi="Times New Roman;serif"/>
          <w:b w:val="false"/>
          <w:sz w:val="22"/>
          <w:u w:val="single"/>
        </w:rPr>
        <w:t>Section 4.02</w:t>
      </w:r>
      <w:r>
        <w:rPr>
          <w:rFonts w:ascii="Times New Roman;serif" w:hAnsi="Times New Roman;serif"/>
          <w:b w:val="false"/>
          <w:sz w:val="22"/>
        </w:rPr>
        <w:t xml:space="preserve">,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 the amount of such LC Disbursement (together with any accrued interest or fees thereon);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for any reason proceeds of Revolving Loans are not received by the applicable Issuing Bank on the LC Reimbursement Date in an amount equal to such LC Disbursement (together with any accrued interest or fees thereon), the Revolving Borrowers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w:t>
      </w:r>
      <w:r>
        <w:rPr>
          <w:rFonts w:ascii="Times New Roman" w:hAnsi="Times New Roman"/>
          <w:sz w:val="20"/>
        </w:rPr>
        <w:t xml:space="preserve"> </w:t>
      </w:r>
      <w:r>
        <w:rPr>
          <w:rFonts w:ascii="Times New Roman;serif" w:hAnsi="Times New Roman;serif"/>
          <w:b w:val="false"/>
          <w:sz w:val="22"/>
        </w:rPr>
        <w:t>shall be made without regard to the Borrowing Minimum.</w:t>
      </w:r>
    </w:p>
    <w:p>
      <w:pPr>
        <w:pStyle w:val="TextBody"/>
        <w:bidi w:val="0"/>
        <w:spacing w:before="0" w:after="240"/>
        <w:jc w:val="both"/>
        <w:rPr>
          <w:rFonts w:ascii="Times New Roman" w:hAnsi="Times New Roman"/>
          <w:sz w:val="20"/>
        </w:rPr>
      </w:pPr>
      <w:bookmarkStart w:id="670" w:name="docxtextref953"/>
      <w:bookmarkEnd w:id="670"/>
      <w:r>
        <w:rPr>
          <w:rFonts w:ascii="Times New Roman;serif" w:hAnsi="Times New Roman;serif"/>
          <w:b w:val="false"/>
          <w:sz w:val="22"/>
        </w:rPr>
        <w:t xml:space="preserve">(g) </w:t>
      </w:r>
      <w:r>
        <w:rPr>
          <w:rFonts w:ascii="Times New Roman;serif" w:hAnsi="Times New Roman;serif"/>
          <w:b w:val="false"/>
          <w:sz w:val="22"/>
          <w:u w:val="single"/>
        </w:rPr>
        <w:t>Obligations Absolute</w:t>
      </w:r>
      <w:r>
        <w:rPr>
          <w:rFonts w:ascii="Times New Roman;serif" w:hAnsi="Times New Roman;serif"/>
          <w:b w:val="false"/>
          <w:sz w:val="22"/>
        </w:rPr>
        <w:t>. The Revolving Borrowers’ obligation to reimburse LC Disbursements as provided in paragraph (f)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 w:hAnsi="Times New Roman"/>
          <w:sz w:val="20"/>
        </w:rPr>
        <w:t xml:space="preserve"> </w:t>
      </w:r>
      <w:r>
        <w:rPr>
          <w:rFonts w:ascii="Times New Roman;serif" w:hAnsi="Times New Roman;serif"/>
          <w:b w:val="false"/>
          <w:sz w:val="22"/>
        </w:rPr>
        <w:t xml:space="preserve">is absolute, unconditional and irrevocable, and shall be performed strictly in accordance with the terms of this Agreement under any and all circumstances whatsoever and irrespective of </w:t>
      </w:r>
      <w:bookmarkStart w:id="671" w:name="docxtextref954"/>
      <w:bookmarkEnd w:id="67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Revolving Borrowers or any Lender may have at any time against a beneficiary or any transferee of any Letter of Credit (or any Persons for whom any such transferee may be acting), any Issuing Bank, any Lender or any other Person or, in the case of a Lender, against the Revolving Borrowers, whether in connection herewith, the transactions contemplated herein or any unrelated transaction (including any underlying transaction between Bidco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w:t>
      </w:r>
      <w:bookmarkStart w:id="672" w:name="docxtextref955"/>
      <w:bookmarkEnd w:id="672"/>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payment by an Issuing Bank under a Letter of Credit against presentation of a draft or other document that does not comply strictly with the terms of such Letter of Credit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Revolving Borrowers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Times New Roman;serif" w:hAnsi="Times New Roman;serif"/>
          <w:b w:val="false"/>
          <w:sz w:val="22"/>
          <w:u w:val="single"/>
        </w:rPr>
        <w:t>Section 2.04</w:t>
      </w:r>
      <w:r>
        <w:rPr>
          <w:rFonts w:ascii="Times New Roman;serif" w:hAnsi="Times New Roman;serif"/>
          <w:b w:val="false"/>
          <w:sz w:val="22"/>
        </w:rPr>
        <w:t xml:space="preserve">, constitute a legal or equitable discharge of, or provide a right of setoff against, the Revolving Borrowers’ obligations hereunder. As between the Revolving Borrowers and any Issuing Bank, the Revolving Borrowers assume all risks of the acts and omissions of, or misuse of the Letters of Credit issued by such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w:t>
      </w:r>
      <w:bookmarkStart w:id="673" w:name="docxtextref956"/>
      <w:bookmarkEnd w:id="67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74" w:name="docxtextref957"/>
      <w:bookmarkEnd w:id="674"/>
      <w:r>
        <w:rPr>
          <w:rFonts w:ascii="Times New Roman;serif" w:hAnsi="Times New Roman;serif"/>
          <w:b w:val="false"/>
          <w:sz w:val="22"/>
        </w:rPr>
        <w:t>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w:t>
      </w:r>
      <w:r>
        <w:rPr>
          <w:rFonts w:ascii="Times New Roman" w:hAnsi="Times New Roman"/>
          <w:sz w:val="20"/>
        </w:rPr>
        <w:t xml:space="preserve"> </w:t>
      </w:r>
      <w:r>
        <w:rPr>
          <w:rFonts w:ascii="Times New Roman;serif" w:hAnsi="Times New Roman;serif"/>
          <w:b w:val="false"/>
          <w:sz w:val="22"/>
        </w:rPr>
        <w:t>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Revolving Borrowers or any other Person. Notwithstanding the foregoing, none of the above shall be construed to excuse any Issuing Bank from liability to the Revolving Borrowers to the extent of any direct damages (as opposed to special, indirect, consequential, incidental, exemplary or punitive damages, claims in respect of which are hereby waived by the Revolving Borrowers to the extent permitted by Requirements of Law) suffered by the Revolving Borrowers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pStyle w:val="TextBody"/>
        <w:bidi w:val="0"/>
        <w:spacing w:before="0" w:after="240"/>
        <w:jc w:val="both"/>
        <w:rPr>
          <w:rFonts w:ascii="Times New Roman" w:hAnsi="Times New Roman"/>
          <w:sz w:val="20"/>
        </w:rPr>
      </w:pPr>
      <w:bookmarkStart w:id="675" w:name="docxtextref959"/>
      <w:bookmarkEnd w:id="675"/>
      <w:r>
        <w:rPr>
          <w:rFonts w:ascii="Times New Roman;serif" w:hAnsi="Times New Roman;serif"/>
          <w:b w:val="false"/>
          <w:sz w:val="22"/>
        </w:rPr>
        <w:t xml:space="preserve">(h) </w:t>
      </w:r>
      <w:r>
        <w:rPr>
          <w:rFonts w:ascii="Times New Roman;serif" w:hAnsi="Times New Roman;serif"/>
          <w:b w:val="false"/>
          <w:sz w:val="22"/>
          <w:u w:val="single"/>
        </w:rPr>
        <w:t>Disbursement Procedures</w:t>
      </w:r>
      <w:r>
        <w:rPr>
          <w:rFonts w:ascii="Times New Roman;serif" w:hAnsi="Times New Roman;serif"/>
          <w:b w:val="false"/>
          <w:sz w:val="22"/>
        </w:rPr>
        <w:t xml:space="preserve">. Each Issuing Bank shall, promptly following its receipt thereof, examine all documents purporting to represent a demand for payment under a Letter of Credit. Each Issuing Bank shall promptly notify the Administrative Agent and the Revolving Borrowers by hand delivery or facsimile of such demand for payment and whether such Issuing Bank has made or will make an LC Disbursement thereunder;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failure to give or delay in giving such notice shall not relieve the Revolving Borrowers of their obligations to reimburse such Issuing Bank and the Revolving Lenders with respect to any such LC Disbursement in accordance with paragraph (f)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76" w:name="docxtextref963"/>
      <w:bookmarkEnd w:id="676"/>
      <w:r>
        <w:rPr>
          <w:rFonts w:ascii="Times New Roman;serif" w:hAnsi="Times New Roman;serif"/>
          <w:b w:val="false"/>
          <w:sz w:val="22"/>
        </w:rPr>
        <w:t xml:space="preserve">(i) </w:t>
      </w:r>
      <w:r>
        <w:rPr>
          <w:rFonts w:ascii="Times New Roman;serif" w:hAnsi="Times New Roman;serif"/>
          <w:b w:val="false"/>
          <w:sz w:val="22"/>
          <w:u w:val="single"/>
        </w:rPr>
        <w:t>Interim Interest</w:t>
      </w:r>
      <w:r>
        <w:rPr>
          <w:rFonts w:ascii="Times New Roman;serif" w:hAnsi="Times New Roman;serif"/>
          <w:b w:val="false"/>
          <w:sz w:val="22"/>
        </w:rPr>
        <w:t xml:space="preserve">. If an Issuing Bank shall make any LC Disbursement, then, unless the Revolving Borrowers shall reimburse such LC Disbursement in full on the date such LC Disbursement is made, the unpaid amount thereof shall bear interest, for each day from and including the date such LC Disbursement is made to but excluding the date that the Revolving Borrowers reimburse such LC Disbursement, at the rate per annum then applicable to ABR Revolving Loans or, if such LC Disbursement is not denominated in dollars, at a rate per annum then applicable to Revolving Loans denominated in such currency;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Revolving Borrowers fail to reimburse such LC Disbursement when due pursuant to paragraph (f)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serif" w:hAnsi="Times New Roman;serif"/>
          <w:b w:val="false"/>
          <w:sz w:val="22"/>
        </w:rPr>
        <w:t xml:space="preserve">, then </w:t>
      </w:r>
      <w:r>
        <w:rPr>
          <w:rFonts w:ascii="Times New Roman;serif" w:hAnsi="Times New Roman;serif"/>
          <w:b w:val="false"/>
          <w:sz w:val="22"/>
          <w:u w:val="single"/>
        </w:rPr>
        <w:t>Section 2.12(c)</w:t>
      </w:r>
      <w:r>
        <w:rPr>
          <w:rFonts w:ascii="Times New Roman" w:hAnsi="Times New Roman"/>
          <w:sz w:val="20"/>
        </w:rPr>
        <w:t xml:space="preserve"> </w:t>
      </w:r>
      <w:r>
        <w:rPr>
          <w:rFonts w:ascii="Times New Roman;serif" w:hAnsi="Times New Roman;serif"/>
          <w:b w:val="false"/>
          <w:sz w:val="22"/>
        </w:rPr>
        <w:t xml:space="preserve">shall apply. Interest accrued pursuant to this paragraph shall be paid to the Administrative Agent, for the account of the applicable Issuing Bank, except that interest accrued on and after the date of payment by any Revolving Lender pursuant to paragraph </w:t>
      </w:r>
      <w:bookmarkStart w:id="677" w:name="docxtextref964"/>
      <w:bookmarkEnd w:id="677"/>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 w:hAnsi="Times New Roman"/>
          <w:sz w:val="20"/>
        </w:rPr>
        <w:t xml:space="preserve"> </w:t>
      </w:r>
      <w:r>
        <w:rPr>
          <w:rFonts w:ascii="Times New Roman;serif" w:hAnsi="Times New Roman;serif"/>
          <w:b w:val="false"/>
          <w:sz w:val="22"/>
        </w:rPr>
        <w:t>to reimburse such Issuing Bank shall be for the account of such Lender to the extent of such payment and shall be payable on demand or, if no demand has been made, on the date on which the Revolving Borrowers reimburse the applicable LC Disbursement in full.</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78" w:name="docxtextref973"/>
      <w:bookmarkEnd w:id="678"/>
      <w:r>
        <w:rPr>
          <w:rFonts w:ascii="Times New Roman;serif" w:hAnsi="Times New Roman;serif"/>
          <w:b w:val="false"/>
          <w:sz w:val="22"/>
        </w:rPr>
        <w:t xml:space="preserve">(j) </w:t>
      </w:r>
      <w:r>
        <w:rPr>
          <w:rFonts w:ascii="Times New Roman;serif" w:hAnsi="Times New Roman;serif"/>
          <w:b w:val="false"/>
          <w:sz w:val="22"/>
          <w:u w:val="single"/>
        </w:rPr>
        <w:t>Cash Collateralization of Letters of Credit</w:t>
      </w:r>
      <w:r>
        <w:rPr>
          <w:rFonts w:ascii="Times New Roman;serif" w:hAnsi="Times New Roman;serif"/>
          <w:b w:val="false"/>
          <w:sz w:val="22"/>
        </w:rPr>
        <w:t>. If (i)</w:t>
      </w:r>
      <w:r>
        <w:rPr>
          <w:rFonts w:ascii="Times New Roman" w:hAnsi="Times New Roman"/>
          <w:sz w:val="20"/>
        </w:rPr>
        <w:t xml:space="preserve"> </w:t>
      </w:r>
      <w:r>
        <w:rPr>
          <w:rFonts w:ascii="Times New Roman;serif" w:hAnsi="Times New Roman;serif"/>
          <w:b w:val="false"/>
          <w:sz w:val="22"/>
        </w:rPr>
        <w:t xml:space="preserve">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w:t>
      </w:r>
      <w:bookmarkStart w:id="679" w:name="docxtextref971"/>
      <w:bookmarkEnd w:id="679"/>
      <w:r>
        <w:rPr>
          <w:rFonts w:ascii="Times New Roman;serif" w:hAnsi="Times New Roman;serif"/>
          <w:b w:val="false"/>
          <w:sz w:val="22"/>
        </w:rPr>
        <w:t>(h)</w:t>
      </w:r>
      <w:r>
        <w:rPr>
          <w:rFonts w:ascii="Times New Roman" w:hAnsi="Times New Roman"/>
          <w:sz w:val="20"/>
        </w:rPr>
        <w:t xml:space="preserve"> </w:t>
      </w:r>
      <w:r>
        <w:rPr>
          <w:rFonts w:ascii="Times New Roman;serif" w:hAnsi="Times New Roman;serif"/>
          <w:b w:val="false"/>
          <w:sz w:val="22"/>
        </w:rPr>
        <w:t xml:space="preserve">or </w:t>
      </w:r>
      <w:bookmarkStart w:id="680" w:name="docxtextref974"/>
      <w:bookmarkEnd w:id="680"/>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of </w:t>
      </w:r>
      <w:r>
        <w:rPr>
          <w:rFonts w:ascii="Times New Roman;serif" w:hAnsi="Times New Roman;serif"/>
          <w:b w:val="false"/>
          <w:sz w:val="22"/>
          <w:u w:val="single"/>
        </w:rPr>
        <w:t>Section 7.01</w:t>
      </w:r>
      <w:r>
        <w:rPr>
          <w:rFonts w:ascii="Times New Roman;serif" w:hAnsi="Times New Roman;serif"/>
          <w:b w:val="false"/>
          <w:sz w:val="22"/>
        </w:rPr>
        <w:t xml:space="preserve">, or (iii) any Event of Default under paragraph </w:t>
      </w:r>
      <w:bookmarkStart w:id="681" w:name="docxtextref972"/>
      <w:bookmarkEnd w:id="681"/>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or </w:t>
      </w:r>
      <w:bookmarkStart w:id="682" w:name="docxtextref975"/>
      <w:bookmarkEnd w:id="68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of </w:t>
      </w:r>
      <w:r>
        <w:rPr>
          <w:rFonts w:ascii="Times New Roman;serif" w:hAnsi="Times New Roman;serif"/>
          <w:b w:val="false"/>
          <w:sz w:val="22"/>
          <w:u w:val="single"/>
        </w:rPr>
        <w:t>Section 7.01</w:t>
      </w:r>
      <w:r>
        <w:rPr>
          <w:rFonts w:ascii="Times New Roman" w:hAnsi="Times New Roman"/>
          <w:sz w:val="20"/>
        </w:rPr>
        <w:t xml:space="preserve"> </w:t>
      </w:r>
      <w:r>
        <w:rPr>
          <w:rFonts w:ascii="Times New Roman;serif" w:hAnsi="Times New Roman;serif"/>
          <w:b w:val="false"/>
          <w:sz w:val="22"/>
        </w:rPr>
        <w:t xml:space="preserve">shall occur and be continuing, on the Business Day on which the Revolving Borrowers receive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Revolving Borrowers shall deposit in an account with a depositary bank that is a Lender reasonably satisfactory to the Collateral Agent, in the name of the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equal to the portions of the LC Exposure attributable to Letters of Credit, as of such date plus any accrued and unpaid interest thereon. The Revolving Borrowers also shall deposit cash collateral pursuant to this paragraph as and to the extent required by </w:t>
      </w:r>
      <w:r>
        <w:rPr>
          <w:rFonts w:ascii="Times New Roman;serif" w:hAnsi="Times New Roman;serif"/>
          <w:b w:val="false"/>
          <w:sz w:val="22"/>
          <w:u w:val="single"/>
        </w:rPr>
        <w:t>Section 2.10(b)</w:t>
      </w:r>
      <w:r>
        <w:rPr>
          <w:rFonts w:ascii="Times New Roman;serif" w:hAnsi="Times New Roman;serif"/>
          <w:b w:val="false"/>
          <w:sz w:val="22"/>
        </w:rPr>
        <w:t xml:space="preserve">. Each such deposit shall be held by the Administrative Agent as collateral for the payment and performance of the obligations of the Revolving Borrowers under this Agreement and the other Loan Documents. At any time that there shall exist a Defaulting Lender, if any Defaulting Lender Fronting Exposure remains outstanding (after giving effect to </w:t>
      </w:r>
      <w:r>
        <w:rPr>
          <w:rFonts w:ascii="Times New Roman;serif" w:hAnsi="Times New Roman;serif"/>
          <w:b w:val="false"/>
          <w:sz w:val="22"/>
          <w:u w:val="single"/>
        </w:rPr>
        <w:t>Section 2.21(a)(iv)</w:t>
      </w:r>
      <w:r>
        <w:rPr>
          <w:rFonts w:ascii="Times New Roman;serif" w:hAnsi="Times New Roman;serif"/>
          <w:b w:val="false"/>
          <w:sz w:val="22"/>
        </w:rPr>
        <w:t xml:space="preserve">), then promptly upon the request of the Administrative Agent or the Issuing Bank or the Swingline Lender, the Revolving Borrowers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Revolving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first to reimburse the Issuing Banks for LC Disbursements for which they have not been reimbursed and, to the extent not so applied, the balance shall be held for the satisfaction of the reimbursement obligations of the Revolving Borrowers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Revolving Borrowers under this Agreement. If the Revolving Borrowers are required to provide an amount of cash collateral hereunder as a result of the occurrence of an Event of Default or the existence of a Defaulting Lender, such amount (to the extent not applied as aforesaid) shall be returned to the Revolving Borrowers within three Business Days of request for such return after all Events of Default have been cured or waived or after the termination of Defaulting Lender status, as applicable. If the Revolving Borrowers are required to provide an amount of cash collateral hereunder pursuant to </w:t>
      </w:r>
      <w:r>
        <w:rPr>
          <w:rFonts w:ascii="Times New Roman;serif" w:hAnsi="Times New Roman;serif"/>
          <w:b w:val="false"/>
          <w:sz w:val="22"/>
          <w:u w:val="single"/>
        </w:rPr>
        <w:t>Section 2.10(b)</w:t>
      </w:r>
      <w:r>
        <w:rPr>
          <w:rFonts w:ascii="Times New Roman;serif" w:hAnsi="Times New Roman;serif"/>
          <w:b w:val="false"/>
          <w:sz w:val="22"/>
        </w:rPr>
        <w:t xml:space="preserve">, such amount (to the extent not applied as aforesaid) shall be returned to the Revolving Borrowers as and to the extent that, after giving effect to such return, the Revolving Borrowers would remain in compliance with </w:t>
      </w:r>
      <w:r>
        <w:rPr>
          <w:rFonts w:ascii="Times New Roman;serif" w:hAnsi="Times New Roman;serif"/>
          <w:b w:val="false"/>
          <w:sz w:val="22"/>
          <w:u w:val="single"/>
        </w:rPr>
        <w:t>Section 2.10(b)</w:t>
      </w:r>
      <w:r>
        <w:rPr>
          <w:rFonts w:ascii="Times New Roman" w:hAnsi="Times New Roman"/>
          <w:sz w:val="20"/>
        </w:rPr>
        <w:t xml:space="preserve"> </w:t>
      </w:r>
      <w:r>
        <w:rPr>
          <w:rFonts w:ascii="Times New Roman;serif" w:hAnsi="Times New Roman;serif"/>
          <w:b w:val="false"/>
          <w:sz w:val="22"/>
        </w:rPr>
        <w:t>and no Event of Default shall have occurred and be continuing.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(k) </w:t>
      </w:r>
      <w:r>
        <w:rPr>
          <w:rFonts w:ascii="Times New Roman;serif" w:hAnsi="Times New Roman;serif"/>
          <w:b w:val="false"/>
          <w:sz w:val="22"/>
          <w:u w:val="single"/>
        </w:rPr>
        <w:t>Designation of Additional Issuing Banks</w:t>
      </w:r>
      <w:r>
        <w:rPr>
          <w:rFonts w:ascii="Times New Roman;serif" w:hAnsi="Times New Roman;serif"/>
          <w:b w:val="false"/>
          <w:sz w:val="22"/>
        </w:rPr>
        <w:t>. Bidco and the Revolving Borrowers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Bidco and the Revolving Borrowers, executed by the Revolving Borrowers, the Administrative Agent and such designated Revolving Lender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83" w:name="docxtextref976"/>
      <w:bookmarkEnd w:id="683"/>
      <w:r>
        <w:rPr>
          <w:rFonts w:ascii="Times New Roman;serif" w:hAnsi="Times New Roman;serif"/>
          <w:b w:val="false"/>
          <w:sz w:val="22"/>
        </w:rPr>
        <w:t>and, from and after the effective date of such agreement, (i)</w:t>
      </w:r>
      <w:r>
        <w:rPr>
          <w:rFonts w:ascii="Times New Roman" w:hAnsi="Times New Roman"/>
          <w:sz w:val="20"/>
        </w:rPr>
        <w:t xml:space="preserve"> </w:t>
      </w:r>
      <w:r>
        <w:rPr>
          <w:rFonts w:ascii="Times New Roman;serif" w:hAnsi="Times New Roman;serif"/>
          <w:b w:val="false"/>
          <w:sz w:val="22"/>
        </w:rPr>
        <w:t>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pStyle w:val="TextBody"/>
        <w:bidi w:val="0"/>
        <w:spacing w:before="0" w:after="240"/>
        <w:jc w:val="both"/>
        <w:rPr>
          <w:rFonts w:ascii="Times New Roman" w:hAnsi="Times New Roman"/>
          <w:sz w:val="20"/>
        </w:rPr>
      </w:pPr>
      <w:bookmarkStart w:id="684" w:name="docxtextref978"/>
      <w:bookmarkEnd w:id="684"/>
      <w:r>
        <w:rPr>
          <w:rFonts w:ascii="Times New Roman;serif" w:hAnsi="Times New Roman;serif"/>
          <w:b w:val="false"/>
          <w:sz w:val="22"/>
        </w:rPr>
        <w:t xml:space="preserve">(l) </w:t>
      </w:r>
      <w:r>
        <w:rPr>
          <w:rFonts w:ascii="Times New Roman;serif" w:hAnsi="Times New Roman;serif"/>
          <w:b w:val="false"/>
          <w:sz w:val="22"/>
          <w:u w:val="single"/>
        </w:rPr>
        <w:t>Resignation or Termination of an Issuing Bank</w:t>
      </w:r>
      <w:r>
        <w:rPr>
          <w:rFonts w:ascii="Times New Roman;serif" w:hAnsi="Times New Roman;serif"/>
          <w:b w:val="false"/>
          <w:sz w:val="22"/>
        </w:rPr>
        <w:t>. Subject to the appointment and acceptance of a successor Issuing Bank reasonably acceptable to Bidco, any Issuing Bank may resign at any time by giving thirty (30) days’ written notice to the Administrative Agent, the Lenders, Bidco and the Revolving Borrowers. Bidco and the Revolving Borrowers may terminate the appointment of any Issuing Bank as an “Issuing Bank” hereunder by providing a written notice thereof to such Issuing Bank, with a copy to the Administrative Agent. Any such termination shall become effective upon the earlier of (i)</w:t>
      </w:r>
      <w:r>
        <w:rPr>
          <w:rFonts w:ascii="Times New Roman" w:hAnsi="Times New Roman"/>
          <w:sz w:val="20"/>
        </w:rPr>
        <w:t xml:space="preserve"> </w:t>
      </w:r>
      <w:r>
        <w:rPr>
          <w:rFonts w:ascii="Times New Roman;serif" w:hAnsi="Times New Roman;serif"/>
          <w:b w:val="false"/>
          <w:sz w:val="22"/>
        </w:rPr>
        <w:t xml:space="preserve">such Issuing Bank’s acknowledging receipt of such notice and (ii) the fifth Business Day following the date of the delivery thereof;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such termination shall become effective until and unless the LC Exposure attributable to all Letters of Credit issued by such Issuing Bank (or its Affiliates) shall have been reduced to zero. At the time any such resignation or termination shall become effective, the Revolving Borrowers shall pay all unpaid fees accrued for the account of the resigning or terminated Issuing Bank pursuant to </w:t>
      </w:r>
      <w:r>
        <w:rPr>
          <w:rFonts w:ascii="Times New Roman;serif" w:hAnsi="Times New Roman;serif"/>
          <w:b w:val="false"/>
          <w:sz w:val="22"/>
          <w:u w:val="single"/>
        </w:rPr>
        <w:t>Section 2.11(b)</w:t>
      </w:r>
      <w:r>
        <w:rPr>
          <w:rFonts w:ascii="Times New Roman;serif" w:hAnsi="Times New Roman;serif"/>
          <w:b w:val="false"/>
          <w:sz w:val="22"/>
        </w:rPr>
        <w:t xml:space="preserve">.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w:t>
      </w:r>
      <w:bookmarkStart w:id="685" w:name="docxtextref979"/>
      <w:bookmarkEnd w:id="685"/>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be required (and shall be discharged from its obligations) to issue any additional Letters of Credit or extend or increase the amount of Letters of Credit then outstanding, without affecting its rights and obligations with respect to Letters of Credit previously issued by it, or </w:t>
      </w:r>
      <w:bookmarkStart w:id="686" w:name="docxtextref980"/>
      <w:bookmarkEnd w:id="68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be deemed an Issuing Bank for any other purpose.</w:t>
      </w:r>
    </w:p>
    <w:p>
      <w:pPr>
        <w:pStyle w:val="TextBody"/>
        <w:bidi w:val="0"/>
        <w:spacing w:before="0" w:after="240"/>
        <w:jc w:val="both"/>
        <w:rPr>
          <w:rFonts w:ascii="Times New Roman" w:hAnsi="Times New Roman"/>
          <w:sz w:val="20"/>
        </w:rPr>
      </w:pPr>
      <w:bookmarkStart w:id="687" w:name="docxtextref984"/>
      <w:bookmarkEnd w:id="687"/>
      <w:r>
        <w:rPr>
          <w:rFonts w:ascii="Times New Roman;serif" w:hAnsi="Times New Roman;serif"/>
          <w:b w:val="false"/>
          <w:sz w:val="22"/>
        </w:rPr>
        <w:t xml:space="preserve">(m) </w:t>
      </w:r>
      <w:r>
        <w:rPr>
          <w:rFonts w:ascii="Times New Roman;serif" w:hAnsi="Times New Roman;serif"/>
          <w:b w:val="false"/>
          <w:sz w:val="22"/>
          <w:u w:val="single"/>
        </w:rPr>
        <w:t>Issuing Bank Reports to the Administrative Agent</w:t>
      </w:r>
      <w:r>
        <w:rPr>
          <w:rFonts w:ascii="Times New Roman;serif" w:hAnsi="Times New Roman;serif"/>
          <w:b w:val="false"/>
          <w:sz w:val="22"/>
        </w:rPr>
        <w:t xml:space="preserve">. Unless otherwise agreed by the Administrative Agent, each Issuing Bank shall, in addition to its notification obligations set forth elsewhere in this </w:t>
      </w:r>
      <w:r>
        <w:rPr>
          <w:rFonts w:ascii="Times New Roman;serif" w:hAnsi="Times New Roman;serif"/>
          <w:b w:val="false"/>
          <w:sz w:val="22"/>
          <w:u w:val="single"/>
        </w:rPr>
        <w:t>Section 2.04</w:t>
      </w:r>
      <w:r>
        <w:rPr>
          <w:rFonts w:ascii="Times New Roman;serif" w:hAnsi="Times New Roman;serif"/>
          <w:b w:val="false"/>
          <w:sz w:val="22"/>
        </w:rPr>
        <w:t>, report in writing to the Administrative Agent (i)</w:t>
      </w:r>
      <w:r>
        <w:rPr>
          <w:rFonts w:ascii="Times New Roman" w:hAnsi="Times New Roman"/>
          <w:sz w:val="20"/>
        </w:rPr>
        <w:t xml:space="preserve"> </w:t>
      </w:r>
      <w:r>
        <w:rPr>
          <w:rFonts w:ascii="Times New Roman;serif" w:hAnsi="Times New Roman;serif"/>
          <w:b w:val="false"/>
          <w:sz w:val="22"/>
        </w:rPr>
        <w:t xml:space="preserve">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Revolving Borrowers fail to reimburse an LC Disbursement required to be reimbursed to such Issuing Bank on such day, the date of such failure and amount of such LC Disbursement and </w:t>
      </w:r>
      <w:bookmarkStart w:id="688" w:name="docxtextref985"/>
      <w:bookmarkEnd w:id="688"/>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on any other Business Day, such other information as the Administrative Agent shall reasonably request as to the Letters of Credit issued by such Issuing Bank;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Issuing Bank shall have any liability hereunder to any Person for any failure to deliver the reports contemplated by this paragraph </w:t>
      </w:r>
      <w:bookmarkStart w:id="689" w:name="docxtextref983"/>
      <w:bookmarkEnd w:id="689"/>
      <w:r>
        <w:rPr>
          <w:rFonts w:ascii="Times New Roman;serif" w:hAnsi="Times New Roman;serif"/>
          <w:b w:val="false"/>
          <w:sz w:val="22"/>
        </w:rPr>
        <w:t>(m)</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2.04</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90" w:name="docxtextref986"/>
      <w:bookmarkEnd w:id="690"/>
      <w:r>
        <w:rPr>
          <w:rFonts w:ascii="Times New Roman;serif" w:hAnsi="Times New Roman;serif"/>
          <w:b w:val="false"/>
          <w:sz w:val="22"/>
        </w:rPr>
        <w:t xml:space="preserve">(n) </w:t>
      </w:r>
      <w:r>
        <w:rPr>
          <w:rFonts w:ascii="Times New Roman;serif" w:hAnsi="Times New Roman;serif"/>
          <w:b w:val="false"/>
          <w:sz w:val="22"/>
          <w:u w:val="single"/>
        </w:rPr>
        <w:t>Applicability of ISP and UCP</w:t>
      </w:r>
      <w:r>
        <w:rPr>
          <w:rFonts w:ascii="Times New Roman;serif" w:hAnsi="Times New Roman;serif"/>
          <w:b w:val="false"/>
          <w:sz w:val="22"/>
        </w:rPr>
        <w:t>. Unless otherwise expressly agreed by the applicable Issuing Bank and the Revolving Borrowers when a Letter of Credit is issued or when it is amended with the consent of the beneficiary thereof, (i)</w:t>
      </w:r>
      <w:r>
        <w:rPr>
          <w:rFonts w:ascii="Times New Roman" w:hAnsi="Times New Roman"/>
          <w:sz w:val="20"/>
        </w:rPr>
        <w:t xml:space="preserve"> </w:t>
      </w:r>
      <w:r>
        <w:rPr>
          <w:rFonts w:ascii="Times New Roman;serif" w:hAnsi="Times New Roman;serif"/>
          <w:b w:val="false"/>
          <w:sz w:val="22"/>
        </w:rPr>
        <w:t>the rules of the ISP shall apply to each standby Letter of Credit, and (ii) the rules of the UCP shall apply to each commercial Letter of Credit. Notwithstanding the foregoing, the applicable Issuing Bank shall not be responsible to the Revolving Borrowers for, and the applicable Issuing Bank’s rights and remedies against the Revolving Borrowers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2.05 </w:t>
      </w:r>
      <w:r>
        <w:rPr>
          <w:rFonts w:ascii="Times New Roman;serif" w:hAnsi="Times New Roman;serif"/>
          <w:b w:val="false"/>
          <w:sz w:val="22"/>
          <w:u w:val="single"/>
        </w:rPr>
        <w:t>Funding of Borrowings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Each Lender shall make each Loan to be made by it hereunder on the proposed date thereof by wire transfer of immediately available funds by 12:00 noon (and in the case of ABR Loans, 2:00 p.m.), New York City time, to the Applicable Account of the Administrative Agent most recently designated by it for such purpose by notice to the Lenders;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Swingline Loans shall be made as provided in </w:t>
      </w:r>
      <w:r>
        <w:rPr>
          <w:rFonts w:ascii="Times New Roman;serif" w:hAnsi="Times New Roman;serif"/>
          <w:b w:val="false"/>
          <w:sz w:val="22"/>
          <w:u w:val="single"/>
        </w:rPr>
        <w:t>Section 2.24</w:t>
      </w:r>
      <w:r>
        <w:rPr>
          <w:rFonts w:ascii="Times New Roman;serif" w:hAnsi="Times New Roman;serif"/>
          <w:b w:val="false"/>
          <w:sz w:val="22"/>
        </w:rPr>
        <w:t xml:space="preserve">. The Administrative Agent will make such Loans available to the Borrowers by promptly crediting the amounts so received, in like funds, to an account of the applicable Borrower designated by the applicable Borrower in the applicable Borrowing Request;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ABR Revolving Loans made to finance the reimbursement of a LC Disbursement as provided in </w:t>
      </w:r>
      <w:r>
        <w:rPr>
          <w:rFonts w:ascii="Times New Roman;serif" w:hAnsi="Times New Roman;serif"/>
          <w:b w:val="false"/>
          <w:sz w:val="22"/>
          <w:u w:val="single"/>
        </w:rPr>
        <w:t>Section 2.04(f)</w:t>
      </w:r>
      <w:r>
        <w:rPr>
          <w:rFonts w:ascii="Times New Roman" w:hAnsi="Times New Roman"/>
          <w:sz w:val="20"/>
        </w:rPr>
        <w:t xml:space="preserve"> </w:t>
      </w:r>
      <w:r>
        <w:rPr>
          <w:rFonts w:ascii="Times New Roman;serif" w:hAnsi="Times New Roman;serif"/>
          <w:b w:val="false"/>
          <w:sz w:val="22"/>
        </w:rPr>
        <w:t>shall be remitted by the Administrative Agent to the applicable Issuing Bank.</w:t>
      </w:r>
    </w:p>
    <w:p>
      <w:pPr>
        <w:pStyle w:val="TextBody"/>
        <w:bidi w:val="0"/>
        <w:spacing w:before="0" w:after="240"/>
        <w:jc w:val="both"/>
        <w:rPr>
          <w:rFonts w:ascii="Times New Roman" w:hAnsi="Times New Roman"/>
          <w:sz w:val="20"/>
        </w:rPr>
      </w:pPr>
      <w:bookmarkStart w:id="691" w:name="docxtextref990"/>
      <w:bookmarkEnd w:id="691"/>
      <w:r>
        <w:rPr>
          <w:rFonts w:ascii="Times New Roman;serif" w:hAnsi="Times New Roman;serif"/>
          <w:b w:val="false"/>
          <w:sz w:val="22"/>
        </w:rPr>
        <w:t>(b)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2.05</w:t>
      </w:r>
      <w:r>
        <w:rPr>
          <w:rFonts w:ascii="Times New Roman" w:hAnsi="Times New Roman"/>
          <w:sz w:val="20"/>
        </w:rPr>
        <w:t xml:space="preserve"> </w:t>
      </w:r>
      <w:r>
        <w:rPr>
          <w:rFonts w:ascii="Times New Roman;serif" w:hAnsi="Times New Roman;serif"/>
          <w:b w:val="false"/>
          <w:sz w:val="22"/>
        </w:rPr>
        <w:t xml:space="preserve">and may, in reliance on such assumption and in its sole discretion, make available to the Borrowers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Borrowers, and the Borrowers agree to pay such corresponding amount to the Administrative Agent forthwith on demand. If such Lender pays such amount to the Administrative Agent, then such amount shall constitute such Lender’s Loan included in such Borrowing. The Administrative Agent shall also be entitled to recover from such Lender or from the Borrowers interest on such corresponding amount, for each day from and including the date such amount is made available to the Borrowers to but excluding the date of payment to the Administrative Agent, at </w:t>
      </w:r>
      <w:bookmarkStart w:id="692" w:name="docxtextref991"/>
      <w:bookmarkEnd w:id="692"/>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in the case of such Lender, the greater of the Federal Funds Effective Rate and a rate determined by the Administrative Agent in accordance with banking industry rules on interbank compensation, or (ii) in the case of the Borrowers, the interest rate applicable to such Borrowing in accordance with </w:t>
      </w:r>
      <w:r>
        <w:rPr>
          <w:rFonts w:ascii="Times New Roman;serif" w:hAnsi="Times New Roman;serif"/>
          <w:b w:val="false"/>
          <w:sz w:val="22"/>
          <w:u w:val="single"/>
        </w:rPr>
        <w:t>Section 2.12</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The obligations of the Lenders hereunder to make Term Loans and Revolving Loans, to fund participations in Letters of Credit and Swingline Loans and to make payments pursuant to </w:t>
      </w:r>
      <w:r>
        <w:rPr>
          <w:rFonts w:ascii="Times New Roman;serif" w:hAnsi="Times New Roman;serif"/>
          <w:b w:val="false"/>
          <w:sz w:val="22"/>
          <w:u w:val="single"/>
        </w:rPr>
        <w:t>Section 9.03(c)</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9.03(d)</w:t>
      </w:r>
      <w:r>
        <w:rPr>
          <w:rFonts w:ascii="Times New Roman" w:hAnsi="Times New Roman"/>
          <w:sz w:val="20"/>
        </w:rPr>
        <w:t xml:space="preserve"> </w:t>
      </w:r>
      <w:r>
        <w:rPr>
          <w:rFonts w:ascii="Times New Roman;serif" w:hAnsi="Times New Roman;serif"/>
          <w:b w:val="false"/>
          <w:sz w:val="22"/>
        </w:rPr>
        <w:t xml:space="preserve">are several and not joint. The failure of any Lender to make any Loan, to fund any such participation or to make any payment under </w:t>
      </w:r>
      <w:r>
        <w:rPr>
          <w:rFonts w:ascii="Times New Roman;serif" w:hAnsi="Times New Roman;serif"/>
          <w:b w:val="false"/>
          <w:sz w:val="22"/>
          <w:u w:val="single"/>
        </w:rPr>
        <w:t>Section 9.03(c)</w:t>
      </w:r>
      <w:r>
        <w:rPr>
          <w:rFonts w:ascii="Times New Roman" w:hAnsi="Times New Roman"/>
          <w:sz w:val="20"/>
        </w:rPr>
        <w:t xml:space="preserve"> </w:t>
      </w:r>
      <w:r>
        <w:rPr>
          <w:rFonts w:ascii="Times New Roman;serif" w:hAnsi="Times New Roman;serif"/>
          <w:b w:val="false"/>
          <w:sz w:val="22"/>
        </w:rPr>
        <w:t xml:space="preserve">and/or </w:t>
      </w:r>
      <w:r>
        <w:rPr>
          <w:rFonts w:ascii="Times New Roman;serif" w:hAnsi="Times New Roman;serif"/>
          <w:b w:val="false"/>
          <w:sz w:val="22"/>
          <w:u w:val="single"/>
        </w:rPr>
        <w:t>Section 9.03(d)</w:t>
      </w:r>
      <w:r>
        <w:rPr>
          <w:rFonts w:ascii="Times New Roman" w:hAnsi="Times New Roman"/>
          <w:sz w:val="20"/>
        </w:rPr>
        <w:t xml:space="preserve"> </w:t>
      </w:r>
      <w:r>
        <w:rPr>
          <w:rFonts w:ascii="Times New Roman;serif" w:hAnsi="Times New Roman;serif"/>
          <w:b w:val="false"/>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sz w:val="22"/>
          <w:u w:val="single"/>
        </w:rPr>
        <w:t>Section 9.03(c)</w:t>
      </w:r>
      <w:r>
        <w:rPr>
          <w:rFonts w:ascii="Times New Roman" w:hAnsi="Times New Roman"/>
          <w:sz w:val="20"/>
        </w:rPr>
        <w:t xml:space="preserve"> </w:t>
      </w:r>
      <w:r>
        <w:rPr>
          <w:rFonts w:ascii="Times New Roman;serif" w:hAnsi="Times New Roman;serif"/>
          <w:b w:val="false"/>
          <w:sz w:val="22"/>
        </w:rPr>
        <w:t xml:space="preserve">and/or </w:t>
      </w:r>
      <w:r>
        <w:rPr>
          <w:rFonts w:ascii="Times New Roman;serif" w:hAnsi="Times New Roman;serif"/>
          <w:b w:val="false"/>
          <w:sz w:val="22"/>
          <w:u w:val="single"/>
        </w:rPr>
        <w:t>Section 9.03(d)</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2.06 </w:t>
      </w:r>
      <w:r>
        <w:rPr>
          <w:rFonts w:ascii="Times New Roman;serif" w:hAnsi="Times New Roman;serif"/>
          <w:b w:val="false"/>
          <w:sz w:val="22"/>
          <w:u w:val="single"/>
        </w:rPr>
        <w:t>Interest Elections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Each Borrowing initially shall be of the Type specified in the applicable Borrowing Request or designated by </w:t>
      </w:r>
      <w:r>
        <w:rPr>
          <w:rFonts w:ascii="Times New Roman;serif" w:hAnsi="Times New Roman;serif"/>
          <w:b w:val="false"/>
          <w:sz w:val="22"/>
          <w:u w:val="single"/>
        </w:rPr>
        <w:t>Section 2.03</w:t>
      </w:r>
      <w:r>
        <w:rPr>
          <w:rFonts w:ascii="Times New Roman" w:hAnsi="Times New Roman"/>
          <w:sz w:val="20"/>
        </w:rPr>
        <w:t xml:space="preserve"> </w:t>
      </w:r>
      <w:r>
        <w:rPr>
          <w:rFonts w:ascii="Times New Roman;serif" w:hAnsi="Times New Roman;serif"/>
          <w:b w:val="false"/>
          <w:sz w:val="22"/>
        </w:rPr>
        <w:t xml:space="preserve">and, in the case of a Eurodollar Borrowing, shall have an initial Interest Period as specified in such Borrowing Request or designated by </w:t>
      </w:r>
      <w:r>
        <w:rPr>
          <w:rFonts w:ascii="Times New Roman;serif" w:hAnsi="Times New Roman;serif"/>
          <w:b w:val="false"/>
          <w:sz w:val="22"/>
          <w:u w:val="single"/>
        </w:rPr>
        <w:t>Section 2.03</w:t>
      </w:r>
      <w:r>
        <w:rPr>
          <w:rFonts w:ascii="Times New Roman;serif" w:hAnsi="Times New Roman;serif"/>
          <w:b w:val="false"/>
          <w:sz w:val="22"/>
        </w:rPr>
        <w:t xml:space="preserve">. Thereafter, the Borrowers may elect to convert such Borrowing to a different Type or to continue such Borrowing and, in the case of a Eurodollar Borrowing, may elect Interest Periods therefor, all as provided in this </w:t>
      </w:r>
      <w:r>
        <w:rPr>
          <w:rFonts w:ascii="Times New Roman;serif" w:hAnsi="Times New Roman;serif"/>
          <w:b w:val="false"/>
          <w:sz w:val="22"/>
          <w:u w:val="single"/>
        </w:rPr>
        <w:t>Section 2.06</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Borrowers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To make an election pursuant to this </w:t>
      </w:r>
      <w:r>
        <w:rPr>
          <w:rFonts w:ascii="Times New Roman;serif" w:hAnsi="Times New Roman;serif"/>
          <w:b w:val="false"/>
          <w:sz w:val="22"/>
          <w:u w:val="single"/>
        </w:rPr>
        <w:t>Section 2.06</w:t>
      </w:r>
      <w:r>
        <w:rPr>
          <w:rFonts w:ascii="Times New Roman;serif" w:hAnsi="Times New Roman;serif"/>
          <w:b w:val="false"/>
          <w:sz w:val="22"/>
        </w:rPr>
        <w:t xml:space="preserve">, the Borrowers shall deliver by hand delivery, facsimile or other electronic transmission to the Administrative Agent a written Interest Election Request signed by a Responsible Officer of a Borrower by the time that a Borrowing Request would be required under </w:t>
      </w:r>
      <w:r>
        <w:rPr>
          <w:rFonts w:ascii="Times New Roman;serif" w:hAnsi="Times New Roman;serif"/>
          <w:b w:val="false"/>
          <w:sz w:val="22"/>
          <w:u w:val="single"/>
        </w:rPr>
        <w:t>Section 2.03</w:t>
      </w:r>
      <w:r>
        <w:rPr>
          <w:rFonts w:ascii="Times New Roman" w:hAnsi="Times New Roman"/>
          <w:sz w:val="20"/>
        </w:rPr>
        <w:t xml:space="preserve"> </w:t>
      </w:r>
      <w:r>
        <w:rPr>
          <w:rFonts w:ascii="Times New Roman;serif" w:hAnsi="Times New Roman;serif"/>
          <w:b w:val="false"/>
          <w:sz w:val="22"/>
        </w:rPr>
        <w:t>if a Borrower were requesting a Borrowing of the Type resulting from such election to be made on the effective date of such election. Each such Interest Election Request shall be irrevocable and shall be confirmed promptly by hand delivery, facsimile or other electronic transmission to the Administrative Agent of a written Interest Election Request signed by a Responsible Officer of a Borrower.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Each written Interest Election Request shall specify the following information in compliance with </w:t>
      </w:r>
      <w:r>
        <w:rPr>
          <w:rFonts w:ascii="Times New Roman;serif" w:hAnsi="Times New Roman;serif"/>
          <w:b w:val="false"/>
          <w:sz w:val="22"/>
          <w:u w:val="single"/>
        </w:rPr>
        <w:t>Section 2.03</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the effective date of the election made pursuant to such Interest Election Request, which shall be a Business Day;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whether the resulting Borrowing is to be an ABR Borrowing or a Eurodollar Borrowing;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(iv) if the resulting Borrowing is to be a Eurodollar Borrowing, the currency and the Interest Period to be applicable thereto after giving effect to such election, which shall be a period contemplated by the definition of the term “Interest Period.”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any such Interest Election Request requests a Eurodollar Borrowing but does not specify an Interest Period, then the applicable Borrower shall be deemed to have selected an Interest Period of one month’s duration.</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Promptly following receipt of an Interest Election Request in accordance with this </w:t>
      </w:r>
      <w:r>
        <w:rPr>
          <w:rFonts w:ascii="Times New Roman;serif" w:hAnsi="Times New Roman;serif"/>
          <w:b w:val="false"/>
          <w:sz w:val="22"/>
          <w:u w:val="single"/>
        </w:rPr>
        <w:t>Section 2.06</w:t>
      </w:r>
      <w:r>
        <w:rPr>
          <w:rFonts w:ascii="Times New Roman;serif" w:hAnsi="Times New Roman;serif"/>
          <w:b w:val="false"/>
          <w:sz w:val="22"/>
        </w:rPr>
        <w:t>, the Administrative Agent shall advise each Lender of the applicable Class of the details thereof and of such Lender’s portion of each resulting Borrowing.</w:t>
      </w:r>
    </w:p>
    <w:p>
      <w:pPr>
        <w:pStyle w:val="TextBody"/>
        <w:bidi w:val="0"/>
        <w:spacing w:before="0" w:after="240"/>
        <w:jc w:val="both"/>
        <w:rPr>
          <w:rFonts w:ascii="Times New Roman" w:hAnsi="Times New Roman"/>
          <w:sz w:val="20"/>
        </w:rPr>
      </w:pPr>
      <w:bookmarkStart w:id="693" w:name="docxtextref1005"/>
      <w:bookmarkEnd w:id="693"/>
      <w:r>
        <w:rPr>
          <w:rFonts w:ascii="Times New Roman;serif" w:hAnsi="Times New Roman;serif"/>
          <w:b w:val="false"/>
          <w:sz w:val="22"/>
        </w:rPr>
        <w:t>(e) If a Borrower fails to deliver a timely Interest Election Request with respect to a Eurodollar Borrowing prior to the end of the Interest Period applicable thereto, then, unless such Borrowing is repaid as provided herein, then the applicable Borrower shall be deemed to have selected an Interest Period of one month’s duration. Notwithstanding any contrary provision hereof, if an Event of Default has occurred and is continuing and the Administrative Agent, at the request of the Required Lenders, so notifies the Borrowers, then, so long as an Event of Default is continuing (i)</w:t>
      </w:r>
      <w:r>
        <w:rPr>
          <w:rFonts w:ascii="Times New Roman" w:hAnsi="Times New Roman"/>
          <w:sz w:val="20"/>
        </w:rPr>
        <w:t xml:space="preserve"> </w:t>
      </w:r>
      <w:r>
        <w:rPr>
          <w:rFonts w:ascii="Times New Roman;serif" w:hAnsi="Times New Roman;serif"/>
          <w:b w:val="false"/>
          <w:sz w:val="22"/>
        </w:rPr>
        <w:t>no outstanding Borrowing may be converted to or continued as a Eurodollar Borrowing and (ii) unless repaid, each Eurodollar Borrowing denominated in dollars shall be converted to an ABR Borrowing at the end of the Interest Period applicable thereto.</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2.07 </w:t>
      </w:r>
      <w:r>
        <w:rPr>
          <w:rFonts w:ascii="Times New Roman;serif" w:hAnsi="Times New Roman;serif"/>
          <w:b w:val="false"/>
          <w:sz w:val="22"/>
          <w:u w:val="single"/>
        </w:rPr>
        <w:t>Termination and Reduction of Commitments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94" w:name="docxtextref1006"/>
      <w:bookmarkEnd w:id="694"/>
      <w:r>
        <w:rPr>
          <w:rFonts w:ascii="Times New Roman;serif" w:hAnsi="Times New Roman;serif"/>
          <w:b w:val="false"/>
          <w:sz w:val="22"/>
        </w:rPr>
        <w:t>(a) Unless previously terminated, (i)</w:t>
      </w:r>
      <w:r>
        <w:rPr>
          <w:rFonts w:ascii="Times New Roman" w:hAnsi="Times New Roman"/>
          <w:sz w:val="20"/>
        </w:rPr>
        <w:t xml:space="preserve"> </w:t>
      </w:r>
      <w:r>
        <w:rPr>
          <w:rFonts w:ascii="Times New Roman;serif" w:hAnsi="Times New Roman;serif"/>
          <w:b w:val="false"/>
          <w:sz w:val="22"/>
        </w:rPr>
        <w:t>the Initial Term Commitments shall terminate at 11:59 p.m., New York City time on the Initial Term Commitment Expiration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in connection with each drawing of Initial Term Loans in accordance with </w:t>
      </w:r>
      <w:r>
        <w:rPr>
          <w:rFonts w:ascii="Times New Roman;serif" w:hAnsi="Times New Roman;serif"/>
          <w:b w:val="false"/>
          <w:sz w:val="22"/>
          <w:u w:val="single"/>
        </w:rPr>
        <w:t>Section 2.01(a)</w:t>
      </w:r>
      <w:r>
        <w:rPr>
          <w:rFonts w:ascii="Times New Roman;serif" w:hAnsi="Times New Roman;serif"/>
          <w:b w:val="false"/>
          <w:sz w:val="22"/>
        </w:rPr>
        <w:t xml:space="preserve">, the Initial Term Commitment of each Lender shall be reduced on a dollar for dollar basis by the amount of Initial Term Loans made by such Lender on the date of such drawing;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serif" w:hAnsi="Times New Roman;serif"/>
          <w:b w:val="false"/>
          <w:sz w:val="22"/>
        </w:rPr>
        <w:t>, that, to the extent that Bidco elects prior to the Target Debt Refinancing Outside Date that any portion of the Potential Rollover Instruments shall remain outstanding in accordance with the definition of “Target Debt Refinancing Indebtedness”, the Initial Term Commitments shall be reduced on a dollar for dollar basis by an aggregate amount equal to the Rolled Over Amounts (with the Initial Term Commitments being reduced among the Lenders on a ratable basis)) and (ii) the Revolving Commitments shall terminate on the Revolving Maturity Date.</w:t>
      </w:r>
    </w:p>
    <w:p>
      <w:pPr>
        <w:pStyle w:val="TextBody"/>
        <w:bidi w:val="0"/>
        <w:spacing w:before="0" w:after="240"/>
        <w:jc w:val="both"/>
        <w:rPr>
          <w:rFonts w:ascii="Times New Roman" w:hAnsi="Times New Roman"/>
          <w:sz w:val="20"/>
        </w:rPr>
      </w:pPr>
      <w:bookmarkStart w:id="695" w:name="docxtextref1008"/>
      <w:bookmarkEnd w:id="695"/>
      <w:r>
        <w:rPr>
          <w:rFonts w:ascii="Times New Roman;serif" w:hAnsi="Times New Roman;serif"/>
          <w:b w:val="false"/>
          <w:sz w:val="22"/>
        </w:rPr>
        <w:t xml:space="preserve">(b) The Borrowers may at any time terminate, or from time to time reduce, the Commitments of any Class;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 xml:space="preserve">each reduction of the Commitments of any Class shall be in an amount that is an integral multiple of $500,000 and not less than $1,000,000 unless such amount represents all of the remaining Commitments of such Class and (ii) the Borrowers shall not terminate or reduce the Revolving Commitments of any Class if, after giving effect to any concurrent prepayment of the Revolving Loans or Swingline Loans of any Class in accordance with </w:t>
      </w:r>
      <w:r>
        <w:rPr>
          <w:rFonts w:ascii="Times New Roman;serif" w:hAnsi="Times New Roman;serif"/>
          <w:b w:val="false"/>
          <w:sz w:val="22"/>
          <w:u w:val="single"/>
        </w:rPr>
        <w:t>Section 2.10</w:t>
      </w:r>
      <w:r>
        <w:rPr>
          <w:rFonts w:ascii="Times New Roman;serif" w:hAnsi="Times New Roman;serif"/>
          <w:b w:val="false"/>
          <w:sz w:val="22"/>
        </w:rPr>
        <w:t>, the aggregate Revolving Exposures of such Class would exceed the aggregate Revolving Commitments of such Class.</w:t>
      </w:r>
    </w:p>
    <w:p>
      <w:pPr>
        <w:pStyle w:val="TextBody"/>
        <w:bidi w:val="0"/>
        <w:spacing w:before="0" w:after="240"/>
        <w:jc w:val="both"/>
        <w:rPr>
          <w:rFonts w:ascii="Times New Roman" w:hAnsi="Times New Roman"/>
          <w:sz w:val="20"/>
        </w:rPr>
      </w:pPr>
      <w:bookmarkStart w:id="696" w:name="docxtextref1011"/>
      <w:bookmarkEnd w:id="696"/>
      <w:r>
        <w:rPr>
          <w:rFonts w:ascii="Times New Roman;serif" w:hAnsi="Times New Roman;serif"/>
          <w:b w:val="false"/>
          <w:sz w:val="22"/>
        </w:rPr>
        <w:t>(c) The Borrowers shall notify the Administrative Agent of any election to terminate or reduce the Commitments under paragraph (b)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2.07</w:t>
      </w:r>
      <w:r>
        <w:rPr>
          <w:rFonts w:ascii="Times New Roman" w:hAnsi="Times New Roman"/>
          <w:sz w:val="20"/>
        </w:rPr>
        <w:t xml:space="preserve"> </w:t>
      </w:r>
      <w:r>
        <w:rPr>
          <w:rFonts w:ascii="Times New Roman;serif" w:hAnsi="Times New Roman;serif"/>
          <w:b w:val="false"/>
          <w:sz w:val="22"/>
        </w:rPr>
        <w:t xml:space="preserve">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Borrowers pursuant to this </w:t>
      </w:r>
      <w:r>
        <w:rPr>
          <w:rFonts w:ascii="Times New Roman;serif" w:hAnsi="Times New Roman;serif"/>
          <w:b w:val="false"/>
          <w:sz w:val="22"/>
          <w:u w:val="single"/>
        </w:rPr>
        <w:t>Section 2.07</w:t>
      </w:r>
      <w:r>
        <w:rPr>
          <w:rFonts w:ascii="Times New Roman" w:hAnsi="Times New Roman"/>
          <w:sz w:val="20"/>
        </w:rPr>
        <w:t xml:space="preserve"> </w:t>
      </w:r>
      <w:r>
        <w:rPr>
          <w:rFonts w:ascii="Times New Roman;serif" w:hAnsi="Times New Roman;serif"/>
          <w:b w:val="false"/>
          <w:sz w:val="22"/>
        </w:rPr>
        <w:t xml:space="preserve">shall be irrevocable; </w:t>
      </w:r>
      <w:r>
        <w:rPr>
          <w:rFonts w:ascii="Times New Roman;serif" w:hAnsi="Times New Roman;serif"/>
          <w:b w:val="false"/>
          <w:sz w:val="22"/>
          <w:u w:val="single"/>
        </w:rPr>
        <w:t xml:space="preserve">provided </w:t>
      </w:r>
      <w:r>
        <w:rPr>
          <w:rFonts w:ascii="Times New Roman;serif" w:hAnsi="Times New Roman;serif"/>
          <w:b w:val="false"/>
          <w:sz w:val="22"/>
        </w:rPr>
        <w:t>that a notice of termination of the Revolving Commitments of any Class delivered by the Borrowers may state that such notice is conditioned upon the effectiveness of other credit facilities or the receipt of the proceeds from the issuance of other Indebtedness or the occurrence of some other identifiable event or condition, in which case such notice may be revoked or extended by the Borrowers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2.08 </w:t>
      </w:r>
      <w:r>
        <w:rPr>
          <w:rFonts w:ascii="Times New Roman;serif" w:hAnsi="Times New Roman;serif"/>
          <w:b w:val="false"/>
          <w:sz w:val="22"/>
          <w:u w:val="single"/>
        </w:rPr>
        <w:t>Repayment of Loans; Evidence of Debt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697" w:name="docxtextref1013"/>
      <w:bookmarkEnd w:id="697"/>
      <w:r>
        <w:rPr>
          <w:rFonts w:ascii="Times New Roman;serif" w:hAnsi="Times New Roman;serif"/>
          <w:b w:val="false"/>
          <w:sz w:val="22"/>
        </w:rPr>
        <w:t>(a) The Borrowers hereby unconditionally promise to pay (i)</w:t>
      </w:r>
      <w:r>
        <w:rPr>
          <w:rFonts w:ascii="Times New Roman" w:hAnsi="Times New Roman"/>
          <w:sz w:val="20"/>
        </w:rPr>
        <w:t xml:space="preserve"> </w:t>
      </w:r>
      <w:r>
        <w:rPr>
          <w:rFonts w:ascii="Times New Roman;serif" w:hAnsi="Times New Roman;serif"/>
          <w:b w:val="false"/>
          <w:sz w:val="22"/>
        </w:rPr>
        <w:t xml:space="preserve">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w:t>
      </w:r>
      <w:r>
        <w:rPr>
          <w:rFonts w:ascii="Times New Roman;serif" w:hAnsi="Times New Roman;serif"/>
          <w:b w:val="false"/>
          <w:sz w:val="22"/>
          <w:u w:val="single"/>
        </w:rPr>
        <w:t>Section 2.09</w:t>
      </w:r>
      <w:r>
        <w:rPr>
          <w:rFonts w:ascii="Times New Roman" w:hAnsi="Times New Roman"/>
          <w:sz w:val="20"/>
        </w:rPr>
        <w:t xml:space="preserve"> </w:t>
      </w:r>
      <w:r>
        <w:rPr>
          <w:rFonts w:ascii="Times New Roman;serif" w:hAnsi="Times New Roman;serif"/>
          <w:b w:val="false"/>
          <w:sz w:val="22"/>
        </w:rPr>
        <w:t xml:space="preserve">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on each date that a Revolving Borrowing is made, the Revolving Borrowers shall repay all Swingline Loans that were outstanding on the date such Borrowing was requested.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698" w:name="docxtextref1015"/>
      <w:bookmarkEnd w:id="698"/>
      <w:r>
        <w:rPr>
          <w:rFonts w:ascii="Times New Roman;serif" w:hAnsi="Times New Roman;serif"/>
          <w:b w:val="false"/>
          <w:sz w:val="22"/>
        </w:rPr>
        <w:t xml:space="preserve">(c) The Administrative Agent shall, in connection with maintenance of the Register in accordance with </w:t>
      </w:r>
      <w:r>
        <w:rPr>
          <w:rFonts w:ascii="Times New Roman;serif" w:hAnsi="Times New Roman;serif"/>
          <w:b w:val="false"/>
          <w:sz w:val="22"/>
          <w:u w:val="single"/>
        </w:rPr>
        <w:t>Section 9.04(b)(iv)</w:t>
      </w:r>
      <w:r>
        <w:rPr>
          <w:rFonts w:ascii="Times New Roman" w:hAnsi="Times New Roman"/>
          <w:sz w:val="20"/>
        </w:rPr>
        <w:t xml:space="preserve"> </w:t>
      </w:r>
      <w:r>
        <w:rPr>
          <w:rFonts w:ascii="Times New Roman;serif" w:hAnsi="Times New Roman;serif"/>
          <w:b w:val="false"/>
          <w:sz w:val="22"/>
        </w:rPr>
        <w:t>maintain accounts in which it shall record (i)</w:t>
      </w:r>
      <w:r>
        <w:rPr>
          <w:rFonts w:ascii="Times New Roman" w:hAnsi="Times New Roman"/>
          <w:sz w:val="20"/>
        </w:rPr>
        <w:t xml:space="preserve"> </w:t>
      </w:r>
      <w:r>
        <w:rPr>
          <w:rFonts w:ascii="Times New Roman;serif" w:hAnsi="Times New Roman;serif"/>
          <w:b w:val="false"/>
          <w:sz w:val="22"/>
        </w:rPr>
        <w:t>the amount of each Loan made hereunder, the Class and Type thereof and the Interest Period applicable thereto, (ii) the amount of any principal, premium, interest or fees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before="0" w:after="240"/>
        <w:jc w:val="both"/>
        <w:rPr>
          <w:rFonts w:ascii="Times New Roman" w:hAnsi="Times New Roman"/>
          <w:sz w:val="20"/>
        </w:rPr>
      </w:pPr>
      <w:bookmarkStart w:id="699" w:name="docxtextref1019"/>
      <w:bookmarkEnd w:id="699"/>
      <w:r>
        <w:rPr>
          <w:rFonts w:ascii="Times New Roman;serif" w:hAnsi="Times New Roman;serif"/>
          <w:b w:val="false"/>
          <w:sz w:val="22"/>
        </w:rPr>
        <w:t>(d) The entries made in the accounts maintained pursuant to paragraph (b)</w:t>
      </w:r>
      <w:r>
        <w:rPr>
          <w:rFonts w:ascii="Times New Roman" w:hAnsi="Times New Roman"/>
          <w:sz w:val="20"/>
        </w:rPr>
        <w:t xml:space="preserve"> </w:t>
      </w:r>
      <w:r>
        <w:rPr>
          <w:rFonts w:ascii="Times New Roman;serif" w:hAnsi="Times New Roman;serif"/>
          <w:b w:val="false"/>
          <w:sz w:val="22"/>
        </w:rPr>
        <w:t xml:space="preserve">or </w:t>
      </w:r>
      <w:bookmarkStart w:id="700" w:name="docxtextref1022"/>
      <w:bookmarkEnd w:id="70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2.08</w:t>
      </w:r>
      <w:r>
        <w:rPr>
          <w:rFonts w:ascii="Times New Roman" w:hAnsi="Times New Roman"/>
          <w:sz w:val="20"/>
        </w:rPr>
        <w:t xml:space="preserve"> </w:t>
      </w:r>
      <w:r>
        <w:rPr>
          <w:rFonts w:ascii="Times New Roman;serif" w:hAnsi="Times New Roman;serif"/>
          <w:b w:val="false"/>
          <w:sz w:val="22"/>
        </w:rPr>
        <w:t xml:space="preserve">shall be </w:t>
      </w:r>
      <w:r>
        <w:rPr>
          <w:rFonts w:ascii="Times New Roman;serif" w:hAnsi="Times New Roman;serif"/>
          <w:b w:val="false"/>
          <w:sz w:val="22"/>
          <w:u w:val="single"/>
        </w:rPr>
        <w:t>prima facie</w:t>
      </w:r>
      <w:r>
        <w:rPr>
          <w:rFonts w:ascii="Times New Roman" w:hAnsi="Times New Roman"/>
          <w:sz w:val="20"/>
        </w:rPr>
        <w:t xml:space="preserve"> </w:t>
      </w:r>
      <w:r>
        <w:rPr>
          <w:rFonts w:ascii="Times New Roman;serif" w:hAnsi="Times New Roman;serif"/>
          <w:b w:val="false"/>
          <w:sz w:val="22"/>
        </w:rPr>
        <w:t xml:space="preserve">evidence of the existence and amounts of the obligations recorded therein;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failure of any Lender or the Administrative Agent to maintain such accounts or any error therein shall not in any manner affect the obligation of the Borrowers to pay any amounts due hereunder in accordance with the terms of this Agreement. In the event of any inconsistency between the entries made pursuant to paragraphs </w:t>
      </w:r>
      <w:bookmarkStart w:id="701" w:name="docxtextref1020"/>
      <w:bookmarkEnd w:id="70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and </w:t>
      </w:r>
      <w:bookmarkStart w:id="702" w:name="docxtextref1023"/>
      <w:bookmarkEnd w:id="70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2.08</w:t>
      </w:r>
      <w:r>
        <w:rPr>
          <w:rFonts w:ascii="Times New Roman;serif" w:hAnsi="Times New Roman;serif"/>
          <w:b w:val="false"/>
          <w:sz w:val="22"/>
        </w:rPr>
        <w:t xml:space="preserve">, the accounts maintained by the Administrative Agent pursuant to paragraph </w:t>
      </w:r>
      <w:bookmarkStart w:id="703" w:name="docxtextref1021"/>
      <w:bookmarkEnd w:id="70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2.08</w:t>
      </w:r>
      <w:r>
        <w:rPr>
          <w:rFonts w:ascii="Times New Roman" w:hAnsi="Times New Roman"/>
          <w:sz w:val="20"/>
        </w:rPr>
        <w:t xml:space="preserve"> </w:t>
      </w:r>
      <w:r>
        <w:rPr>
          <w:rFonts w:ascii="Times New Roman;serif" w:hAnsi="Times New Roman;serif"/>
          <w:b w:val="false"/>
          <w:sz w:val="22"/>
        </w:rPr>
        <w:t>shall control.</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Any Lender may request through the Administrative Agent that Loans of any Class made by it be evidenced by a Note. In such event, the Borrowers shall execute and deliver to such Lender a Note payable to such Lender (or, if requested by such Lender, to such Lender and its registered assigns).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2.09 </w:t>
      </w:r>
      <w:r>
        <w:rPr>
          <w:rFonts w:ascii="Times New Roman;serif" w:hAnsi="Times New Roman;serif"/>
          <w:b w:val="false"/>
          <w:sz w:val="22"/>
          <w:u w:val="single"/>
        </w:rPr>
        <w:t>Amortization of Term Loans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04" w:name="docxtextref1025"/>
      <w:bookmarkEnd w:id="704"/>
      <w:r>
        <w:rPr>
          <w:rFonts w:ascii="Times New Roman;serif" w:hAnsi="Times New Roman;serif"/>
          <w:b w:val="false"/>
          <w:sz w:val="22"/>
        </w:rPr>
        <w:t>(a) Subject to adjustment pursuant to paragraph (c)</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2.09</w:t>
      </w:r>
      <w:r>
        <w:rPr>
          <w:rFonts w:ascii="Times New Roman" w:hAnsi="Times New Roman"/>
          <w:sz w:val="20"/>
        </w:rPr>
        <w:t xml:space="preserve"> </w:t>
      </w:r>
      <w:r>
        <w:rPr>
          <w:rFonts w:ascii="Times New Roman;serif" w:hAnsi="Times New Roman;serif"/>
          <w:b w:val="false"/>
          <w:sz w:val="22"/>
        </w:rPr>
        <w:t xml:space="preserve">and increases in connection with fungible increases to the Initial Term Loans to reflect the equivalent amortization for such fungible increase, the Term Borrowers shall repay Borrowings of Initial Term Loans on the last day of each March, June, September and December (commencing on June 30, 2020) in each case in an amount equal to </w:t>
      </w:r>
      <w:bookmarkStart w:id="705" w:name="docxtextref1026"/>
      <w:bookmarkEnd w:id="705"/>
      <w:r>
        <w:rPr>
          <w:rFonts w:ascii="Times New Roman;serif" w:hAnsi="Times New Roman;serif"/>
          <w:b w:val="false"/>
          <w:sz w:val="22"/>
        </w:rPr>
        <w:t xml:space="preserve">0.25% of the principal amount of Initial Term Loans;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any such date is not a Business Day, such payment shall be due on the immediately preceding Business Day.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To the extent not previously paid, all Initial Term Loans shall be due and payable on the Term Maturity Date.</w:t>
      </w:r>
    </w:p>
    <w:p>
      <w:pPr>
        <w:pStyle w:val="TextBody"/>
        <w:bidi w:val="0"/>
        <w:spacing w:before="0" w:after="240"/>
        <w:jc w:val="both"/>
        <w:rPr>
          <w:rFonts w:ascii="Times New Roman" w:hAnsi="Times New Roman"/>
          <w:sz w:val="20"/>
        </w:rPr>
      </w:pPr>
      <w:bookmarkStart w:id="706" w:name="docxtextref1034"/>
      <w:bookmarkEnd w:id="706"/>
      <w:r>
        <w:rPr>
          <w:rFonts w:ascii="Times New Roman;serif" w:hAnsi="Times New Roman;serif"/>
          <w:b w:val="false"/>
          <w:sz w:val="22"/>
        </w:rPr>
        <w:t>(c) Any prepayment of a Term Borrowing of any Class (i)</w:t>
      </w:r>
      <w:r>
        <w:rPr>
          <w:rFonts w:ascii="Times New Roman" w:hAnsi="Times New Roman"/>
          <w:sz w:val="20"/>
        </w:rPr>
        <w:t xml:space="preserve"> </w:t>
      </w:r>
      <w:r>
        <w:rPr>
          <w:rFonts w:ascii="Times New Roman;serif" w:hAnsi="Times New Roman;serif"/>
          <w:b w:val="false"/>
          <w:sz w:val="22"/>
        </w:rPr>
        <w:t xml:space="preserve">pursuant to </w:t>
      </w:r>
      <w:r>
        <w:rPr>
          <w:rFonts w:ascii="Times New Roman;serif" w:hAnsi="Times New Roman;serif"/>
          <w:b w:val="false"/>
          <w:sz w:val="22"/>
          <w:u w:val="single"/>
        </w:rPr>
        <w:t>Section 2.10(a)(i)</w:t>
      </w:r>
      <w:r>
        <w:rPr>
          <w:rFonts w:ascii="Times New Roman" w:hAnsi="Times New Roman"/>
          <w:sz w:val="20"/>
        </w:rPr>
        <w:t xml:space="preserve"> </w:t>
      </w:r>
      <w:r>
        <w:rPr>
          <w:rFonts w:ascii="Times New Roman;serif" w:hAnsi="Times New Roman;serif"/>
          <w:b w:val="false"/>
          <w:sz w:val="22"/>
        </w:rPr>
        <w:t xml:space="preserve">shall be applied to reduce the subsequent </w:t>
      </w:r>
      <w:bookmarkStart w:id="707" w:name="docxtextref1031"/>
      <w:bookmarkEnd w:id="707"/>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and outstanding repayments of the Term Borrowings of such Class to be made pursuant to this </w:t>
      </w:r>
      <w:r>
        <w:rPr>
          <w:rFonts w:ascii="Times New Roman;serif" w:hAnsi="Times New Roman;serif"/>
          <w:b w:val="false"/>
          <w:sz w:val="22"/>
          <w:u w:val="single"/>
        </w:rPr>
        <w:t>Section 2.09</w:t>
      </w:r>
      <w:r>
        <w:rPr>
          <w:rFonts w:ascii="Times New Roman" w:hAnsi="Times New Roman"/>
          <w:sz w:val="20"/>
        </w:rPr>
        <w:t xml:space="preserve"> </w:t>
      </w:r>
      <w:r>
        <w:rPr>
          <w:rFonts w:ascii="Times New Roman;serif" w:hAnsi="Times New Roman;serif"/>
          <w:b w:val="false"/>
          <w:sz w:val="22"/>
        </w:rPr>
        <w:t xml:space="preserve">as directed by Bidco or the Term Borrowers (and absent such direction, in direct order of maturity) and (ii) pursuant to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2.10(d)</w:t>
      </w:r>
      <w:r>
        <w:rPr>
          <w:rFonts w:ascii="Times New Roman" w:hAnsi="Times New Roman"/>
          <w:sz w:val="20"/>
        </w:rPr>
        <w:t xml:space="preserve"> </w:t>
      </w:r>
      <w:r>
        <w:rPr>
          <w:rFonts w:ascii="Times New Roman;serif" w:hAnsi="Times New Roman;serif"/>
          <w:b w:val="false"/>
          <w:sz w:val="22"/>
        </w:rPr>
        <w:t xml:space="preserve">shall be applied to reduce the subsequent </w:t>
      </w:r>
      <w:bookmarkStart w:id="708" w:name="docxtextref1032"/>
      <w:bookmarkEnd w:id="708"/>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and outstanding repayments of the Term Borrowings of such Class to be made pursuant to this </w:t>
      </w:r>
      <w:r>
        <w:rPr>
          <w:rFonts w:ascii="Times New Roman;serif" w:hAnsi="Times New Roman;serif"/>
          <w:b w:val="false"/>
          <w:sz w:val="22"/>
          <w:u w:val="single"/>
        </w:rPr>
        <w:t>Section 2.09</w:t>
      </w:r>
      <w:r>
        <w:rPr>
          <w:rFonts w:ascii="Times New Roman;serif" w:hAnsi="Times New Roman;serif"/>
          <w:b w:val="false"/>
          <w:sz w:val="22"/>
        </w:rPr>
        <w:t>, or, except as otherwise provided in any Refinancing Amendment or Loan Modification Agreement, pursuant to the corresponding section of such Refinancing Amendment or Loan Modification Agreement, as applicable, as directed by Bidco or the Term Borrowers (and absent such direction, in direct order of maturity).</w:t>
      </w:r>
    </w:p>
    <w:p>
      <w:pPr>
        <w:pStyle w:val="TextBody"/>
        <w:bidi w:val="0"/>
        <w:spacing w:before="0" w:after="240"/>
        <w:jc w:val="both"/>
        <w:rPr>
          <w:rFonts w:ascii="Times New Roman" w:hAnsi="Times New Roman"/>
          <w:sz w:val="20"/>
        </w:rPr>
      </w:pPr>
      <w:bookmarkStart w:id="709" w:name="docxtextref1036"/>
      <w:bookmarkEnd w:id="709"/>
      <w:r>
        <w:rPr>
          <w:rFonts w:ascii="Times New Roman;serif" w:hAnsi="Times New Roman;serif"/>
          <w:b w:val="false"/>
          <w:sz w:val="22"/>
        </w:rPr>
        <w:t>(d) Prior to any repayment of any Term Borrowings of any Class hereunder, Bidco or the Term Borrowers shall select the Borrowing or Borrowings of the applicable Class to be repaid and shall notify the Administrative Agent by hand delivery or facsimile of such election not later than 2:00 p.m., New York City time, one (1) Business Day before the scheduled</w:t>
      </w:r>
      <w:r>
        <w:rPr>
          <w:rFonts w:ascii="Times New Roman" w:hAnsi="Times New Roman"/>
          <w:sz w:val="20"/>
        </w:rPr>
        <w:t xml:space="preserve"> </w:t>
      </w:r>
      <w:r>
        <w:rPr>
          <w:rFonts w:ascii="Times New Roman;serif" w:hAnsi="Times New Roman;serif"/>
          <w:b w:val="false"/>
          <w:sz w:val="22"/>
        </w:rPr>
        <w:t xml:space="preserve">date of such repayment. In the absence of a designation by Bidco or the Term Borrowers as described in the preceding sentence, the Administrative Agent shall make such designation in its reasonable discretion with a view, but no obligation, to minimize breakage costs owing under </w:t>
      </w:r>
      <w:r>
        <w:rPr>
          <w:rFonts w:ascii="Times New Roman;serif" w:hAnsi="Times New Roman;serif"/>
          <w:b w:val="false"/>
          <w:sz w:val="22"/>
          <w:u w:val="single"/>
        </w:rPr>
        <w:t>Section 2.15</w:t>
      </w:r>
      <w:r>
        <w:rPr>
          <w:rFonts w:ascii="Times New Roman" w:hAnsi="Times New Roman"/>
          <w:sz w:val="20"/>
        </w:rPr>
        <w:t xml:space="preserve"> </w:t>
      </w:r>
      <w:r>
        <w:rPr>
          <w:rFonts w:ascii="Times New Roman;serif" w:hAnsi="Times New Roman;serif"/>
          <w:b w:val="false"/>
          <w:sz w:val="22"/>
        </w:rPr>
        <w:t>and shall be applied in direct order of maturity. Each repayment of a Borrowing shall be applied ratably to the Loans included in the repaid Borrowing. Repayments of Term Borrowings shall be accompanied by accrued interest on the amount repaid.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-109-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2.10 </w:t>
      </w:r>
      <w:r>
        <w:rPr>
          <w:rFonts w:ascii="Times New Roman;serif" w:hAnsi="Times New Roman;serif"/>
          <w:b w:val="false"/>
          <w:sz w:val="22"/>
          <w:u w:val="single"/>
        </w:rPr>
        <w:t>Prepayment of Loans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10" w:name="docxtextref1038"/>
      <w:bookmarkEnd w:id="710"/>
      <w:r>
        <w:rPr>
          <w:rFonts w:ascii="Times New Roman;serif" w:hAnsi="Times New Roman;serif"/>
          <w:b w:val="false"/>
          <w:sz w:val="22"/>
        </w:rPr>
        <w:t xml:space="preserve">(a) (i) The Borrowers shall have the right at any time and from time to time to prepay any Borrowing in whole or in part, without premium or penalty;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in the event that, prior to the date that is 12 months after the Effective Date, the Borrowers enter into any Repricing Transaction, the Borrowers shall pay to the Administrative Agent, for the ratable account of each of the applicable Term Lenders, (I)</w:t>
      </w:r>
      <w:r>
        <w:rPr>
          <w:rFonts w:ascii="Times New Roman" w:hAnsi="Times New Roman"/>
          <w:sz w:val="20"/>
        </w:rPr>
        <w:t xml:space="preserve"> </w:t>
      </w:r>
      <w:r>
        <w:rPr>
          <w:rFonts w:ascii="Times New Roman;serif" w:hAnsi="Times New Roman;serif"/>
          <w:b w:val="false"/>
          <w:sz w:val="22"/>
        </w:rPr>
        <w:t xml:space="preserve">in the case of clause (a) of the definition of “Repricing Transaction”, a prepayment premium of </w:t>
      </w:r>
      <w:bookmarkStart w:id="711" w:name="docxtextref1037"/>
      <w:bookmarkEnd w:id="711"/>
      <w:r>
        <w:rPr>
          <w:rFonts w:ascii="Times New Roman;serif" w:hAnsi="Times New Roman;serif"/>
          <w:b w:val="false"/>
          <w:sz w:val="22"/>
        </w:rPr>
        <w:t xml:space="preserve">1.00% of the principal amount of the Initial Term Loans being prepaid in connection with such Repricing Transaction or (II) in the case of clause (b) of the definition of “Repricing Transaction”, an amount equal to </w:t>
      </w:r>
      <w:bookmarkStart w:id="712" w:name="docxtextref1039"/>
      <w:bookmarkEnd w:id="712"/>
      <w:r>
        <w:rPr>
          <w:rFonts w:ascii="Times New Roman;serif" w:hAnsi="Times New Roman;serif"/>
          <w:b w:val="false"/>
          <w:sz w:val="22"/>
        </w:rPr>
        <w:t>1.00% of the aggregate amount of the applicable Initial Term Loans outstanding immediately prior to such amendment that are subject to an effective pricing reduction pursuant to such Repricing Transaction.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Notwithstanding anything in any Loan Document to the contrary, so long as no Default or Event of Default has occurred and is continuing, Holdings, any Intermediate Parent, Bidco or any of their respective Subsidiaries may offer to prepay all or a portion of the outstanding Term Loans on the following basis:</w:t>
      </w:r>
    </w:p>
    <w:p>
      <w:pPr>
        <w:pStyle w:val="TextBody"/>
        <w:bidi w:val="0"/>
        <w:spacing w:before="0" w:after="240"/>
        <w:jc w:val="both"/>
        <w:rPr>
          <w:rFonts w:ascii="Times New Roman" w:hAnsi="Times New Roman"/>
          <w:sz w:val="20"/>
        </w:rPr>
      </w:pPr>
      <w:bookmarkStart w:id="713" w:name="docxtextref1044"/>
      <w:bookmarkEnd w:id="713"/>
      <w:r>
        <w:rPr>
          <w:rFonts w:ascii="Times New Roman;serif" w:hAnsi="Times New Roman;serif"/>
          <w:b w:val="false"/>
          <w:sz w:val="22"/>
        </w:rPr>
        <w:t>(A) Holdings, any Intermediate Parent, Bidco or any of their respective Subsidiaries shall have the right to make a voluntary prepayment of Term Loans at a discount to par (such prepayment, the “</w:t>
      </w:r>
      <w:r>
        <w:rPr>
          <w:rFonts w:ascii="Times New Roman;serif" w:hAnsi="Times New Roman;serif"/>
          <w:b w:val="false"/>
          <w:sz w:val="22"/>
          <w:u w:val="single"/>
        </w:rPr>
        <w:t>Discounted Term Loan Prepayment</w:t>
      </w:r>
      <w:r>
        <w:rPr>
          <w:rFonts w:ascii="Times New Roman" w:hAnsi="Times New Roman"/>
          <w:sz w:val="20"/>
        </w:rPr>
        <w:t>”</w:t>
      </w:r>
      <w:r>
        <w:rPr>
          <w:rFonts w:ascii="Times New Roman;serif" w:hAnsi="Times New Roman;serif"/>
          <w:b w:val="false"/>
          <w:sz w:val="22"/>
        </w:rPr>
        <w:t xml:space="preserve">) pursuant to a Borrower Offer of Specified Discount Prepayment, Borrower Solicitation of Discount Range Prepayment Offers or Borrower Solicitation of Discounted Prepayment Offers, in each case made in accordance with this </w:t>
      </w:r>
      <w:r>
        <w:rPr>
          <w:rFonts w:ascii="Times New Roman;serif" w:hAnsi="Times New Roman;serif"/>
          <w:b w:val="false"/>
          <w:sz w:val="22"/>
          <w:u w:val="single"/>
        </w:rPr>
        <w:t>Section 2.10(a)(ii)</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 xml:space="preserve">Holdings, any Intermediate Parent, Bidco or any of their respective Subsidiaries shall not make any Borrowing of Revolving Loans or Swingline Loans to fund any Discounted Term Loan Prepayment and </w:t>
      </w:r>
      <w:bookmarkStart w:id="714" w:name="docxtextref1045"/>
      <w:bookmarkEnd w:id="71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Holdings, any Intermediate Parent, Bidco or any of their respective Subsidiaries shall not initiate any action under this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 xml:space="preserve">in order to make a Discounted Term Loan Prepayment unless </w:t>
      </w:r>
      <w:bookmarkStart w:id="715" w:name="docxtextref1046"/>
      <w:bookmarkEnd w:id="71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at least ten (10) Business Days shall have passed since the consummation of the most recent Discounted Term Loan Prepayment as a result of a prepayment made by Holdings, any Intermediate Parent, Bidco or any of their respective Subsidiaries on the applicable Discounted Prepayment Effective Date; or (II) at least three (3) Business Days shall have passed since the date Holdings, any Intermediate Parent, Bidco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any Intermediate Parent’s, Bidco or any of their respective Subsidiaries’ election not to accept any Solicited Discounted Prepayment Offers and </w:t>
      </w:r>
      <w:bookmarkStart w:id="716" w:name="docxtextref1047"/>
      <w:bookmarkEnd w:id="716"/>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each Lender participating in any Discounted Term Loan Prepayment acknowledges and agrees that in connection with such Discounted Term Loan Prepayment, </w:t>
      </w:r>
      <w:bookmarkStart w:id="717" w:name="docxtextref1042"/>
      <w:bookmarkEnd w:id="717"/>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the Borrowers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serif" w:hAnsi="Times New Roman;serif"/>
          <w:b w:val="false"/>
          <w:sz w:val="22"/>
          <w:u w:val="single"/>
        </w:rPr>
        <w:t>Excluded Information</w:t>
      </w:r>
      <w:r>
        <w:rPr>
          <w:rFonts w:ascii="Times New Roman" w:hAnsi="Times New Roman"/>
          <w:sz w:val="20"/>
        </w:rPr>
        <w:t>”</w:t>
      </w:r>
      <w:r>
        <w:rPr>
          <w:rFonts w:ascii="Times New Roman;serif" w:hAnsi="Times New Roman;serif"/>
          <w:b w:val="false"/>
          <w:sz w:val="22"/>
        </w:rPr>
        <w:t xml:space="preserve">), </w:t>
      </w:r>
      <w:bookmarkStart w:id="718" w:name="docxtextref1043"/>
      <w:bookmarkEnd w:id="718"/>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such Lender has independently and, without reliance on Holdings, any of its subsidiaries, the 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respective Affiliates, under applicable laws or otherwise, with respect to the nondisclosure of the Excluded Information;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any Term Loan that is prepaid will be automatically and irrevocably cancelled.</w:t>
      </w:r>
    </w:p>
    <w:p>
      <w:pPr>
        <w:pStyle w:val="TextBody"/>
        <w:bidi w:val="0"/>
        <w:spacing w:before="0" w:after="240"/>
        <w:jc w:val="both"/>
        <w:rPr>
          <w:rFonts w:ascii="Times New Roman" w:hAnsi="Times New Roman"/>
          <w:sz w:val="20"/>
        </w:rPr>
      </w:pPr>
      <w:bookmarkStart w:id="719" w:name="docxtextref1049"/>
      <w:bookmarkEnd w:id="719"/>
      <w:r>
        <w:rPr>
          <w:rFonts w:ascii="Times New Roman;serif" w:hAnsi="Times New Roman;serif"/>
          <w:b w:val="false"/>
          <w:sz w:val="22"/>
        </w:rPr>
        <w:t xml:space="preserve">(B) (1) Subject to the proviso to subsection (A) above, Holdings, any Intermediate Parent, Bidco or any of their respective Subsidiaries may from time to time offer to make a Discounted Term Loan Prepayment by providing the Auction Agent with three (3) Business Days’ notice in the form of a Specified Discount Prepayment Notice;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any such offer shall be made available, at the sole discretion of Holdings, any Intermediate Parent, Bidco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serif" w:hAnsi="Times New Roman;serif"/>
          <w:b w:val="false"/>
          <w:sz w:val="22"/>
          <w:u w:val="single"/>
        </w:rPr>
        <w:t>Specified Discount Prepayment Amount</w:t>
      </w:r>
      <w:r>
        <w:rPr>
          <w:rFonts w:ascii="Times New Roman" w:hAnsi="Times New Roman"/>
          <w:sz w:val="20"/>
        </w:rPr>
        <w:t>”</w:t>
      </w:r>
      <w:r>
        <w:rPr>
          <w:rFonts w:ascii="Times New Roman;serif" w:hAnsi="Times New Roman;serif"/>
          <w:b w:val="false"/>
          <w:sz w:val="22"/>
        </w:rPr>
        <w:t>) with respect to each applicable tranche, the tranche or tranches of Term Loans subject to such offer and the specific percentage discount to par (the “</w:t>
      </w:r>
      <w:r>
        <w:rPr>
          <w:rFonts w:ascii="Times New Roman;serif" w:hAnsi="Times New Roman;serif"/>
          <w:b w:val="false"/>
          <w:sz w:val="22"/>
          <w:u w:val="single"/>
        </w:rPr>
        <w:t>Specified Discount</w:t>
      </w:r>
      <w:r>
        <w:rPr>
          <w:rFonts w:ascii="Times New Roman" w:hAnsi="Times New Roman"/>
          <w:sz w:val="20"/>
        </w:rPr>
        <w:t>”</w:t>
      </w:r>
      <w:r>
        <w:rPr>
          <w:rFonts w:ascii="Times New Roman;serif" w:hAnsi="Times New Roman;serif"/>
          <w:b w:val="false"/>
          <w:sz w:val="22"/>
        </w:rPr>
        <w:t xml:space="preserve">)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w:t>
      </w:r>
      <w:r>
        <w:rPr>
          <w:rFonts w:ascii="Times New Roman;serif" w:hAnsi="Times New Roman;serif"/>
          <w:b w:val="false"/>
          <w:sz w:val="22"/>
          <w:u w:val="single"/>
        </w:rPr>
        <w:t>Section 2.10(a)(ii)</w:t>
      </w:r>
      <w:r>
        <w:rPr>
          <w:rFonts w:ascii="Times New Roman;serif" w:hAnsi="Times New Roman;serif"/>
          <w:b w:val="false"/>
          <w:sz w:val="22"/>
        </w:rPr>
        <w:t>),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serif" w:hAnsi="Times New Roman;serif"/>
          <w:b w:val="false"/>
          <w:sz w:val="22"/>
          <w:u w:val="single"/>
        </w:rPr>
        <w:t>Specified Discount Prepayment Response Date</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serif" w:hAnsi="Times New Roman;serif"/>
          <w:b w:val="false"/>
          <w:sz w:val="22"/>
          <w:u w:val="single"/>
        </w:rPr>
        <w:t>Discount Prepayment Accepting Lender</w:t>
      </w:r>
      <w:r>
        <w:rPr>
          <w:rFonts w:ascii="Times New Roman" w:hAnsi="Times New Roman"/>
          <w:sz w:val="20"/>
        </w:rPr>
        <w:t>”</w:t>
      </w:r>
      <w:r>
        <w:rPr>
          <w:rFonts w:ascii="Times New Roman;serif" w:hAnsi="Times New Roman;serif"/>
          <w:b w:val="false"/>
          <w:sz w:val="22"/>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pStyle w:val="TextBody"/>
        <w:bidi w:val="0"/>
        <w:spacing w:before="0" w:after="240"/>
        <w:jc w:val="both"/>
        <w:rPr>
          <w:rFonts w:ascii="Times New Roman" w:hAnsi="Times New Roman"/>
          <w:sz w:val="20"/>
        </w:rPr>
      </w:pPr>
      <w:bookmarkStart w:id="720" w:name="docxtextref1050"/>
      <w:bookmarkEnd w:id="720"/>
      <w:r>
        <w:rPr>
          <w:rFonts w:ascii="Times New Roman;serif" w:hAnsi="Times New Roman;serif"/>
          <w:b w:val="false"/>
          <w:sz w:val="22"/>
        </w:rPr>
        <w:t>(3) If there is at least one Discount Prepayment Accepting Lender, Holdings, any Intermediate Parent, Bidco or any of their respective Subsidiaries will make prepayment of outstanding Term Loans pursuant to this paragraph (B)</w:t>
      </w:r>
      <w:r>
        <w:rPr>
          <w:rFonts w:ascii="Times New Roman" w:hAnsi="Times New Roman"/>
          <w:sz w:val="20"/>
        </w:rPr>
        <w:t xml:space="preserve"> </w:t>
      </w:r>
      <w:r>
        <w:rPr>
          <w:rFonts w:ascii="Times New Roman;serif" w:hAnsi="Times New Roman;serif"/>
          <w:b w:val="false"/>
          <w:sz w:val="22"/>
        </w:rPr>
        <w:t>to each Discount Prepayment Accepting Lender in accordance with the respective outstanding amount and tranches of Term Loans specified in such Lender’s Specified Discount Prepayment Response given pursuant to sub</w:t>
      </w:r>
      <w:bookmarkStart w:id="721" w:name="docxtextref1052"/>
      <w:bookmarkEnd w:id="721"/>
      <w:r>
        <w:rPr>
          <w:rFonts w:ascii="Times New Roman;serif" w:hAnsi="Times New Roman;serif"/>
          <w:b w:val="false"/>
          <w:sz w:val="22"/>
        </w:rPr>
        <w:t xml:space="preserve">section (2);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Bidco or any of their respective Subsidiaries and subject to rounding requirements of the Auction Agent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722" w:name="docxtextref1051"/>
      <w:bookmarkEnd w:id="722"/>
      <w:r>
        <w:rPr>
          <w:rFonts w:ascii="Times New Roman;serif" w:hAnsi="Times New Roman;serif"/>
          <w:b w:val="false"/>
          <w:sz w:val="22"/>
        </w:rPr>
        <w:t>made in its reasonable discretion) will calculate such proration (the “</w:t>
      </w:r>
      <w:r>
        <w:rPr>
          <w:rFonts w:ascii="Times New Roman;serif" w:hAnsi="Times New Roman;serif"/>
          <w:b w:val="false"/>
          <w:sz w:val="22"/>
          <w:u w:val="single"/>
        </w:rPr>
        <w:t>Specified Discount Proration</w:t>
      </w:r>
      <w:r>
        <w:rPr>
          <w:rFonts w:ascii="Times New Roman" w:hAnsi="Times New Roman"/>
          <w:sz w:val="20"/>
        </w:rPr>
        <w:t>”</w:t>
      </w:r>
      <w:r>
        <w:rPr>
          <w:rFonts w:ascii="Times New Roman;serif" w:hAnsi="Times New Roman;serif"/>
          <w:b w:val="false"/>
          <w:sz w:val="22"/>
        </w:rPr>
        <w:t>). The Auction Agent shall promptly, and in any case within three (3) Business Days following the Specified Discount Prepayment Response Date, notify (I)</w:t>
      </w:r>
      <w:r>
        <w:rPr>
          <w:rFonts w:ascii="Times New Roman" w:hAnsi="Times New Roman"/>
          <w:sz w:val="20"/>
        </w:rPr>
        <w:t xml:space="preserve"> </w:t>
      </w:r>
      <w:r>
        <w:rPr>
          <w:rFonts w:ascii="Times New Roman;serif" w:hAnsi="Times New Roman;serif"/>
          <w:b w:val="false"/>
          <w:sz w:val="22"/>
        </w:rPr>
        <w:t>Holdings, any Intermediate Parent, Bidco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Holdings, any Intermediate Parent, Bidco or any of their respective Subsidiaries on the Discounted Prepayment Effective Date in accordance with subsection (F) below (subject to subsection (J) below).</w:t>
      </w:r>
    </w:p>
    <w:p>
      <w:pPr>
        <w:pStyle w:val="TextBody"/>
        <w:bidi w:val="0"/>
        <w:spacing w:before="0" w:after="240"/>
        <w:jc w:val="both"/>
        <w:rPr>
          <w:rFonts w:ascii="Times New Roman" w:hAnsi="Times New Roman"/>
          <w:sz w:val="20"/>
        </w:rPr>
      </w:pPr>
      <w:bookmarkStart w:id="723" w:name="docxtextref1054"/>
      <w:bookmarkEnd w:id="723"/>
      <w:r>
        <w:rPr>
          <w:rFonts w:ascii="Times New Roman;serif" w:hAnsi="Times New Roman;serif"/>
          <w:b w:val="false"/>
          <w:sz w:val="22"/>
        </w:rPr>
        <w:t xml:space="preserve">(C) (1) Subject to the proviso to subsection (A) above, Holdings, any Intermediate Parent, Bidco or any of their respective Subsidiaries may from time to time solicit Discount Range Prepayment Offers by providing the Auction Agent with three (3) Business Days’ notice in the form of a Discount Range Prepayment Notice;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any such solicitation shall be extended, at the sole discretion of Holdings, any Intermediate Parent, Bidco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serif" w:hAnsi="Times New Roman;serif"/>
          <w:b w:val="false"/>
          <w:sz w:val="22"/>
          <w:u w:val="single"/>
        </w:rPr>
        <w:t>Discount Range Prepayment Amount</w:t>
      </w:r>
      <w:r>
        <w:rPr>
          <w:rFonts w:ascii="Times New Roman" w:hAnsi="Times New Roman"/>
          <w:sz w:val="20"/>
        </w:rPr>
        <w:t>”</w:t>
      </w:r>
      <w:r>
        <w:rPr>
          <w:rFonts w:ascii="Times New Roman;serif" w:hAnsi="Times New Roman;serif"/>
          <w:b w:val="false"/>
          <w:sz w:val="22"/>
        </w:rPr>
        <w:t>), the tranche or tranches of Term Loans subject to such offer and the maximum and minimum percentage discounts to par (the “</w:t>
      </w:r>
      <w:r>
        <w:rPr>
          <w:rFonts w:ascii="Times New Roman;serif" w:hAnsi="Times New Roman;serif"/>
          <w:b w:val="false"/>
          <w:sz w:val="22"/>
          <w:u w:val="single"/>
        </w:rPr>
        <w:t>Discount Range</w:t>
      </w:r>
      <w:r>
        <w:rPr>
          <w:rFonts w:ascii="Times New Roman" w:hAnsi="Times New Roman"/>
          <w:sz w:val="20"/>
        </w:rPr>
        <w:t>”</w:t>
      </w:r>
      <w:r>
        <w:rPr>
          <w:rFonts w:ascii="Times New Roman;serif" w:hAnsi="Times New Roman;serif"/>
          <w:b w:val="false"/>
          <w:sz w:val="22"/>
        </w:rPr>
        <w:t xml:space="preserve">) of the principal amount of such Term Loans with respect to each relevant tranche of Term Loans willing to be prepaid by Holdings, any Intermediate Parent, Bidco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w:t>
      </w:r>
      <w:r>
        <w:rPr>
          <w:rFonts w:ascii="Times New Roman;serif" w:hAnsi="Times New Roman;serif"/>
          <w:b w:val="false"/>
          <w:sz w:val="22"/>
          <w:u w:val="single"/>
        </w:rPr>
        <w:t>Section 2.10(a)(ii)</w:t>
      </w:r>
      <w:r>
        <w:rPr>
          <w:rFonts w:ascii="Times New Roman;serif" w:hAnsi="Times New Roman;serif"/>
          <w:b w:val="false"/>
          <w:sz w:val="22"/>
        </w:rPr>
        <w:t>), (III) the Discount Range Prepayment Amount shall be in an aggregate amount not less than $1,000,000 and whole increments of $500,000 in excess thereof and (IV) each such solicitation by Holdings, any Intermediate Parent, Bidco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serif" w:hAnsi="Times New Roman;serif"/>
          <w:b w:val="false"/>
          <w:sz w:val="22"/>
          <w:u w:val="single"/>
        </w:rPr>
        <w:t>Discount Range Prepayment Response Date</w:t>
      </w:r>
      <w:r>
        <w:rPr>
          <w:rFonts w:ascii="Times New Roman" w:hAnsi="Times New Roman"/>
          <w:sz w:val="20"/>
        </w:rPr>
        <w:t>”</w:t>
      </w:r>
      <w:r>
        <w:rPr>
          <w:rFonts w:ascii="Times New Roman;serif" w:hAnsi="Times New Roman;serif"/>
          <w:b w:val="false"/>
          <w:sz w:val="22"/>
        </w:rPr>
        <w:t>). Each relevant Term Lender’s Discount Range Prepayment Offer shall be irrevocable and shall specify a discount to par within the Discount Range (the “</w:t>
      </w:r>
      <w:r>
        <w:rPr>
          <w:rFonts w:ascii="Times New Roman;serif" w:hAnsi="Times New Roman;serif"/>
          <w:b w:val="false"/>
          <w:sz w:val="22"/>
          <w:u w:val="single"/>
        </w:rPr>
        <w:t>Submitted Discount</w:t>
      </w:r>
      <w:r>
        <w:rPr>
          <w:rFonts w:ascii="Times New Roman" w:hAnsi="Times New Roman"/>
          <w:sz w:val="20"/>
        </w:rPr>
        <w:t>”</w:t>
      </w:r>
      <w:r>
        <w:rPr>
          <w:rFonts w:ascii="Times New Roman;serif" w:hAnsi="Times New Roman;serif"/>
          <w:b w:val="false"/>
          <w:sz w:val="22"/>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serif" w:hAnsi="Times New Roman;serif"/>
          <w:b w:val="false"/>
          <w:sz w:val="22"/>
          <w:u w:val="single"/>
        </w:rPr>
        <w:t>Submitted Amount</w:t>
      </w:r>
      <w:r>
        <w:rPr>
          <w:rFonts w:ascii="Times New Roman" w:hAnsi="Times New Roman"/>
          <w:sz w:val="20"/>
        </w:rPr>
        <w:t>”</w:t>
      </w:r>
      <w:r>
        <w:rPr>
          <w:rFonts w:ascii="Times New Roman;serif" w:hAnsi="Times New Roman;serif"/>
          <w:b w:val="false"/>
          <w:sz w:val="22"/>
        </w:rPr>
        <w:t>) such Lender is willing to have prepaid at the Submitted Discount. Any Term Lender whose Discount Range Prepayment Offer is not received by the Auction Agent by the Discount Range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Prepayment Response Date shall be deemed to have declined to accept a Discounted Term Loan Prepayment of any of its Term Loans at any discount to their par value within the Discount Range.</w:t>
      </w:r>
    </w:p>
    <w:p>
      <w:pPr>
        <w:pStyle w:val="TextBody"/>
        <w:bidi w:val="0"/>
        <w:spacing w:before="0" w:after="240"/>
        <w:jc w:val="both"/>
        <w:rPr>
          <w:rFonts w:ascii="Times New Roman" w:hAnsi="Times New Roman"/>
          <w:sz w:val="20"/>
        </w:rPr>
      </w:pPr>
      <w:bookmarkStart w:id="724" w:name="docxtextref1055"/>
      <w:bookmarkEnd w:id="724"/>
      <w:r>
        <w:rPr>
          <w:rFonts w:ascii="Times New Roman;serif" w:hAnsi="Times New Roman;serif"/>
          <w:b w:val="false"/>
          <w:sz w:val="22"/>
        </w:rPr>
        <w:t>(2) The Auction Agent shall review all Discount Range Prepayment Offers received on or before the applicable Discount Range Prepayment Response Date and shall determine (in consultation with Holdings, any Intermediate Parent, Bidco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Bidco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serif" w:hAnsi="Times New Roman;serif"/>
          <w:b w:val="false"/>
          <w:sz w:val="22"/>
          <w:u w:val="single"/>
        </w:rPr>
        <w:t>Applicable Discount</w:t>
      </w:r>
      <w:r>
        <w:rPr>
          <w:rFonts w:ascii="Times New Roman" w:hAnsi="Times New Roman"/>
          <w:sz w:val="20"/>
        </w:rPr>
        <w:t>”</w:t>
      </w:r>
      <w:r>
        <w:rPr>
          <w:rFonts w:ascii="Times New Roman;serif" w:hAnsi="Times New Roman;serif"/>
          <w:b w:val="false"/>
          <w:sz w:val="22"/>
        </w:rPr>
        <w:t>) which yields a Discounted Term Loan Prepayment in an aggregate principal amount equal to the lower of (I)</w:t>
      </w:r>
      <w:r>
        <w:rPr>
          <w:rFonts w:ascii="Times New Roman" w:hAnsi="Times New Roman"/>
          <w:sz w:val="20"/>
        </w:rPr>
        <w:t xml:space="preserve"> </w:t>
      </w:r>
      <w:r>
        <w:rPr>
          <w:rFonts w:ascii="Times New Roman;serif" w:hAnsi="Times New Roman;serif"/>
          <w:b w:val="false"/>
          <w:sz w:val="22"/>
        </w:rPr>
        <w:t>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w:t>
      </w:r>
      <w:bookmarkStart w:id="725" w:name="docxtextref1056"/>
      <w:bookmarkEnd w:id="725"/>
      <w:r>
        <w:rPr>
          <w:rFonts w:ascii="Times New Roman;serif" w:hAnsi="Times New Roman;serif"/>
          <w:b w:val="false"/>
          <w:sz w:val="22"/>
        </w:rPr>
        <w:t>section (3)) at the Applicable Discount (each such Lender, a “</w:t>
      </w:r>
      <w:r>
        <w:rPr>
          <w:rFonts w:ascii="Times New Roman;serif" w:hAnsi="Times New Roman;serif"/>
          <w:b w:val="false"/>
          <w:sz w:val="22"/>
          <w:u w:val="single"/>
        </w:rPr>
        <w:t>Participating Lender</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26" w:name="docxtextref1057"/>
      <w:bookmarkEnd w:id="726"/>
      <w:r>
        <w:rPr>
          <w:rFonts w:ascii="Times New Roman;serif" w:hAnsi="Times New Roman;serif"/>
          <w:b w:val="false"/>
          <w:sz w:val="22"/>
        </w:rPr>
        <w:t xml:space="preserve">(3) If there is at least one Participating Lender, Holdings, any Intermediate Parent, Bidco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serif" w:hAnsi="Times New Roman;serif"/>
          <w:b w:val="false"/>
          <w:sz w:val="22"/>
          <w:u w:val="single"/>
        </w:rPr>
        <w:t>Identified Participating Lenders</w:t>
      </w:r>
      <w:r>
        <w:rPr>
          <w:rFonts w:ascii="Times New Roman" w:hAnsi="Times New Roman"/>
          <w:sz w:val="20"/>
        </w:rPr>
        <w:t>”</w:t>
      </w:r>
      <w:r>
        <w:rPr>
          <w:rFonts w:ascii="Times New Roman;serif" w:hAnsi="Times New Roman;serif"/>
          <w:b w:val="false"/>
          <w:sz w:val="22"/>
        </w:rPr>
        <w:t>) shall be made pro-rata among the Identified Participating Lenders in accordance with the Submitted Amount of each such Identified Participating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serif" w:hAnsi="Times New Roman;serif"/>
          <w:b w:val="false"/>
          <w:sz w:val="22"/>
          <w:u w:val="single"/>
        </w:rPr>
        <w:t>Discount Range Proration</w:t>
      </w:r>
      <w:r>
        <w:rPr>
          <w:rFonts w:ascii="Times New Roman" w:hAnsi="Times New Roman"/>
          <w:sz w:val="20"/>
        </w:rPr>
        <w:t>”</w:t>
      </w:r>
      <w:r>
        <w:rPr>
          <w:rFonts w:ascii="Times New Roman;serif" w:hAnsi="Times New Roman;serif"/>
          <w:b w:val="false"/>
          <w:sz w:val="22"/>
        </w:rPr>
        <w:t>). The Auction Agent shall promptly, and in any case within five (5) Business Days following the Discount Range Prepayment Response Date, notify (I)</w:t>
      </w:r>
      <w:r>
        <w:rPr>
          <w:rFonts w:ascii="Times New Roman" w:hAnsi="Times New Roman"/>
          <w:sz w:val="20"/>
        </w:rPr>
        <w:t xml:space="preserve"> </w:t>
      </w:r>
      <w:r>
        <w:rPr>
          <w:rFonts w:ascii="Times New Roman;serif" w:hAnsi="Times New Roman;serif"/>
          <w:b w:val="false"/>
          <w:sz w:val="22"/>
        </w:rPr>
        <w:t>Holdings, any Intermediate Parent, Bidco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if applicable, each Identified Participating Lender of the Discount Range Proration. Each determination by the Auction Agent of the amounts stated in the foregoing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the Borrowers on the Discounted Prepayment Effective Date in accordance with subsection (F) below (subject to subsection (J) below).</w:t>
      </w:r>
    </w:p>
    <w:p>
      <w:pPr>
        <w:pStyle w:val="TextBody"/>
        <w:bidi w:val="0"/>
        <w:spacing w:before="0" w:after="240"/>
        <w:jc w:val="both"/>
        <w:rPr>
          <w:rFonts w:ascii="Times New Roman" w:hAnsi="Times New Roman"/>
          <w:sz w:val="20"/>
        </w:rPr>
      </w:pPr>
      <w:bookmarkStart w:id="727" w:name="docxtextref1059"/>
      <w:bookmarkEnd w:id="727"/>
      <w:r>
        <w:rPr>
          <w:rFonts w:ascii="Times New Roman;serif" w:hAnsi="Times New Roman;serif"/>
          <w:b w:val="false"/>
          <w:sz w:val="22"/>
        </w:rPr>
        <w:t xml:space="preserve">(D) (1) Subject to the proviso to subsection (A) above, Holdings, any Intermediate Parent, Bidco or any of their respective Subsidiaries may from time to time solicit Solicited Discounted Prepayment Offers by providing the Auction Agent with three (3) Business Days’ notice in the form of a Solicited Discounted Prepayment Notice;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any such solicitation shall be extended, at the sole discretion of Holdings, any Intermediate Parent, Bidco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serif" w:hAnsi="Times New Roman;serif"/>
          <w:b w:val="false"/>
          <w:sz w:val="22"/>
          <w:u w:val="single"/>
        </w:rPr>
        <w:t>Solicited Discounted Prepayment Amount</w:t>
      </w:r>
      <w:r>
        <w:rPr>
          <w:rFonts w:ascii="Times New Roman" w:hAnsi="Times New Roman"/>
          <w:sz w:val="20"/>
        </w:rPr>
        <w:t>”</w:t>
      </w:r>
      <w:r>
        <w:rPr>
          <w:rFonts w:ascii="Times New Roman;serif" w:hAnsi="Times New Roman;serif"/>
          <w:b w:val="false"/>
          <w:sz w:val="22"/>
        </w:rPr>
        <w:t xml:space="preserve">) and the tranche or tranches of Term Loans Holdings, any Intermediate Parent, Bidco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w:t>
      </w:r>
      <w:r>
        <w:rPr>
          <w:rFonts w:ascii="Times New Roman;serif" w:hAnsi="Times New Roman;serif"/>
          <w:b w:val="false"/>
          <w:sz w:val="22"/>
          <w:u w:val="single"/>
        </w:rPr>
        <w:t>Section 2.10(a)(ii)</w:t>
      </w:r>
      <w:r>
        <w:rPr>
          <w:rFonts w:ascii="Times New Roman;serif" w:hAnsi="Times New Roman;serif"/>
          <w:b w:val="false"/>
          <w:sz w:val="22"/>
        </w:rPr>
        <w:t>), (III) the Solicited Discounted Prepayment Amount shall be in an aggregate amount not less than $1,000,000 and whole increments of $500,000 in excess thereof and (IV) each such solicitation by Holdings, any Intermediate Parent, Bidco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serif" w:hAnsi="Times New Roman;serif"/>
          <w:b w:val="false"/>
          <w:sz w:val="22"/>
          <w:u w:val="single"/>
        </w:rPr>
        <w:t>Solicited Discounted Prepayment Response Date</w:t>
      </w:r>
      <w:r>
        <w:rPr>
          <w:rFonts w:ascii="Times New Roman" w:hAnsi="Times New Roman"/>
          <w:sz w:val="20"/>
        </w:rPr>
        <w:t>”</w:t>
      </w:r>
      <w:r>
        <w:rPr>
          <w:rFonts w:ascii="Times New Roman;serif" w:hAnsi="Times New Roman;serif"/>
          <w:b w:val="false"/>
          <w:sz w:val="22"/>
        </w:rPr>
        <w:t xml:space="preserve">). Each Term Lender’s Solicited Discounted Prepayment Offer shall </w:t>
      </w:r>
      <w:bookmarkStart w:id="728" w:name="docxtextref1060"/>
      <w:bookmarkEnd w:id="728"/>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be irrevocable, </w:t>
      </w:r>
      <w:bookmarkStart w:id="729" w:name="docxtextref1061"/>
      <w:bookmarkEnd w:id="72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remain outstanding until the Acceptance Date, and </w:t>
      </w:r>
      <w:bookmarkStart w:id="730" w:name="docxtextref1062"/>
      <w:bookmarkEnd w:id="730"/>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specify both a discount to par (the “</w:t>
      </w:r>
      <w:r>
        <w:rPr>
          <w:rFonts w:ascii="Times New Roman;serif" w:hAnsi="Times New Roman;serif"/>
          <w:b w:val="false"/>
          <w:sz w:val="22"/>
          <w:u w:val="single"/>
        </w:rPr>
        <w:t>Offered Discount</w:t>
      </w:r>
      <w:r>
        <w:rPr>
          <w:rFonts w:ascii="Times New Roman" w:hAnsi="Times New Roman"/>
          <w:sz w:val="20"/>
        </w:rPr>
        <w:t>”</w:t>
      </w:r>
      <w:r>
        <w:rPr>
          <w:rFonts w:ascii="Times New Roman;serif" w:hAnsi="Times New Roman;serif"/>
          <w:b w:val="false"/>
          <w:sz w:val="22"/>
        </w:rPr>
        <w:t>) such Term Lender is willing to allow to be applied to the prepayment of its then outstanding Term Loan and the maximum aggregate principal amount and tranches of such Term Loans (the “</w:t>
      </w:r>
      <w:r>
        <w:rPr>
          <w:rFonts w:ascii="Times New Roman;serif" w:hAnsi="Times New Roman;serif"/>
          <w:b w:val="false"/>
          <w:sz w:val="22"/>
          <w:u w:val="single"/>
        </w:rPr>
        <w:t>Offered Amount</w:t>
      </w:r>
      <w:r>
        <w:rPr>
          <w:rFonts w:ascii="Times New Roman" w:hAnsi="Times New Roman"/>
          <w:sz w:val="20"/>
        </w:rPr>
        <w:t>”</w:t>
      </w:r>
      <w:r>
        <w:rPr>
          <w:rFonts w:ascii="Times New Roman;serif" w:hAnsi="Times New Roman;serif"/>
          <w:b w:val="false"/>
          <w:sz w:val="22"/>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pStyle w:val="TextBody"/>
        <w:bidi w:val="0"/>
        <w:spacing w:before="0" w:after="240"/>
        <w:jc w:val="both"/>
        <w:rPr>
          <w:rFonts w:ascii="Times New Roman" w:hAnsi="Times New Roman"/>
          <w:sz w:val="20"/>
        </w:rPr>
      </w:pPr>
      <w:r>
        <w:rPr>
          <w:rFonts w:ascii="Times New Roman;serif" w:hAnsi="Times New Roman;serif"/>
          <w:b w:val="false"/>
          <w:sz w:val="22"/>
        </w:rPr>
        <w:t>(2) The Auction Agent shall promptly provide Holdings, any Intermediate Parent, Bidco or any of their respective Subsidiaries with a copy of all Solicited Discounted Prepayment Offers received on or before the Solicited Discounted Prepayment Response Date. Holdings, any Intermediate Parent, Bidco,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Bidco or any of their respective Subsidiaries (the “</w:t>
      </w:r>
      <w:r>
        <w:rPr>
          <w:rFonts w:ascii="Times New Roman;serif" w:hAnsi="Times New Roman;serif"/>
          <w:b w:val="false"/>
          <w:sz w:val="22"/>
          <w:u w:val="single"/>
        </w:rPr>
        <w:t>Acceptable Discount</w:t>
      </w:r>
      <w:r>
        <w:rPr>
          <w:rFonts w:ascii="Times New Roman" w:hAnsi="Times New Roman"/>
          <w:sz w:val="20"/>
        </w:rPr>
        <w:t>”</w:t>
      </w:r>
      <w:r>
        <w:rPr>
          <w:rFonts w:ascii="Times New Roman;serif" w:hAnsi="Times New Roman;serif"/>
          <w:b w:val="false"/>
          <w:sz w:val="22"/>
        </w:rPr>
        <w:t>), if any. If Holdings, any Intermediate Parent, Bidco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Bidco or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731" w:name="docxtextref1063"/>
      <w:bookmarkEnd w:id="731"/>
      <w:r>
        <w:rPr>
          <w:rFonts w:ascii="Times New Roman;serif" w:hAnsi="Times New Roman;serif"/>
          <w:b w:val="false"/>
          <w:sz w:val="22"/>
        </w:rPr>
        <w:t>of their respective Subsidiaries from the Auction Agent of a copy of all Solicited Discounted Prepayment Offers pursuant to the first sentence of this subsection (2)</w:t>
      </w:r>
      <w:r>
        <w:rPr>
          <w:rFonts w:ascii="Times New Roman" w:hAnsi="Times New Roman"/>
          <w:sz w:val="20"/>
        </w:rPr>
        <w:t xml:space="preserve"> </w:t>
      </w:r>
      <w:r>
        <w:rPr>
          <w:rFonts w:ascii="Times New Roman;serif" w:hAnsi="Times New Roman;serif"/>
          <w:b w:val="false"/>
          <w:sz w:val="22"/>
        </w:rPr>
        <w:t>(the “</w:t>
      </w:r>
      <w:r>
        <w:rPr>
          <w:rFonts w:ascii="Times New Roman;serif" w:hAnsi="Times New Roman;serif"/>
          <w:b w:val="false"/>
          <w:sz w:val="22"/>
          <w:u w:val="single"/>
        </w:rPr>
        <w:t>Acceptance Date</w:t>
      </w:r>
      <w:r>
        <w:rPr>
          <w:rFonts w:ascii="Times New Roman" w:hAnsi="Times New Roman"/>
          <w:sz w:val="20"/>
        </w:rPr>
        <w:t>”</w:t>
      </w:r>
      <w:r>
        <w:rPr>
          <w:rFonts w:ascii="Times New Roman;serif" w:hAnsi="Times New Roman;serif"/>
          <w:b w:val="false"/>
          <w:sz w:val="22"/>
        </w:rPr>
        <w:t>), Holdings, any Intermediate Parent, Bidco or any of their respective Subsidiaries shall submit an Acceptance and Prepayment Notice to the Auction Agent setting forth the Acceptable Discount. If the Auction Agent shall fail to receive an Acceptance and Prepayment Notice from Holdings, any Intermediate Parent, Bidco or any of their respective Subsidiaries by the Acceptance Date, Holdings, any Intermediate Parent, Bidco or any of their respective Subsidiaries shall be deemed to have rejected all Solicited Discounted Prepayment Offers.</w:t>
      </w:r>
    </w:p>
    <w:p>
      <w:pPr>
        <w:pStyle w:val="TextBody"/>
        <w:bidi w:val="0"/>
        <w:spacing w:before="0" w:after="240"/>
        <w:jc w:val="both"/>
        <w:rPr>
          <w:rFonts w:ascii="Times New Roman" w:hAnsi="Times New Roman"/>
          <w:sz w:val="20"/>
        </w:rPr>
      </w:pPr>
      <w:bookmarkStart w:id="732" w:name="docxtextref1065"/>
      <w:bookmarkEnd w:id="732"/>
      <w:r>
        <w:rPr>
          <w:rFonts w:ascii="Times New Roman;serif" w:hAnsi="Times New Roman;serif"/>
          <w:b w:val="false"/>
          <w:sz w:val="22"/>
        </w:rPr>
        <w:t>(3) 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serif" w:hAnsi="Times New Roman;serif"/>
          <w:b w:val="false"/>
          <w:sz w:val="22"/>
          <w:u w:val="single"/>
        </w:rPr>
        <w:t>Discounted Prepayment Determination Date</w:t>
      </w:r>
      <w:r>
        <w:rPr>
          <w:rFonts w:ascii="Times New Roman" w:hAnsi="Times New Roman"/>
          <w:sz w:val="20"/>
        </w:rPr>
        <w:t>”</w:t>
      </w:r>
      <w:r>
        <w:rPr>
          <w:rFonts w:ascii="Times New Roman;serif" w:hAnsi="Times New Roman;serif"/>
          <w:b w:val="false"/>
          <w:sz w:val="22"/>
        </w:rPr>
        <w:t>), the Auction Agent will determine (in consultation with Holdings, any Intermediate Parent, Bidco or any of their respective Subsidiaries and subject to rounding requirements of the Auction Agent made in its sole reasonable discretion) the aggregate principal amount and the tranches of Term Loans (the “</w:t>
      </w:r>
      <w:r>
        <w:rPr>
          <w:rFonts w:ascii="Times New Roman;serif" w:hAnsi="Times New Roman;serif"/>
          <w:b w:val="false"/>
          <w:sz w:val="22"/>
          <w:u w:val="single"/>
        </w:rPr>
        <w:t>Acceptable Prepayment Amount</w:t>
      </w:r>
      <w:r>
        <w:rPr>
          <w:rFonts w:ascii="Times New Roman" w:hAnsi="Times New Roman"/>
          <w:sz w:val="20"/>
        </w:rPr>
        <w:t>”</w:t>
      </w:r>
      <w:r>
        <w:rPr>
          <w:rFonts w:ascii="Times New Roman;serif" w:hAnsi="Times New Roman;serif"/>
          <w:b w:val="false"/>
          <w:sz w:val="22"/>
        </w:rPr>
        <w:t xml:space="preserve">) to be prepaid by Holdings, any Intermediate Parent, Bidco or any of their respective Subsidiaries at the Acceptable Discount in accordance with this </w:t>
      </w:r>
      <w:r>
        <w:rPr>
          <w:rFonts w:ascii="Times New Roman;serif" w:hAnsi="Times New Roman;serif"/>
          <w:b w:val="false"/>
          <w:sz w:val="22"/>
          <w:u w:val="single"/>
        </w:rPr>
        <w:t>Section 2.10(a)(ii)(D)</w:t>
      </w:r>
      <w:r>
        <w:rPr>
          <w:rFonts w:ascii="Times New Roman;serif" w:hAnsi="Times New Roman;serif"/>
          <w:b w:val="false"/>
          <w:sz w:val="22"/>
        </w:rPr>
        <w:t>. If Holdings, any Intermediate Parent, Bidco or any of their respective Subsidiaries elects to accept any Acceptable Discount, then Holdings, any Intermediate Parent, Bidco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serif" w:hAnsi="Times New Roman;serif"/>
          <w:b w:val="false"/>
          <w:sz w:val="22"/>
          <w:u w:val="single"/>
        </w:rPr>
        <w:t>Qualifying Lender</w:t>
      </w:r>
      <w:r>
        <w:rPr>
          <w:rFonts w:ascii="Times New Roman" w:hAnsi="Times New Roman"/>
          <w:sz w:val="20"/>
        </w:rPr>
        <w:t>”</w:t>
      </w:r>
      <w:r>
        <w:rPr>
          <w:rFonts w:ascii="Times New Roman;serif" w:hAnsi="Times New Roman;serif"/>
          <w:b w:val="false"/>
          <w:sz w:val="22"/>
        </w:rPr>
        <w:t xml:space="preserve">). Holdings, any Intermediate Parent, Bidco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serif" w:hAnsi="Times New Roman;serif"/>
          <w:b w:val="false"/>
          <w:sz w:val="22"/>
          <w:u w:val="single"/>
        </w:rPr>
        <w:t>Identified Qualifying Lenders</w:t>
      </w:r>
      <w:r>
        <w:rPr>
          <w:rFonts w:ascii="Times New Roman" w:hAnsi="Times New Roman"/>
          <w:sz w:val="20"/>
        </w:rPr>
        <w:t>”</w:t>
      </w:r>
      <w:r>
        <w:rPr>
          <w:rFonts w:ascii="Times New Roman;serif" w:hAnsi="Times New Roman;serif"/>
          <w:b w:val="false"/>
          <w:sz w:val="22"/>
        </w:rPr>
        <w:t>) shall be made pro-rata among the Identified Qualifying Lenders in accordance with the Offered Amount of each such Identified Qualifying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serif" w:hAnsi="Times New Roman;serif"/>
          <w:b w:val="false"/>
          <w:sz w:val="22"/>
          <w:u w:val="single"/>
        </w:rPr>
        <w:t>Solicited Discount Proration</w:t>
      </w:r>
      <w:r>
        <w:rPr>
          <w:rFonts w:ascii="Times New Roman" w:hAnsi="Times New Roman"/>
          <w:sz w:val="20"/>
        </w:rPr>
        <w:t>”</w:t>
      </w:r>
      <w:r>
        <w:rPr>
          <w:rFonts w:ascii="Times New Roman;serif" w:hAnsi="Times New Roman;serif"/>
          <w:b w:val="false"/>
          <w:sz w:val="22"/>
        </w:rPr>
        <w:t>). On or prior to the Discounted Prepayment Determination Date, the Auction Agent shall promptly notify (I)</w:t>
      </w:r>
      <w:r>
        <w:rPr>
          <w:rFonts w:ascii="Times New Roman" w:hAnsi="Times New Roman"/>
          <w:sz w:val="20"/>
        </w:rPr>
        <w:t xml:space="preserve"> </w:t>
      </w:r>
      <w:r>
        <w:rPr>
          <w:rFonts w:ascii="Times New Roman;serif" w:hAnsi="Times New Roman;serif"/>
          <w:b w:val="false"/>
          <w:sz w:val="22"/>
        </w:rPr>
        <w:t>Holdings, any Intermediate Parent, Bidco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tranches of such Lender to be prepaid at the Acceptable Discount on such date, and (IV) if applicable, each Identified Qualifying Lender of the Solicited Discount Proration. Each determination by the Auction Agent of the amounts stated in the foregoing notices to the Borrowers and Lenders shall be conclusive and binding for all purposes absent manifest error. The payment amount specified in such notice to the Borrowers shall be due and payable by the Borrowers on the Discounted Prepayment Effective Date in accordance with subsection (F) below (subject to subsection (J) below).</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In connection with any Discounted Term Loan Prepayment, Holdings, any Intermediate Parent, Bidco or any of its Subsidiaries and the Lenders acknowledge and agree that the Auction Agent may require as a condition to any Discounted Term Loan Prepayment, the payment of reasonable and customary fees and expenses from Holdings, any Intermediate Parent, the Borrowers or any of their respective Subsidiaries in connection therewith.</w:t>
      </w:r>
    </w:p>
    <w:p>
      <w:pPr>
        <w:pStyle w:val="TextBody"/>
        <w:bidi w:val="0"/>
        <w:spacing w:before="0" w:after="240"/>
        <w:jc w:val="both"/>
        <w:rPr>
          <w:rFonts w:ascii="Times New Roman" w:hAnsi="Times New Roman"/>
          <w:sz w:val="20"/>
        </w:rPr>
      </w:pPr>
      <w:bookmarkStart w:id="733" w:name="docxtextref1067"/>
      <w:bookmarkEnd w:id="733"/>
      <w:r>
        <w:rPr>
          <w:rFonts w:ascii="Times New Roman;serif" w:hAnsi="Times New Roman;serif"/>
          <w:b w:val="false"/>
          <w:sz w:val="22"/>
        </w:rPr>
        <w:t>(F) If any Term Loan is prepaid in accordance with paragraphs (B)</w:t>
      </w:r>
      <w:r>
        <w:rPr>
          <w:rFonts w:ascii="Times New Roman" w:hAnsi="Times New Roman"/>
          <w:sz w:val="20"/>
        </w:rPr>
        <w:t xml:space="preserve"> </w:t>
      </w:r>
      <w:r>
        <w:rPr>
          <w:rFonts w:ascii="Times New Roman;serif" w:hAnsi="Times New Roman;serif"/>
          <w:b w:val="false"/>
          <w:sz w:val="22"/>
        </w:rPr>
        <w:t xml:space="preserve">through </w:t>
      </w:r>
      <w:bookmarkStart w:id="734" w:name="docxtextref1068"/>
      <w:bookmarkEnd w:id="734"/>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above, Holdings, any Intermediate Parent, Bidco or any of their respective Subsidiaries shall prepay such Term Loans on the Discounted Prepayment Effective Date. Holdings, any Intermediate Parent, the Borrowers or any of their respective Subsidiaries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(G) To the extent not expressly provided for herein, each Discounted Term Loan Prepayment shall be consummated pursuant to procedures consistent with the provisions in this </w:t>
      </w:r>
      <w:r>
        <w:rPr>
          <w:rFonts w:ascii="Times New Roman;serif" w:hAnsi="Times New Roman;serif"/>
          <w:b w:val="false"/>
          <w:sz w:val="22"/>
          <w:u w:val="single"/>
        </w:rPr>
        <w:t>Section 2.10(a)(ii)</w:t>
      </w:r>
      <w:r>
        <w:rPr>
          <w:rFonts w:ascii="Times New Roman;serif" w:hAnsi="Times New Roman;serif"/>
          <w:b w:val="false"/>
          <w:sz w:val="22"/>
        </w:rPr>
        <w:t>, established by the Auction Agent acting in its reasonable discretion and as reasonably agreed by Holdings, any Intermediate Parent, Bidco or any of their respective Subsidiaries.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(H) Notwithstanding anything in any Loan Document to the contrary, for purposes of this </w:t>
      </w:r>
      <w:r>
        <w:rPr>
          <w:rFonts w:ascii="Times New Roman;serif" w:hAnsi="Times New Roman;serif"/>
          <w:b w:val="false"/>
          <w:sz w:val="22"/>
          <w:u w:val="single"/>
        </w:rPr>
        <w:t>Section 2.10(a)(ii)</w:t>
      </w:r>
      <w:r>
        <w:rPr>
          <w:rFonts w:ascii="Times New Roman;serif" w:hAnsi="Times New Roman;serif"/>
          <w:b w:val="false"/>
          <w:sz w:val="22"/>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notice or communication actually received outside of normal business hours shall be deemed to have been given as of the opening of business on the next Business Day.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Each of Holdings, any Intermediate Parent, Bidco or any of their respective Subsidiaries and the Lenders acknowledges and agrees that the Auction Agent may perform any and all of its duties under this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by itself or through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as well as activities of the Auction Agent.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(J) Holdings, any Intermediate Parent, Bidco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Borrowers to make any prepayment to a Term Lender, as applicable, pursuant to this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 xml:space="preserve">shall not constitute a Default or Event of Default under </w:t>
      </w:r>
      <w:r>
        <w:rPr>
          <w:rFonts w:ascii="Times New Roman;serif" w:hAnsi="Times New Roman;serif"/>
          <w:b w:val="false"/>
          <w:sz w:val="22"/>
          <w:u w:val="single"/>
        </w:rPr>
        <w:t>Section 7.01</w:t>
      </w:r>
      <w:r>
        <w:rPr>
          <w:rFonts w:ascii="Times New Roman" w:hAnsi="Times New Roman"/>
          <w:sz w:val="20"/>
        </w:rPr>
        <w:t xml:space="preserve"> </w:t>
      </w:r>
      <w:r>
        <w:rPr>
          <w:rFonts w:ascii="Times New Roman;serif" w:hAnsi="Times New Roman;serif"/>
          <w:b w:val="false"/>
          <w:sz w:val="22"/>
        </w:rPr>
        <w:t>or otherwise).</w:t>
      </w:r>
    </w:p>
    <w:p>
      <w:pPr>
        <w:pStyle w:val="TextBody"/>
        <w:bidi w:val="0"/>
        <w:spacing w:before="0" w:after="240"/>
        <w:jc w:val="both"/>
        <w:rPr>
          <w:rFonts w:ascii="Times New Roman" w:hAnsi="Times New Roman"/>
          <w:sz w:val="20"/>
        </w:rPr>
      </w:pPr>
      <w:bookmarkStart w:id="735" w:name="docxtextref1077"/>
      <w:bookmarkEnd w:id="735"/>
      <w:r>
        <w:rPr>
          <w:rFonts w:ascii="Times New Roman;serif" w:hAnsi="Times New Roman;serif"/>
          <w:b w:val="false"/>
          <w:sz w:val="22"/>
        </w:rPr>
        <w:t>(b) In the event and on each occasion that (i)</w:t>
      </w:r>
      <w:r>
        <w:rPr>
          <w:rFonts w:ascii="Times New Roman" w:hAnsi="Times New Roman"/>
          <w:sz w:val="20"/>
        </w:rPr>
        <w:t xml:space="preserve"> </w:t>
      </w:r>
      <w:r>
        <w:rPr>
          <w:rFonts w:ascii="Times New Roman;serif" w:hAnsi="Times New Roman;serif"/>
          <w:b w:val="false"/>
          <w:sz w:val="22"/>
        </w:rPr>
        <w:t xml:space="preserve">the aggregate Revolving Exposures of any Class exceed the aggregate Revolving Commitments of such Class, Bidco or the Revolving Borrowers shall prepay Revolving Borrowings or Swingline Loans of such Class (or, if no such Borrowings are outstanding, deposit cash collateral in an account with a depositary bank that is a Lender reasonably satisfactory to the Collateral Agent pursuant to </w:t>
      </w:r>
      <w:r>
        <w:rPr>
          <w:rFonts w:ascii="Times New Roman;serif" w:hAnsi="Times New Roman;serif"/>
          <w:b w:val="false"/>
          <w:sz w:val="22"/>
          <w:u w:val="single"/>
        </w:rPr>
        <w:t>Section 2.04(j)</w:t>
      </w:r>
      <w:r>
        <w:rPr>
          <w:rFonts w:ascii="Times New Roman;serif" w:hAnsi="Times New Roman;serif"/>
          <w:b w:val="false"/>
          <w:sz w:val="22"/>
        </w:rPr>
        <w:t xml:space="preserve">) in an aggregate amount necessary to eliminate such excess or (ii) any Net Proceeds are received by or on behalf of Bidco or any of the Restricted Subsidiaries in respect of any Prepayment Event described in clause (b) of the definition thereof, Bidco or the Term Borrowers shall, on the date of such Prepayment Event, prepay Term Loans in an aggregate amount equal to 100% of such Net Proceeds;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the prepayment arising from such Prepayment Event occurs prior to the date that is 12 months following the Effective Date and is in connection with a Repricing Transaction, Bidco or the Term Borrowers shall pay to the Administrative Agent, for the ratable account of each of the applicable Term Lenders, a prepayment premium of </w:t>
      </w:r>
      <w:bookmarkStart w:id="736" w:name="docxtextref1076"/>
      <w:bookmarkEnd w:id="736"/>
      <w:r>
        <w:rPr>
          <w:rFonts w:ascii="Times New Roman;serif" w:hAnsi="Times New Roman;serif"/>
          <w:b w:val="false"/>
          <w:sz w:val="22"/>
        </w:rPr>
        <w:t xml:space="preserve">1.00% of the principal amount of the Initial Term Loans being prepaid in connection with such Repricing Transaction;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the Borrower may use a portion of such Net Proceeds to prepay or repurchase any other Indebtedness that is secured by the Collateral on a pari passu basis with the Secured Obligations to the extent such other Indebtedness and the Liens securing the same are not prohibited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pStyle w:val="TextBody"/>
        <w:bidi w:val="0"/>
        <w:spacing w:before="0" w:after="240"/>
        <w:jc w:val="both"/>
        <w:rPr>
          <w:rFonts w:ascii="Times New Roman" w:hAnsi="Times New Roman"/>
          <w:sz w:val="20"/>
        </w:rPr>
      </w:pPr>
      <w:bookmarkStart w:id="737" w:name="docxtextref1083"/>
      <w:bookmarkEnd w:id="737"/>
      <w:r>
        <w:rPr>
          <w:rFonts w:ascii="Times New Roman;serif" w:hAnsi="Times New Roman;serif"/>
          <w:b w:val="false"/>
          <w:sz w:val="22"/>
        </w:rPr>
        <w:t xml:space="preserve">(c) Subject to the provisions of </w:t>
      </w:r>
      <w:r>
        <w:rPr>
          <w:rFonts w:ascii="Times New Roman;serif" w:hAnsi="Times New Roman;serif"/>
          <w:b w:val="false"/>
          <w:sz w:val="22"/>
          <w:u w:val="single"/>
        </w:rPr>
        <w:t>Section 6.04(b)</w:t>
      </w:r>
      <w:r>
        <w:rPr>
          <w:rFonts w:ascii="Times New Roman;serif" w:hAnsi="Times New Roman;serif"/>
          <w:b w:val="false"/>
          <w:sz w:val="22"/>
        </w:rPr>
        <w:t xml:space="preserve">, in the event and on each occasion that any Net Proceeds are received by or on behalf of Bidco or any of the Restricted Subsidiaries in respect of any Prepayment Event described in clause (a) of the definition thereof, Bidco or the Term Borrowers shall, within five (5) Business Days after such Net Proceeds are received, prepay Term Loans in an aggregate amount equal to 100% of such Net Proceeds;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Bidco and the Borrowers may use a portion of such Net Proceeds to prepay or repurchase any other Indebtedness that is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w:t>
      </w:r>
      <w:r>
        <w:rPr>
          <w:rFonts w:ascii="Times New Roman" w:hAnsi="Times New Roman"/>
          <w:sz w:val="20"/>
        </w:rPr>
        <w:t xml:space="preserve"> </w:t>
      </w:r>
      <w:r>
        <w:rPr>
          <w:rFonts w:ascii="Times New Roman;serif" w:hAnsi="Times New Roman;serif"/>
          <w:b w:val="false"/>
          <w:sz w:val="22"/>
        </w:rPr>
        <w:t xml:space="preserve">the amount of such Net Proceeds and </w:t>
      </w:r>
      <w:bookmarkStart w:id="738" w:name="docxtextref1084"/>
      <w:bookmarkEnd w:id="738"/>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 fraction, the numerator of which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is the outstanding principal amount of such other Indebtedness and the denominator of which is the aggregate outstanding principal amount of Term Loans and such other Indebtedness.</w:t>
      </w:r>
    </w:p>
    <w:p>
      <w:pPr>
        <w:pStyle w:val="TextBody"/>
        <w:bidi w:val="0"/>
        <w:spacing w:before="0" w:after="240"/>
        <w:jc w:val="both"/>
        <w:rPr>
          <w:rFonts w:ascii="Times New Roman" w:hAnsi="Times New Roman"/>
          <w:sz w:val="20"/>
        </w:rPr>
      </w:pPr>
      <w:bookmarkStart w:id="739" w:name="docxtextref1091"/>
      <w:bookmarkEnd w:id="739"/>
      <w:r>
        <w:rPr>
          <w:rFonts w:ascii="Times New Roman;serif" w:hAnsi="Times New Roman;serif"/>
          <w:b w:val="false"/>
          <w:sz w:val="22"/>
        </w:rPr>
        <w:t>(d) Following the end of each fiscal year of Bidco, commencing with the fiscal year ending December 31, 2020, Bidco or the Borrowers shall prepay Term Loans in an aggregate amount equal to the excess of (x)</w:t>
      </w:r>
      <w:r>
        <w:rPr>
          <w:rFonts w:ascii="Times New Roman" w:hAnsi="Times New Roman"/>
          <w:sz w:val="20"/>
        </w:rPr>
        <w:t xml:space="preserve"> </w:t>
      </w:r>
      <w:r>
        <w:rPr>
          <w:rFonts w:ascii="Times New Roman;serif" w:hAnsi="Times New Roman;serif"/>
          <w:b w:val="false"/>
          <w:sz w:val="22"/>
        </w:rPr>
        <w:t xml:space="preserve">the ECF Percentage of Excess Cash Flow for such fiscal year over </w:t>
      </w:r>
      <w:bookmarkStart w:id="740" w:name="docxtextref1092"/>
      <w:bookmarkEnd w:id="74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the greater of </w:t>
      </w:r>
      <w:bookmarkStart w:id="741" w:name="docxtextref1093"/>
      <w:bookmarkEnd w:id="74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$75,000,000 and (ii) 10% of Consolidated EBITDA for the most recently ended Test Period as of such date, calculated on a Pro Forma Basis;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amount shall, at the option of Bidco, be reduced on a dollar-for-dollar basis for such fiscal year by:</w:t>
      </w:r>
    </w:p>
    <w:p>
      <w:pPr>
        <w:pStyle w:val="TextBody"/>
        <w:bidi w:val="0"/>
        <w:spacing w:before="0" w:after="240"/>
        <w:jc w:val="both"/>
        <w:rPr>
          <w:rFonts w:ascii="Times New Roman" w:hAnsi="Times New Roman"/>
          <w:sz w:val="20"/>
        </w:rPr>
      </w:pPr>
      <w:bookmarkStart w:id="742" w:name="docxtextref1101"/>
      <w:bookmarkEnd w:id="742"/>
      <w:r>
        <w:rPr>
          <w:rFonts w:ascii="Times New Roman;serif" w:hAnsi="Times New Roman;serif"/>
          <w:b w:val="false"/>
          <w:sz w:val="22"/>
        </w:rPr>
        <w:t>(i) the aggregate amount of prepayments and repurchases of (A)</w:t>
      </w:r>
      <w:r>
        <w:rPr>
          <w:rFonts w:ascii="Times New Roman" w:hAnsi="Times New Roman"/>
          <w:sz w:val="20"/>
        </w:rPr>
        <w:t xml:space="preserve"> </w:t>
      </w:r>
      <w:r>
        <w:rPr>
          <w:rFonts w:ascii="Times New Roman;serif" w:hAnsi="Times New Roman;serif"/>
          <w:b w:val="false"/>
          <w:sz w:val="22"/>
        </w:rPr>
        <w:t xml:space="preserve">Term Loans (and to the extent the Revolving Commitments are reduced in a corresponding amount pursuant to </w:t>
      </w:r>
      <w:r>
        <w:rPr>
          <w:rFonts w:ascii="Times New Roman;serif" w:hAnsi="Times New Roman;serif"/>
          <w:b w:val="false"/>
          <w:sz w:val="22"/>
          <w:u w:val="single"/>
        </w:rPr>
        <w:t>Section 2.07</w:t>
      </w:r>
      <w:r>
        <w:rPr>
          <w:rFonts w:ascii="Times New Roman;serif" w:hAnsi="Times New Roman;serif"/>
          <w:b w:val="false"/>
          <w:sz w:val="22"/>
        </w:rPr>
        <w:t xml:space="preserve">, Revolving Loans) made pursuant to </w:t>
      </w:r>
      <w:r>
        <w:rPr>
          <w:rFonts w:ascii="Times New Roman;serif" w:hAnsi="Times New Roman;serif"/>
          <w:b w:val="false"/>
          <w:sz w:val="22"/>
          <w:u w:val="single"/>
        </w:rPr>
        <w:t>Section 2.10(a)</w:t>
      </w:r>
      <w:r>
        <w:rPr>
          <w:rFonts w:ascii="Times New Roman" w:hAnsi="Times New Roman"/>
          <w:sz w:val="20"/>
        </w:rPr>
        <w:t xml:space="preserve"> </w:t>
      </w:r>
      <w:r>
        <w:rPr>
          <w:rFonts w:ascii="Times New Roman;serif" w:hAnsi="Times New Roman;serif"/>
          <w:b w:val="false"/>
          <w:sz w:val="22"/>
        </w:rPr>
        <w:t xml:space="preserve">(or otherwise in a manner not prohibited by </w:t>
      </w:r>
      <w:r>
        <w:rPr>
          <w:rFonts w:ascii="Times New Roman;serif" w:hAnsi="Times New Roman;serif"/>
          <w:b w:val="false"/>
          <w:sz w:val="22"/>
          <w:u w:val="single"/>
        </w:rPr>
        <w:t>Section 9.04(g)</w:t>
      </w:r>
      <w:r>
        <w:rPr>
          <w:rFonts w:ascii="Times New Roman;serif" w:hAnsi="Times New Roman;serif"/>
          <w:b w:val="false"/>
          <w:sz w:val="22"/>
        </w:rPr>
        <w:t xml:space="preserve">) and </w:t>
      </w:r>
      <w:bookmarkStart w:id="743" w:name="docxtextref1102"/>
      <w:bookmarkEnd w:id="74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other Consolidated Senior Secured First Lien Indebtedness, in each case during such fiscal year (without duplication of amounts deducted pursuant to this clause (i) in prior fiscal years), or after such fiscal year and on or prior to the 90th day after the end of such fiscal year;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w:t>
      </w:r>
      <w:bookmarkStart w:id="744" w:name="docxtextref1099"/>
      <w:bookmarkEnd w:id="744"/>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such reduction as a result of prepayments pursuant to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9.04(g)</w:t>
      </w:r>
      <w:r>
        <w:rPr>
          <w:rFonts w:ascii="Times New Roman" w:hAnsi="Times New Roman"/>
          <w:sz w:val="20"/>
        </w:rPr>
        <w:t xml:space="preserve"> </w:t>
      </w:r>
      <w:r>
        <w:rPr>
          <w:rFonts w:ascii="Times New Roman;serif" w:hAnsi="Times New Roman;serif"/>
          <w:b w:val="false"/>
          <w:sz w:val="22"/>
        </w:rPr>
        <w:t xml:space="preserve">shall be limited to the actual amount of such cash prepayment, </w:t>
      </w:r>
      <w:bookmarkStart w:id="745" w:name="docxtextref1100"/>
      <w:bookmarkEnd w:id="745"/>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in the case of the prepayment of any revolving commitments, there is a corresponding reduction in commitments and (3) such reduction shall exclude all such prepayments funded with the proceeds of other long-term Indebtedness (other than the Revolving Loans); and</w:t>
      </w:r>
    </w:p>
    <w:p>
      <w:pPr>
        <w:pStyle w:val="TextBody"/>
        <w:bidi w:val="0"/>
        <w:spacing w:before="0" w:after="240"/>
        <w:jc w:val="both"/>
        <w:rPr>
          <w:rFonts w:ascii="Times New Roman" w:hAnsi="Times New Roman"/>
          <w:sz w:val="20"/>
        </w:rPr>
      </w:pPr>
      <w:bookmarkStart w:id="746" w:name="docxtextref1103"/>
      <w:bookmarkEnd w:id="746"/>
      <w:r>
        <w:rPr>
          <w:rFonts w:ascii="Times New Roman;serif" w:hAnsi="Times New Roman;serif"/>
          <w:b w:val="false"/>
          <w:sz w:val="22"/>
        </w:rPr>
        <w:t xml:space="preserve">(ii) in each case without duplication of any such reduction from the definition of “Excess Cash Flow” by such amounts, by the aggregate amount of clauses (b)(ii), (vi), (vii), (viii), (ix), (x), (xi), (xii), (xiii) and (xiv) of the definition of “Excess Cash Flow” for such fiscal year and on or prior to the 90th day after the end of such fiscal year;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such reduction shall exclude all such payments funded with the proceeds of other long-term Indebtedness (other than the Revolving Loans).</w:t>
      </w:r>
    </w:p>
    <w:p>
      <w:pPr>
        <w:pStyle w:val="TextBody"/>
        <w:bidi w:val="0"/>
        <w:spacing w:before="0" w:after="240"/>
        <w:jc w:val="both"/>
        <w:rPr>
          <w:rFonts w:ascii="Times New Roman" w:hAnsi="Times New Roman"/>
          <w:sz w:val="20"/>
        </w:rPr>
      </w:pPr>
      <w:bookmarkStart w:id="747" w:name="docxtextref1108"/>
      <w:bookmarkEnd w:id="747"/>
      <w:r>
        <w:rPr>
          <w:rFonts w:ascii="Times New Roman;serif" w:hAnsi="Times New Roman;serif"/>
          <w:b w:val="false"/>
          <w:sz w:val="22"/>
        </w:rPr>
        <w:t>Notwithstanding anything in the foregoing to the contrary, at Bidco’s option, (1)</w:t>
      </w:r>
      <w:r>
        <w:rPr>
          <w:rFonts w:ascii="Times New Roman" w:hAnsi="Times New Roman"/>
          <w:sz w:val="20"/>
        </w:rPr>
        <w:t xml:space="preserve"> </w:t>
      </w:r>
      <w:r>
        <w:rPr>
          <w:rFonts w:ascii="Times New Roman;serif" w:hAnsi="Times New Roman;serif"/>
          <w:b w:val="false"/>
          <w:sz w:val="22"/>
        </w:rPr>
        <w:t xml:space="preserve">the Senior Secured First Lien Net Leverage Ratio in the definition of “ECF Percentage” shall be recalculated to give Pro Forma Effect to any amount referred to in proviso clauses (i) and (ii) above that is paid or otherwise realized or accounted for after the end of the applicable fiscal year but prior to the making of the Excess Cash Flow payment required for such fiscal year and (2) any payments and cash uses under clauses (i) and (ii) above that have not been applied to reduce the payments which may be due from time to time pursuant to this </w:t>
      </w:r>
      <w:r>
        <w:rPr>
          <w:rFonts w:ascii="Times New Roman;serif" w:hAnsi="Times New Roman;serif"/>
          <w:b w:val="false"/>
          <w:sz w:val="22"/>
          <w:u w:val="single"/>
        </w:rPr>
        <w:t>Section 2.10(d)</w:t>
      </w:r>
      <w:r>
        <w:rPr>
          <w:rFonts w:ascii="Times New Roman" w:hAnsi="Times New Roman"/>
          <w:sz w:val="20"/>
        </w:rPr>
        <w:t xml:space="preserve"> </w:t>
      </w:r>
      <w:r>
        <w:rPr>
          <w:rFonts w:ascii="Times New Roman;serif" w:hAnsi="Times New Roman;serif"/>
          <w:b w:val="false"/>
          <w:sz w:val="22"/>
        </w:rPr>
        <w:t xml:space="preserve">shall be carried over to subsequent periods, and may reduce the payments due from time to time pursuant to this </w:t>
      </w:r>
      <w:r>
        <w:rPr>
          <w:rFonts w:ascii="Times New Roman;serif" w:hAnsi="Times New Roman;serif"/>
          <w:b w:val="false"/>
          <w:sz w:val="22"/>
          <w:u w:val="single"/>
        </w:rPr>
        <w:t>Section 2.10(d)</w:t>
      </w:r>
      <w:r>
        <w:rPr>
          <w:rFonts w:ascii="Times New Roman" w:hAnsi="Times New Roman"/>
          <w:sz w:val="20"/>
        </w:rPr>
        <w:t xml:space="preserve"> </w:t>
      </w:r>
      <w:r>
        <w:rPr>
          <w:rFonts w:ascii="Times New Roman;serif" w:hAnsi="Times New Roman;serif"/>
          <w:b w:val="false"/>
          <w:sz w:val="22"/>
        </w:rPr>
        <w:t xml:space="preserve">during such subsequent periods (until such time as such payments and cash uses are so applied to reduce such payments which may be due from time to time). Each prepayment pursuant to this </w:t>
      </w:r>
      <w:r>
        <w:rPr>
          <w:rFonts w:ascii="Times New Roman;serif" w:hAnsi="Times New Roman;serif"/>
          <w:b w:val="false"/>
          <w:sz w:val="22"/>
          <w:u w:val="single"/>
        </w:rPr>
        <w:t>Section 2.10(d)</w:t>
      </w:r>
      <w:r>
        <w:rPr>
          <w:rFonts w:ascii="Times New Roman" w:hAnsi="Times New Roman"/>
          <w:sz w:val="20"/>
        </w:rPr>
        <w:t xml:space="preserve"> </w:t>
      </w:r>
      <w:r>
        <w:rPr>
          <w:rFonts w:ascii="Times New Roman;serif" w:hAnsi="Times New Roman;serif"/>
          <w:b w:val="false"/>
          <w:sz w:val="22"/>
        </w:rPr>
        <w:t xml:space="preserve">shall be made on or before the date that is ten (10) days after the date on which financial statements are required to be delivered pursuant to </w:t>
      </w:r>
      <w:r>
        <w:rPr>
          <w:rFonts w:ascii="Times New Roman;serif" w:hAnsi="Times New Roman;serif"/>
          <w:b w:val="false"/>
          <w:sz w:val="22"/>
          <w:u w:val="single"/>
        </w:rPr>
        <w:t>Section 5.01</w:t>
      </w:r>
      <w:r>
        <w:rPr>
          <w:rFonts w:ascii="Times New Roman" w:hAnsi="Times New Roman"/>
          <w:sz w:val="20"/>
        </w:rPr>
        <w:t xml:space="preserve"> </w:t>
      </w:r>
      <w:r>
        <w:rPr>
          <w:rFonts w:ascii="Times New Roman;serif" w:hAnsi="Times New Roman;serif"/>
          <w:b w:val="false"/>
          <w:sz w:val="22"/>
        </w:rPr>
        <w:t>with respect to the fiscal year for which Excess Cash Flow is being calculated.</w:t>
      </w:r>
    </w:p>
    <w:p>
      <w:pPr>
        <w:pStyle w:val="TextBody"/>
        <w:bidi w:val="0"/>
        <w:spacing w:before="0" w:after="240"/>
        <w:jc w:val="both"/>
        <w:rPr>
          <w:rFonts w:ascii="Times New Roman" w:hAnsi="Times New Roman"/>
          <w:sz w:val="20"/>
        </w:rPr>
      </w:pPr>
      <w:bookmarkStart w:id="748" w:name="docxtextref1115"/>
      <w:bookmarkEnd w:id="748"/>
      <w:r>
        <w:rPr>
          <w:rFonts w:ascii="Times New Roman;serif" w:hAnsi="Times New Roman;serif"/>
          <w:b w:val="false"/>
          <w:sz w:val="22"/>
        </w:rPr>
        <w:t xml:space="preserve">(e) Prior to any optional prepayment of Borrowings pursuant to </w:t>
      </w:r>
      <w:r>
        <w:rPr>
          <w:rFonts w:ascii="Times New Roman;serif" w:hAnsi="Times New Roman;serif"/>
          <w:b w:val="false"/>
          <w:sz w:val="22"/>
          <w:u w:val="single"/>
        </w:rPr>
        <w:t>Section 2.10(a)(i)</w:t>
      </w:r>
      <w:r>
        <w:rPr>
          <w:rFonts w:ascii="Times New Roman;serif" w:hAnsi="Times New Roman;serif"/>
          <w:b w:val="false"/>
          <w:sz w:val="22"/>
        </w:rPr>
        <w:t>, Bidco or the Borrowers shall select the Borrowing or Borrowings to be prepaid and shall specify such selection in the notice of such prepayment pursuant to paragraph (f)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2.10</w:t>
      </w:r>
      <w:r>
        <w:rPr>
          <w:rFonts w:ascii="Times New Roman;serif" w:hAnsi="Times New Roman;serif"/>
          <w:b w:val="false"/>
          <w:sz w:val="22"/>
        </w:rPr>
        <w:t xml:space="preserve">. In the event of any mandatory prepayment of Term Borrowings made at a time when Term Borrowings of more than one Class remain outstanding, Bidco or the Borrowers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Term Lender may elect, by notice to the Administrative Agent by facsimile at least two (2) Business Days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(or in the case of prepayments of any Term Loans that are ABR Loans, one (1) Business Day) prior to the prepayment date, to decline all or any portion of any prepayment of its Term Loans of any such Class pursuant to this </w:t>
      </w:r>
      <w:r>
        <w:rPr>
          <w:rFonts w:ascii="Times New Roman;serif" w:hAnsi="Times New Roman;serif"/>
          <w:b w:val="false"/>
          <w:sz w:val="22"/>
          <w:u w:val="single"/>
        </w:rPr>
        <w:t>Section 2.10</w:t>
      </w:r>
      <w:r>
        <w:rPr>
          <w:rFonts w:ascii="Times New Roman" w:hAnsi="Times New Roman"/>
          <w:sz w:val="20"/>
        </w:rPr>
        <w:t xml:space="preserve"> </w:t>
      </w:r>
      <w:r>
        <w:rPr>
          <w:rFonts w:ascii="Times New Roman;serif" w:hAnsi="Times New Roman;serif"/>
          <w:b w:val="false"/>
          <w:sz w:val="22"/>
        </w:rPr>
        <w:t xml:space="preserve">(other than an optional prepayment pursuant to paragraph (a)(i) of this </w:t>
      </w:r>
      <w:r>
        <w:rPr>
          <w:rFonts w:ascii="Times New Roman;serif" w:hAnsi="Times New Roman;serif"/>
          <w:b w:val="false"/>
          <w:sz w:val="22"/>
          <w:u w:val="single"/>
        </w:rPr>
        <w:t>Section 2.10</w:t>
      </w:r>
      <w:r>
        <w:rPr>
          <w:rFonts w:ascii="Times New Roman" w:hAnsi="Times New Roman"/>
          <w:sz w:val="20"/>
        </w:rPr>
        <w:t xml:space="preserve"> </w:t>
      </w:r>
      <w:r>
        <w:rPr>
          <w:rFonts w:ascii="Times New Roman;serif" w:hAnsi="Times New Roman;serif"/>
          <w:b w:val="false"/>
          <w:sz w:val="22"/>
        </w:rPr>
        <w:t>or a mandatory prepayment as a result of the Prepayment Event set forth in clause (b) of the definition thereof, which may not be declined), in which case the aggregate amount of the prepayment that would have been applied to prepay Term Loans of any such Class but was so declined (and not used pursuant to the immediately following sentence) shall be retained by Bidco (such amounts, “</w:t>
      </w:r>
      <w:r>
        <w:rPr>
          <w:rFonts w:ascii="Times New Roman;serif" w:hAnsi="Times New Roman;serif"/>
          <w:b w:val="false"/>
          <w:sz w:val="22"/>
          <w:u w:val="single"/>
        </w:rPr>
        <w:t>Retained Declined Proceeds</w:t>
      </w:r>
      <w:r>
        <w:rPr>
          <w:rFonts w:ascii="Times New Roman" w:hAnsi="Times New Roman"/>
          <w:sz w:val="20"/>
        </w:rPr>
        <w:t>”</w:t>
      </w:r>
      <w:r>
        <w:rPr>
          <w:rFonts w:ascii="Times New Roman;serif" w:hAnsi="Times New Roman;serif"/>
          <w:b w:val="false"/>
          <w:sz w:val="22"/>
        </w:rPr>
        <w:t xml:space="preserve">). Optional prepayments of Term Borrowings shall be allocated among the Classes of Term Borrowings as directed by Bidco or the Borrowers. In the absence of a designation by Bidco or the Borrowers as described in the preceding provisions of this paragraph of the Type of Borrowing of any Class, the Administrative Agent shall make such designation in its reasonable discretion with a view, but no obligation, to minimize breakage costs owing under </w:t>
      </w:r>
      <w:r>
        <w:rPr>
          <w:rFonts w:ascii="Times New Roman;serif" w:hAnsi="Times New Roman;serif"/>
          <w:b w:val="false"/>
          <w:sz w:val="22"/>
          <w:u w:val="single"/>
        </w:rPr>
        <w:t>Section 2.15</w:t>
      </w:r>
      <w:r>
        <w:rPr>
          <w:rFonts w:ascii="Times New Roman" w:hAnsi="Times New Roman"/>
          <w:sz w:val="20"/>
        </w:rPr>
        <w:t xml:space="preserve"> </w:t>
      </w:r>
      <w:r>
        <w:rPr>
          <w:rFonts w:ascii="Times New Roman;serif" w:hAnsi="Times New Roman;serif"/>
          <w:b w:val="false"/>
          <w:sz w:val="22"/>
        </w:rPr>
        <w:t xml:space="preserve">and shall be applied in direct order of maturity;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in connection with any mandatory prepayments by Bidco or the Borrowers of the Term Loans pursuant to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(d)</w:t>
      </w:r>
      <w:r>
        <w:rPr>
          <w:rFonts w:ascii="Times New Roman;serif" w:hAnsi="Times New Roman;serif"/>
          <w:b w:val="false"/>
          <w:sz w:val="22"/>
        </w:rPr>
        <w:t>, such prepayments shall be applied on a pro rata basis to the then outstanding Term Loans being prepaid irrespective of whether such outstanding Term Loans are ABR Loans or Eurodollar Loans.</w:t>
      </w:r>
    </w:p>
    <w:p>
      <w:pPr>
        <w:pStyle w:val="TextBody"/>
        <w:bidi w:val="0"/>
        <w:spacing w:before="0" w:after="240"/>
        <w:jc w:val="both"/>
        <w:rPr>
          <w:rFonts w:ascii="Times New Roman" w:hAnsi="Times New Roman"/>
          <w:sz w:val="20"/>
        </w:rPr>
      </w:pPr>
      <w:bookmarkStart w:id="749" w:name="docxtextref1121"/>
      <w:bookmarkEnd w:id="749"/>
      <w:r>
        <w:rPr>
          <w:rFonts w:ascii="Times New Roman;serif" w:hAnsi="Times New Roman;serif"/>
          <w:b w:val="false"/>
          <w:sz w:val="22"/>
        </w:rPr>
        <w:t xml:space="preserve">(f) Bidco or the Borrowers shall notify the Administrative Agent (and, in the case of prepayment of a Swingline Loan, the Swingline Lender) of any prepayment hereunder by hand delivery, facsimile or other electronic transmission of a written Prepayment Notice signed by Bidco or a Borrower substantially in the form of </w:t>
      </w:r>
      <w:r>
        <w:rPr>
          <w:rFonts w:ascii="Times New Roman;serif" w:hAnsi="Times New Roman;serif"/>
          <w:b w:val="false"/>
          <w:sz w:val="22"/>
          <w:u w:val="single"/>
        </w:rPr>
        <w:t>Exhibit X</w:t>
      </w:r>
      <w:r>
        <w:rPr>
          <w:rFonts w:ascii="Times New Roman" w:hAnsi="Times New Roman"/>
          <w:sz w:val="20"/>
        </w:rPr>
        <w:t xml:space="preserve"> </w:t>
      </w:r>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in the case of prepayment of a Eurodollar Borrowing, not later than 11:00 a.m., New York City time, three (3) Business Days before the date of prepayment (or, in the sole discretion of the Administrative Agent, one (1) Business Day) or (ii) in the case of prepayment of an ABR Borrowing, not later than 11:00 a.m., New York City time, one (1) 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extended by Bidco or the Borrowers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Times New Roman;serif" w:hAnsi="Times New Roman;serif"/>
          <w:b w:val="false"/>
          <w:sz w:val="22"/>
          <w:u w:val="single"/>
        </w:rPr>
        <w:t>Section 2.02</w:t>
      </w:r>
      <w:r>
        <w:rPr>
          <w:rFonts w:ascii="Times New Roman;serif" w:hAnsi="Times New Roman;serif"/>
          <w:b w:val="false"/>
          <w:sz w:val="22"/>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serif" w:hAnsi="Times New Roman;serif"/>
          <w:b w:val="false"/>
          <w:sz w:val="22"/>
          <w:u w:val="single"/>
        </w:rPr>
        <w:t>Section 2.12</w:t>
      </w:r>
      <w:r>
        <w:rPr>
          <w:rFonts w:ascii="Times New Roman;serif" w:hAnsi="Times New Roman;serif"/>
          <w:b w:val="false"/>
          <w:sz w:val="22"/>
        </w:rPr>
        <w:t xml:space="preserve">, and subject to </w:t>
      </w:r>
      <w:r>
        <w:rPr>
          <w:rFonts w:ascii="Times New Roman;serif" w:hAnsi="Times New Roman;serif"/>
          <w:b w:val="false"/>
          <w:sz w:val="22"/>
          <w:u w:val="single"/>
        </w:rPr>
        <w:t>Section 2.10(a)(i)</w:t>
      </w:r>
      <w:r>
        <w:rPr>
          <w:rFonts w:ascii="Times New Roman;serif" w:hAnsi="Times New Roman;serif"/>
          <w:b w:val="false"/>
          <w:sz w:val="22"/>
        </w:rPr>
        <w:t xml:space="preserve">, shall be without premium or penalty. At Bidco’s or the Borrowers’ election in connection with any prepayment pursuant to this </w:t>
      </w:r>
      <w:r>
        <w:rPr>
          <w:rFonts w:ascii="Times New Roman;serif" w:hAnsi="Times New Roman;serif"/>
          <w:b w:val="false"/>
          <w:sz w:val="22"/>
          <w:u w:val="single"/>
        </w:rPr>
        <w:t>Section 2.10</w:t>
      </w:r>
      <w:r>
        <w:rPr>
          <w:rFonts w:ascii="Times New Roman;serif" w:hAnsi="Times New Roman;serif"/>
          <w:b w:val="false"/>
          <w:sz w:val="22"/>
        </w:rPr>
        <w:t xml:space="preserve">, such prepayment shall not be applied to any Term Loan or Revolving Loan of a Defaulting Lender (under any of subclauses (a), </w:t>
      </w:r>
      <w:bookmarkStart w:id="750" w:name="docxtextref1122"/>
      <w:bookmarkEnd w:id="75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or </w:t>
      </w:r>
      <w:bookmarkStart w:id="751" w:name="docxtextref1123"/>
      <w:bookmarkEnd w:id="75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of the definition of “Defaulting Lender”) and shall be allocated ratably among the relevant non-Defaulting Lenders.</w:t>
      </w:r>
    </w:p>
    <w:p>
      <w:pPr>
        <w:pStyle w:val="TextBody"/>
        <w:bidi w:val="0"/>
        <w:spacing w:before="0" w:after="240"/>
        <w:jc w:val="both"/>
        <w:rPr>
          <w:rFonts w:ascii="Times New Roman" w:hAnsi="Times New Roman"/>
          <w:sz w:val="20"/>
        </w:rPr>
      </w:pPr>
      <w:bookmarkStart w:id="752" w:name="docxtextref1135"/>
      <w:bookmarkEnd w:id="752"/>
      <w:r>
        <w:rPr>
          <w:rFonts w:ascii="Times New Roman;serif" w:hAnsi="Times New Roman;serif"/>
          <w:b w:val="false"/>
          <w:sz w:val="22"/>
        </w:rPr>
        <w:t xml:space="preserve">(g) Notwithstanding any other provisions of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(d)</w:t>
      </w:r>
      <w:r>
        <w:rPr>
          <w:rFonts w:ascii="Times New Roman;serif" w:hAnsi="Times New Roman;serif"/>
          <w:b w:val="false"/>
          <w:sz w:val="22"/>
        </w:rPr>
        <w:t xml:space="preserve">, </w:t>
      </w:r>
      <w:r>
        <w:rPr>
          <w:rFonts w:ascii="Times New Roman;serif" w:hAnsi="Times New Roman;serif"/>
          <w:b w:val="false"/>
          <w:sz w:val="22"/>
          <w:u w:val="single"/>
        </w:rPr>
        <w:t>(A)</w:t>
      </w:r>
      <w:r>
        <w:rPr>
          <w:rFonts w:ascii="Times New Roman" w:hAnsi="Times New Roman"/>
          <w:sz w:val="20"/>
        </w:rPr>
        <w:t xml:space="preserve"> </w:t>
      </w:r>
      <w:r>
        <w:rPr>
          <w:rFonts w:ascii="Times New Roman;serif" w:hAnsi="Times New Roman;serif"/>
          <w:b w:val="false"/>
          <w:sz w:val="22"/>
        </w:rPr>
        <w:t xml:space="preserve">to the extent that any of or all the Net Proceeds of any Prepayment Event by or Excess Cash Flow of a Foreign Subsidiary of Bidco giving rise to a prepayment pursuant to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(d)</w:t>
      </w:r>
      <w:r>
        <w:rPr>
          <w:rFonts w:ascii="Times New Roman" w:hAnsi="Times New Roman"/>
          <w:sz w:val="20"/>
        </w:rPr>
        <w:t xml:space="preserve"> </w:t>
      </w:r>
      <w:r>
        <w:rPr>
          <w:rFonts w:ascii="Times New Roman;serif" w:hAnsi="Times New Roman;serif"/>
          <w:b w:val="false"/>
          <w:sz w:val="22"/>
        </w:rPr>
        <w:t>(a “</w:t>
      </w:r>
      <w:r>
        <w:rPr>
          <w:rFonts w:ascii="Times New Roman;serif" w:hAnsi="Times New Roman;serif"/>
          <w:b w:val="false"/>
          <w:sz w:val="22"/>
          <w:u w:val="single"/>
        </w:rPr>
        <w:t>Foreign Prepayment Event</w:t>
      </w:r>
      <w:r>
        <w:rPr>
          <w:rFonts w:ascii="Times New Roman" w:hAnsi="Times New Roman"/>
          <w:sz w:val="20"/>
        </w:rPr>
        <w:t>”</w:t>
      </w:r>
      <w:r>
        <w:rPr>
          <w:rFonts w:ascii="Times New Roman;serif" w:hAnsi="Times New Roman;serif"/>
          <w:b w:val="false"/>
          <w:sz w:val="22"/>
        </w:rPr>
        <w:t xml:space="preserve">) are prohibited or delayed by applicable local law from being repatriated to Bidco, the portion of such Net Proceeds or Excess Cash Flow so affected will not be required to be taken into account in determining the amount to be applied to repay Term Loans at the times provided in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(d)</w:t>
      </w:r>
      <w:r>
        <w:rPr>
          <w:rFonts w:ascii="Times New Roman;serif" w:hAnsi="Times New Roman;serif"/>
          <w:b w:val="false"/>
          <w:sz w:val="22"/>
        </w:rPr>
        <w:t>, as the case may be, and such amounts may be retained by such Subsidiary, and once Bidco has determined in good faith that such repatriation of any of such affected Net Proceeds or Excess Cash Flow is permitted under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-119-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753" w:name="docxtextref1139"/>
      <w:bookmarkEnd w:id="753"/>
      <w:r>
        <w:rPr>
          <w:rFonts w:ascii="Times New Roman;serif" w:hAnsi="Times New Roman;serif"/>
          <w:b w:val="false"/>
          <w:sz w:val="22"/>
        </w:rPr>
        <w:t xml:space="preserve">applicable local law, then the amount of such Net Proceeds or Excess Cash Flow will be taken into account as soon as practicable in determining the amount to be applied (net of additional taxes payable or reserved if such amounts were repatriated) to the repayment of the Term Loans pursuant to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(d)</w:t>
      </w:r>
      <w:r>
        <w:rPr>
          <w:rFonts w:ascii="Times New Roman;serif" w:hAnsi="Times New Roman;serif"/>
          <w:b w:val="false"/>
          <w:sz w:val="22"/>
        </w:rPr>
        <w:t>, as applicable, (B)</w:t>
      </w:r>
      <w:r>
        <w:rPr>
          <w:rFonts w:ascii="Times New Roman" w:hAnsi="Times New Roman"/>
          <w:sz w:val="20"/>
        </w:rPr>
        <w:t xml:space="preserve"> </w:t>
      </w:r>
      <w:r>
        <w:rPr>
          <w:rFonts w:ascii="Times New Roman;serif" w:hAnsi="Times New Roman;serif"/>
          <w:b w:val="false"/>
          <w:sz w:val="22"/>
        </w:rPr>
        <w:t xml:space="preserve">to the extent that and for so long as Bidco has determined in good faith that repatriation of any of or all the Net Proceeds of any Foreign Prepayment Event or Excess Cash Flow would have a material adverse tax or cost consequence with respect to such Net Proceeds or Excess Cash Flow, the amount of Net Proceeds or Excess Cash Flow so affected will not be required to be taken into account in determining the amount to be applied to repay Term Loans at the times provided in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2.10(d)</w:t>
      </w:r>
      <w:r>
        <w:rPr>
          <w:rFonts w:ascii="Times New Roman;serif" w:hAnsi="Times New Roman;serif"/>
          <w:b w:val="false"/>
          <w:sz w:val="22"/>
        </w:rPr>
        <w:t xml:space="preserve">, as the case may be, and such amounts may be retained by such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when Bidco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taken into account as soon as practicable in determining the amount to be applied (net of additional taxes payable or reserved against if such amounts were repatriated) to the repayment of the Term Loans pursuant to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2.10(d)</w:t>
      </w:r>
      <w:r>
        <w:rPr>
          <w:rFonts w:ascii="Times New Roman;serif" w:hAnsi="Times New Roman;serif"/>
          <w:b w:val="false"/>
          <w:sz w:val="22"/>
        </w:rPr>
        <w:t xml:space="preserve">, as applicable, and </w:t>
      </w:r>
      <w:bookmarkStart w:id="754" w:name="docxtextref1140"/>
      <w:bookmarkEnd w:id="75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to the extent that and for so long as Bidco has determined in good faith that repatriation of any of or all the Net Proceeds of any Foreign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2.10(d)</w:t>
      </w:r>
      <w:r>
        <w:rPr>
          <w:rFonts w:ascii="Times New Roman;serif" w:hAnsi="Times New Roman;serif"/>
          <w:b w:val="false"/>
          <w:sz w:val="22"/>
        </w:rPr>
        <w:t>, as the case may be, and such amounts may be retained by such Subsidiary.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2.11 </w:t>
      </w:r>
      <w:r>
        <w:rPr>
          <w:rFonts w:ascii="Times New Roman;serif" w:hAnsi="Times New Roman;serif"/>
          <w:b w:val="false"/>
          <w:sz w:val="22"/>
          <w:u w:val="single"/>
        </w:rPr>
        <w:t>Fees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The Borrowers agree to pay to the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pStyle w:val="TextBody"/>
        <w:bidi w:val="0"/>
        <w:spacing w:before="0" w:after="240"/>
        <w:jc w:val="both"/>
        <w:rPr>
          <w:rFonts w:ascii="Times New Roman" w:hAnsi="Times New Roman"/>
          <w:sz w:val="20"/>
        </w:rPr>
      </w:pPr>
      <w:bookmarkStart w:id="755" w:name="docxtextref1142"/>
      <w:bookmarkEnd w:id="755"/>
      <w:r>
        <w:rPr>
          <w:rFonts w:ascii="Times New Roman;serif" w:hAnsi="Times New Roman;serif"/>
          <w:b w:val="false"/>
          <w:sz w:val="22"/>
        </w:rPr>
        <w:t>(b) The Borrowers agree to pay (i)</w:t>
      </w:r>
      <w:r>
        <w:rPr>
          <w:rFonts w:ascii="Times New Roman" w:hAnsi="Times New Roman"/>
          <w:sz w:val="20"/>
        </w:rPr>
        <w:t xml:space="preserve"> </w:t>
      </w:r>
      <w:r>
        <w:rPr>
          <w:rFonts w:ascii="Times New Roman;serif" w:hAnsi="Times New Roman;serif"/>
          <w:b w:val="false"/>
          <w:sz w:val="22"/>
        </w:rPr>
        <w:t xml:space="preserve">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shall accrue at (x) a rate equal to </w:t>
      </w:r>
      <w:bookmarkStart w:id="756" w:name="docxtextref1141"/>
      <w:bookmarkEnd w:id="756"/>
      <w:r>
        <w:rPr>
          <w:rFonts w:ascii="Times New Roman;serif" w:hAnsi="Times New Roman;serif"/>
          <w:b w:val="false"/>
          <w:sz w:val="22"/>
        </w:rPr>
        <w:t>0.125% per annum or (y) a lesser rate per annum agreed to by any Issuing Bank (with respect to any Letter of Credit issued by such Issuing Bank), in each case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The Borrowers agree to pay to the Administrative Agent, for its own account, fees payable in the amounts and at the times separately agreed upon between the Borrowers and the Administrative Agent in the Fee Letter.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The Borrowers agree to pay to the Administrative Agent in dollars for the account of each Term Lender a ticking fee, which shall accrue at the rate of the Ticking Fee Percentage per annum, on an amount equal to the amount of the Initial Term Commitment of such Term Lender as of the Effective Date, during the period from and including the Allocation Date to but excluding the Effective Date. Accrued ticking fees shall be payable on the Effective Date. All ticking fees shall be computed on the basis of a year of 360 days and shall be payable for the actual number of days elapsed (including the first day but excluding the last day).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 Notwithstanding the foregoing, and subject to </w:t>
      </w:r>
      <w:r>
        <w:rPr>
          <w:rFonts w:ascii="Times New Roman;serif" w:hAnsi="Times New Roman;serif"/>
          <w:b w:val="false"/>
          <w:sz w:val="22"/>
          <w:u w:val="single"/>
        </w:rPr>
        <w:t>Section 2.21</w:t>
      </w:r>
      <w:r>
        <w:rPr>
          <w:rFonts w:ascii="Times New Roman;serif" w:hAnsi="Times New Roman;serif"/>
          <w:b w:val="false"/>
          <w:sz w:val="22"/>
        </w:rPr>
        <w:t xml:space="preserve">, the Borrowers shall not be obligated to pay any amounts to any Defaulting Lender pursuant to this </w:t>
      </w:r>
      <w:r>
        <w:rPr>
          <w:rFonts w:ascii="Times New Roman;serif" w:hAnsi="Times New Roman;serif"/>
          <w:b w:val="false"/>
          <w:sz w:val="22"/>
          <w:u w:val="single"/>
        </w:rPr>
        <w:t>Section 2.11</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2.12 </w:t>
      </w:r>
      <w:r>
        <w:rPr>
          <w:rFonts w:ascii="Times New Roman;serif" w:hAnsi="Times New Roman;serif"/>
          <w:b w:val="false"/>
          <w:sz w:val="22"/>
          <w:u w:val="single"/>
        </w:rPr>
        <w:t>Interest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The Loans comprising each ABR Borrowing (including each Swingline Loan) shall bear interest at the Alternate Base Rate plus the Applicable Rate.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Loans comprising each Eurodollar Borrowing shall bear interest at the Adjusted LIBO Rate for the Interest Period in effect for such Borrowing plus the Applicable Rate.</w:t>
      </w:r>
    </w:p>
    <w:p>
      <w:pPr>
        <w:pStyle w:val="TextBody"/>
        <w:bidi w:val="0"/>
        <w:spacing w:before="0" w:after="240"/>
        <w:jc w:val="both"/>
        <w:rPr>
          <w:rFonts w:ascii="Times New Roman" w:hAnsi="Times New Roman"/>
          <w:sz w:val="20"/>
        </w:rPr>
      </w:pPr>
      <w:bookmarkStart w:id="757" w:name="docxtextref1152"/>
      <w:bookmarkEnd w:id="757"/>
      <w:r>
        <w:rPr>
          <w:rFonts w:ascii="Times New Roman;serif" w:hAnsi="Times New Roman;serif"/>
          <w:b w:val="false"/>
          <w:sz w:val="22"/>
        </w:rPr>
        <w:t>(c) Notwithstanding the foregoing, if upon the occurrence and during the continuance of any Specified Event of Default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w:t>
      </w:r>
      <w:r>
        <w:rPr>
          <w:rFonts w:ascii="Times New Roman" w:hAnsi="Times New Roman"/>
          <w:sz w:val="20"/>
        </w:rPr>
        <w:t xml:space="preserve"> </w:t>
      </w:r>
      <w:r>
        <w:rPr>
          <w:rFonts w:ascii="Times New Roman;serif" w:hAnsi="Times New Roman;serif"/>
          <w:b w:val="false"/>
          <w:sz w:val="22"/>
        </w:rPr>
        <w:t xml:space="preserve">in the case of overdue principal of any Loan, </w:t>
      </w:r>
      <w:bookmarkStart w:id="758" w:name="docxtextref1150"/>
      <w:bookmarkEnd w:id="758"/>
      <w:r>
        <w:rPr>
          <w:rFonts w:ascii="Times New Roman;serif" w:hAnsi="Times New Roman;serif"/>
          <w:b w:val="false"/>
          <w:sz w:val="22"/>
        </w:rPr>
        <w:t xml:space="preserve">2.00% per annum plus the rate otherwise applicable to such Loan as provided in the preceding paragraphs of this </w:t>
      </w:r>
      <w:r>
        <w:rPr>
          <w:rFonts w:ascii="Times New Roman;serif" w:hAnsi="Times New Roman;serif"/>
          <w:b w:val="false"/>
          <w:sz w:val="22"/>
          <w:u w:val="single"/>
        </w:rPr>
        <w:t>Section 2.12</w:t>
      </w:r>
      <w:r>
        <w:rPr>
          <w:rFonts w:ascii="Times New Roman" w:hAnsi="Times New Roman"/>
          <w:sz w:val="20"/>
        </w:rPr>
        <w:t xml:space="preserve"> </w:t>
      </w:r>
      <w:r>
        <w:rPr>
          <w:rFonts w:ascii="Times New Roman;serif" w:hAnsi="Times New Roman;serif"/>
          <w:b w:val="false"/>
          <w:sz w:val="22"/>
        </w:rPr>
        <w:t xml:space="preserve">or (ii) in the case of any other amount, </w:t>
      </w:r>
      <w:bookmarkStart w:id="759" w:name="docxtextref1151"/>
      <w:bookmarkEnd w:id="759"/>
      <w:r>
        <w:rPr>
          <w:rFonts w:ascii="Times New Roman;serif" w:hAnsi="Times New Roman;serif"/>
          <w:b w:val="false"/>
          <w:sz w:val="22"/>
        </w:rPr>
        <w:t xml:space="preserve">2.00% per annum plus the rate applicable to ABR Revolving Loans as provided in paragraph </w:t>
      </w:r>
      <w:bookmarkStart w:id="760" w:name="docxtextref1149"/>
      <w:bookmarkEnd w:id="760"/>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2.12</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amount shall be payable pursuant to this </w:t>
      </w:r>
      <w:r>
        <w:rPr>
          <w:rFonts w:ascii="Times New Roman;serif" w:hAnsi="Times New Roman;serif"/>
          <w:b w:val="false"/>
          <w:sz w:val="22"/>
          <w:u w:val="single"/>
        </w:rPr>
        <w:t>Section 2.12(c)</w:t>
      </w:r>
      <w:r>
        <w:rPr>
          <w:rFonts w:ascii="Times New Roman" w:hAnsi="Times New Roman"/>
          <w:sz w:val="20"/>
        </w:rPr>
        <w:t xml:space="preserve"> </w:t>
      </w:r>
      <w:r>
        <w:rPr>
          <w:rFonts w:ascii="Times New Roman;serif" w:hAnsi="Times New Roman;serif"/>
          <w:b w:val="false"/>
          <w:sz w:val="22"/>
        </w:rPr>
        <w:t xml:space="preserve">to a Defaulting Lender so long as such Lender shall be a Defaulting Lender;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no amounts shall accrue pursuant to this </w:t>
      </w:r>
      <w:r>
        <w:rPr>
          <w:rFonts w:ascii="Times New Roman;serif" w:hAnsi="Times New Roman;serif"/>
          <w:b w:val="false"/>
          <w:sz w:val="22"/>
          <w:u w:val="single"/>
        </w:rPr>
        <w:t>Section 2.12(c)</w:t>
      </w:r>
      <w:r>
        <w:rPr>
          <w:rFonts w:ascii="Times New Roman" w:hAnsi="Times New Roman"/>
          <w:sz w:val="20"/>
        </w:rPr>
        <w:t xml:space="preserve"> </w:t>
      </w:r>
      <w:r>
        <w:rPr>
          <w:rFonts w:ascii="Times New Roman;serif" w:hAnsi="Times New Roman;serif"/>
          <w:b w:val="false"/>
          <w:sz w:val="22"/>
        </w:rPr>
        <w:t>on any overdue amount, reimbursement obligation in respect of any LC Disbursement or other amount payable to a Defaulting Lender so long as such Lender shall be a Defaulting Lender.</w:t>
      </w:r>
    </w:p>
    <w:p>
      <w:pPr>
        <w:pStyle w:val="TextBody"/>
        <w:bidi w:val="0"/>
        <w:spacing w:before="0" w:after="240"/>
        <w:jc w:val="both"/>
        <w:rPr>
          <w:rFonts w:ascii="Times New Roman" w:hAnsi="Times New Roman"/>
          <w:sz w:val="20"/>
        </w:rPr>
      </w:pPr>
      <w:bookmarkStart w:id="761" w:name="docxtextref1155"/>
      <w:bookmarkEnd w:id="761"/>
      <w:r>
        <w:rPr>
          <w:rFonts w:ascii="Times New Roman;serif" w:hAnsi="Times New Roman;serif"/>
          <w:b w:val="false"/>
          <w:sz w:val="22"/>
        </w:rPr>
        <w:t xml:space="preserve">(d) Accrued interest on each Loan shall be payable in arrears on each Interest Payment Date for such Loan,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 xml:space="preserve">interest accrued pursuant to paragraph </w:t>
      </w:r>
      <w:bookmarkStart w:id="762" w:name="docxtextref1154"/>
      <w:bookmarkEnd w:id="76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2.12</w:t>
      </w:r>
      <w:r>
        <w:rPr>
          <w:rFonts w:ascii="Times New Roman" w:hAnsi="Times New Roman"/>
          <w:sz w:val="20"/>
        </w:rPr>
        <w:t xml:space="preserve"> </w:t>
      </w:r>
      <w:r>
        <w:rPr>
          <w:rFonts w:ascii="Times New Roman;serif" w:hAnsi="Times New Roman;serif"/>
          <w:b w:val="false"/>
          <w:sz w:val="22"/>
        </w:rPr>
        <w:t>shall be payable on demand, (ii) in the event of any repayment or prepayment of any Loan (other than a prepayment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of an ABR Revolving Loan prior to the end of the Revolving Availability Period), accrued interest on the principal amount repaid or prepaid shall be payable on the date of such repayment or prepayment, (iii) in the event of any conversion of any Eurodollar Loan prior to the end of the current Interest Period therefor, accrued interest on such Loan shall be payable on the effective date of such conversion and (iv) upon the termination of the Revolving Commitments, accrued interest on the Revolving Loans shall be payable.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2.13 </w:t>
      </w:r>
      <w:r>
        <w:rPr>
          <w:rFonts w:ascii="Times New Roman;serif" w:hAnsi="Times New Roman;serif"/>
          <w:b w:val="false"/>
          <w:sz w:val="22"/>
          <w:u w:val="single"/>
        </w:rPr>
        <w:t>Alternate Rate of Interest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If at least two (2) Business Days prior to the commencement of any Interest Period for a Eurodollar Borrowing: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the Administrative Agent determines (which determination shall be conclusive absent manifest error) that adequate and reasonable means do not exist for ascertaining the Adjusted LIBO Rate for such Interest Period; or</w:t>
      </w:r>
    </w:p>
    <w:p>
      <w:pPr>
        <w:pStyle w:val="TextBody"/>
        <w:bidi w:val="0"/>
        <w:spacing w:before="0" w:after="240"/>
        <w:jc w:val="both"/>
        <w:rPr>
          <w:rFonts w:ascii="Times New Roman" w:hAnsi="Times New Roman"/>
          <w:sz w:val="20"/>
        </w:rPr>
      </w:pPr>
      <w:r>
        <w:rPr>
          <w:rFonts w:ascii="Times New Roman;serif" w:hAnsi="Times New Roman;serif"/>
          <w:b w:val="false"/>
          <w:sz w:val="22"/>
        </w:rPr>
        <w:t>(ii) 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clause (ii) or clause (i) above, “</w:t>
      </w:r>
      <w:r>
        <w:rPr>
          <w:rFonts w:ascii="Times New Roman;serif" w:hAnsi="Times New Roman;serif"/>
          <w:b w:val="false"/>
          <w:sz w:val="22"/>
          <w:u w:val="single"/>
        </w:rPr>
        <w:t>Impacted Loans</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63" w:name="docxtextref1156"/>
      <w:bookmarkEnd w:id="763"/>
      <w:r>
        <w:rPr>
          <w:rFonts w:ascii="Times New Roman;serif" w:hAnsi="Times New Roman;serif"/>
          <w:b w:val="false"/>
          <w:sz w:val="22"/>
        </w:rPr>
        <w:t>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the circumstances giving rise to such notice no longer exist, (x)</w:t>
      </w:r>
      <w:r>
        <w:rPr>
          <w:rFonts w:ascii="Times New Roman" w:hAnsi="Times New Roman"/>
          <w:sz w:val="20"/>
        </w:rPr>
        <w:t xml:space="preserve"> </w:t>
      </w:r>
      <w:r>
        <w:rPr>
          <w:rFonts w:ascii="Times New Roman;serif" w:hAnsi="Times New Roman;serif"/>
          <w:b w:val="false"/>
          <w:sz w:val="22"/>
        </w:rPr>
        <w:t xml:space="preserve">any Interest Election Request that requests the conversion of any Borrowing to, or continuation of any Borrowing as, a Eurodollar Borrowing shall be ineffective and </w:t>
      </w:r>
      <w:bookmarkStart w:id="764" w:name="docxtextref1157"/>
      <w:bookmarkEnd w:id="76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if any Borrowing Request requests a Eurodollar Borrowing, then such Borrowing shall be made as an ABR Borrowing;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in each case, the Borrowers may revoke any Borrowing Request that is pending when such notice is received.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Notwithstanding the foregoing, if the Administrative Agent has made such determination described in clause (a)(i) of this </w:t>
      </w:r>
      <w:r>
        <w:rPr>
          <w:rFonts w:ascii="Times New Roman;serif" w:hAnsi="Times New Roman;serif"/>
          <w:b w:val="false"/>
          <w:sz w:val="22"/>
          <w:u w:val="single"/>
        </w:rPr>
        <w:t>Section 2.13</w:t>
      </w:r>
      <w:r>
        <w:rPr>
          <w:rFonts w:ascii="Times New Roman" w:hAnsi="Times New Roman"/>
          <w:sz w:val="20"/>
        </w:rPr>
        <w:t xml:space="preserve"> </w:t>
      </w:r>
      <w:r>
        <w:rPr>
          <w:rFonts w:ascii="Times New Roman;serif" w:hAnsi="Times New Roman;serif"/>
          <w:b w:val="false"/>
          <w:sz w:val="22"/>
        </w:rPr>
        <w:t xml:space="preserve">or is advised by the Required Lenders of their determination described in clause (a)(ii) of this </w:t>
      </w:r>
      <w:r>
        <w:rPr>
          <w:rFonts w:ascii="Times New Roman;serif" w:hAnsi="Times New Roman;serif"/>
          <w:b w:val="false"/>
          <w:sz w:val="22"/>
          <w:u w:val="single"/>
        </w:rPr>
        <w:t>Section 2.13</w:t>
      </w:r>
      <w:r>
        <w:rPr>
          <w:rFonts w:ascii="Times New Roman;serif" w:hAnsi="Times New Roman;serif"/>
          <w:b w:val="false"/>
          <w:sz w:val="22"/>
        </w:rPr>
        <w:t xml:space="preserve">, and in each case such circumstances are unlikely to be temporary, and the Borrowers shall so request, the Administrative Agent, the Required Lenders and the Borrowers shall negotiate in good faith to amend the definition of “LIBO Rate” and other applicable provisions to preserve the original intent thereof in light of such change;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until so amended, such Impacted Loans will be handled as otherwise provided pursuant to the terms of </w:t>
      </w:r>
      <w:r>
        <w:rPr>
          <w:rFonts w:ascii="Times New Roman;serif" w:hAnsi="Times New Roman;serif"/>
          <w:b w:val="false"/>
          <w:sz w:val="22"/>
          <w:u w:val="single"/>
        </w:rPr>
        <w:t>Section 2.13(a)</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2.14 </w:t>
      </w:r>
      <w:r>
        <w:rPr>
          <w:rFonts w:ascii="Times New Roman;serif" w:hAnsi="Times New Roman;serif"/>
          <w:b w:val="false"/>
          <w:sz w:val="22"/>
          <w:u w:val="single"/>
        </w:rPr>
        <w:t>Increased Costs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If any Change in Law shall:</w:t>
      </w:r>
    </w:p>
    <w:p>
      <w:pPr>
        <w:pStyle w:val="TextBody"/>
        <w:bidi w:val="0"/>
        <w:spacing w:before="0" w:after="240"/>
        <w:jc w:val="both"/>
        <w:rPr>
          <w:rFonts w:ascii="Times New Roman" w:hAnsi="Times New Roman"/>
          <w:sz w:val="20"/>
        </w:rPr>
      </w:pPr>
      <w:r>
        <w:rPr>
          <w:rFonts w:ascii="Times New Roman;serif" w:hAnsi="Times New Roman;serif"/>
          <w:b w:val="false"/>
          <w:sz w:val="22"/>
        </w:rPr>
        <w:t>(i) impose, modify or deem applicable any reserve, special deposit, compulsory loan, insurance charge or similar requirement against assets of, deposits with or for the account of,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credit extended by, any Lender or any Issuing Bank (except any such reserve requirement reflected in the Adjusted LIBO Rate);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impose on any Lender or any Issuing Bank or the London interbank market any other condition, cost or expense (including Taxes, other than Excluded Taxes or Taxes indemnified under </w:t>
      </w:r>
      <w:r>
        <w:rPr>
          <w:rFonts w:ascii="Times New Roman;serif" w:hAnsi="Times New Roman;serif"/>
          <w:b w:val="false"/>
          <w:sz w:val="22"/>
          <w:u w:val="single"/>
        </w:rPr>
        <w:t>Section 2.16</w:t>
      </w:r>
      <w:r>
        <w:rPr>
          <w:rFonts w:ascii="Times New Roman;serif" w:hAnsi="Times New Roman;serif"/>
          <w:b w:val="false"/>
          <w:sz w:val="22"/>
        </w:rPr>
        <w:t>) affecting this Agreement or Eurodollar Loans made by such Lender or any Letter of Credit or participation therein;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Borrowers will pay to such Lender or Issuing Bank, as the case may be, such additional amount or amounts as will compensate such Lender or Issuing Bank, as the case may be, for such increased costs actually incurred or reduction actually suffered.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actually suffered.</w:t>
      </w:r>
    </w:p>
    <w:p>
      <w:pPr>
        <w:pStyle w:val="TextBody"/>
        <w:bidi w:val="0"/>
        <w:spacing w:before="0" w:after="240"/>
        <w:jc w:val="both"/>
        <w:rPr>
          <w:rFonts w:ascii="Times New Roman" w:hAnsi="Times New Roman"/>
          <w:sz w:val="20"/>
        </w:rPr>
      </w:pPr>
      <w:bookmarkStart w:id="765" w:name="docxtextref1160"/>
      <w:bookmarkEnd w:id="765"/>
      <w:r>
        <w:rPr>
          <w:rFonts w:ascii="Times New Roman;serif" w:hAnsi="Times New Roman;serif"/>
          <w:b w:val="false"/>
          <w:sz w:val="22"/>
        </w:rPr>
        <w:t>(c) A certificate of a Lender or an Issuing Bank setting forth the amount or amounts necessary to compensate such Lender or Issuing Bank or its holding company in reasonable detail, as the case may be, as specified in paragraph (a)</w:t>
      </w:r>
      <w:r>
        <w:rPr>
          <w:rFonts w:ascii="Times New Roman" w:hAnsi="Times New Roman"/>
          <w:sz w:val="20"/>
        </w:rPr>
        <w:t xml:space="preserve"> </w:t>
      </w:r>
      <w:r>
        <w:rPr>
          <w:rFonts w:ascii="Times New Roman;serif" w:hAnsi="Times New Roman;serif"/>
          <w:b w:val="false"/>
          <w:sz w:val="22"/>
        </w:rPr>
        <w:t xml:space="preserve">or </w:t>
      </w:r>
      <w:bookmarkStart w:id="766" w:name="docxtextref1161"/>
      <w:bookmarkEnd w:id="76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delivered to the Borrowers shall be conclusive absent manifest error. The Borrowers shall pay such Lender or Issuing Bank, as the case may be, the amount shown as due on any such certificate within 15 days after receipt thereof.</w:t>
      </w:r>
    </w:p>
    <w:p>
      <w:pPr>
        <w:pStyle w:val="TextBody"/>
        <w:bidi w:val="0"/>
        <w:spacing w:before="0" w:after="240"/>
        <w:jc w:val="both"/>
        <w:rPr>
          <w:rFonts w:ascii="Times New Roman" w:hAnsi="Times New Roman"/>
          <w:sz w:val="20"/>
        </w:rPr>
      </w:pPr>
      <w:bookmarkStart w:id="767" w:name="docxtextref1164"/>
      <w:bookmarkEnd w:id="767"/>
      <w:r>
        <w:rPr>
          <w:rFonts w:ascii="Times New Roman;serif" w:hAnsi="Times New Roman;serif"/>
          <w:b w:val="false"/>
          <w:sz w:val="22"/>
        </w:rPr>
        <w:t xml:space="preserve">(d) Failure or delay on the part of any Lender or Issuing Bank to demand compensation pursuant to this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 xml:space="preserve">shall not constitute a waiver of such Lender’s or Issuing Bank’s right to demand such compensation;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Borrowers shall not be required to compensate a Lender or Issuing Bank pursuant to this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 xml:space="preserve">for any increased costs incurred or reductions suffered more than 180 days prior to the date that such Lender or Issuing Bank, as the case may be, notifies the Borrowers of the Change in Law giving rise to such increased costs or reductions and of such Lender’s or Issuing Bank’s intention to claim compensation therefor;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if the Change in Law giving rise to such increased costs or reductions is retroactive, then the 180-day period referred to above shall be extended to include the period of retroactive effect thereof.</w:t>
      </w:r>
    </w:p>
    <w:p>
      <w:pPr>
        <w:pStyle w:val="TextBody"/>
        <w:bidi w:val="0"/>
        <w:spacing w:before="0" w:after="240"/>
        <w:jc w:val="both"/>
        <w:rPr>
          <w:rFonts w:ascii="Times New Roman" w:hAnsi="Times New Roman"/>
          <w:sz w:val="20"/>
        </w:rPr>
      </w:pPr>
      <w:bookmarkStart w:id="768" w:name="docxtextref1167"/>
      <w:bookmarkEnd w:id="768"/>
      <w:r>
        <w:rPr>
          <w:rFonts w:ascii="Times New Roman;serif" w:hAnsi="Times New Roman;serif"/>
          <w:b w:val="false"/>
          <w:sz w:val="22"/>
        </w:rPr>
        <w:t xml:space="preserve">(e) Notwithstanding any other provision of this </w:t>
      </w:r>
      <w:r>
        <w:rPr>
          <w:rFonts w:ascii="Times New Roman;serif" w:hAnsi="Times New Roman;serif"/>
          <w:b w:val="false"/>
          <w:sz w:val="22"/>
          <w:u w:val="single"/>
        </w:rPr>
        <w:t>Section 2.14</w:t>
      </w:r>
      <w:r>
        <w:rPr>
          <w:rFonts w:ascii="Times New Roman;serif" w:hAnsi="Times New Roman;serif"/>
          <w:b w:val="false"/>
          <w:sz w:val="22"/>
        </w:rPr>
        <w:t xml:space="preserve">, no Lender or Issuing Bank shall demand compensation for any increased cost or reduction pursuant to this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if (i)</w:t>
      </w:r>
      <w:r>
        <w:rPr>
          <w:rFonts w:ascii="Times New Roman" w:hAnsi="Times New Roman"/>
          <w:sz w:val="20"/>
        </w:rPr>
        <w:t xml:space="preserve"> </w:t>
      </w:r>
      <w:r>
        <w:rPr>
          <w:rFonts w:ascii="Times New Roman;serif" w:hAnsi="Times New Roman;serif"/>
          <w:b w:val="false"/>
          <w:sz w:val="22"/>
        </w:rPr>
        <w:t>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2.15 </w:t>
      </w:r>
      <w:r>
        <w:rPr>
          <w:rFonts w:ascii="Times New Roman;serif" w:hAnsi="Times New Roman;serif"/>
          <w:b w:val="false"/>
          <w:sz w:val="22"/>
          <w:u w:val="single"/>
        </w:rPr>
        <w:t>Break Funding Payments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69" w:name="docxtextref1176"/>
      <w:bookmarkEnd w:id="769"/>
      <w:r>
        <w:rPr>
          <w:rFonts w:ascii="Times New Roman;serif" w:hAnsi="Times New Roman;serif"/>
          <w:b w:val="false"/>
          <w:sz w:val="22"/>
        </w:rPr>
        <w:t>In the event of (a)</w:t>
      </w:r>
      <w:r>
        <w:rPr>
          <w:rFonts w:ascii="Times New Roman" w:hAnsi="Times New Roman"/>
          <w:sz w:val="20"/>
        </w:rPr>
        <w:t xml:space="preserve"> </w:t>
      </w:r>
      <w:r>
        <w:rPr>
          <w:rFonts w:ascii="Times New Roman;serif" w:hAnsi="Times New Roman;serif"/>
          <w:b w:val="false"/>
          <w:sz w:val="22"/>
        </w:rPr>
        <w:t xml:space="preserve">the payment of any principal of any Eurodollar Loan other than on the last day of an Interest Period applicable thereto (including as a result of an Event of Default), </w:t>
      </w:r>
      <w:bookmarkStart w:id="770" w:name="docxtextref1177"/>
      <w:bookmarkEnd w:id="77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conversion of any Eurodollar Loan other than on the last day of the Interest Period applicable thereto, </w:t>
      </w:r>
      <w:bookmarkStart w:id="771" w:name="docxtextref1178"/>
      <w:bookmarkEnd w:id="77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failure to borrow, convert, continue or prepay any Revolving Loan or Term Loan on the date specified in any notice delivered pursuant hereto (regardless of whether such notice may be revoked under </w:t>
      </w:r>
      <w:r>
        <w:rPr>
          <w:rFonts w:ascii="Times New Roman;serif" w:hAnsi="Times New Roman;serif"/>
          <w:b w:val="false"/>
          <w:sz w:val="22"/>
          <w:u w:val="single"/>
        </w:rPr>
        <w:t>Section 2.10(f)</w:t>
      </w:r>
      <w:r>
        <w:rPr>
          <w:rFonts w:ascii="Times New Roman" w:hAnsi="Times New Roman"/>
          <w:sz w:val="20"/>
        </w:rPr>
        <w:t xml:space="preserve"> </w:t>
      </w:r>
      <w:r>
        <w:rPr>
          <w:rFonts w:ascii="Times New Roman;serif" w:hAnsi="Times New Roman;serif"/>
          <w:b w:val="false"/>
          <w:sz w:val="22"/>
        </w:rPr>
        <w:t xml:space="preserve">and is revoked in accordance therewith) or </w:t>
      </w:r>
      <w:bookmarkStart w:id="772" w:name="docxtextref1179"/>
      <w:bookmarkEnd w:id="77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the assignment of any Eurodollar Loan other than on the last day of the Interest Period applicable thereto as a result of a request by the Borrowers pursuant to </w:t>
      </w:r>
      <w:r>
        <w:rPr>
          <w:rFonts w:ascii="Times New Roman;serif" w:hAnsi="Times New Roman;serif"/>
          <w:b w:val="false"/>
          <w:sz w:val="22"/>
          <w:u w:val="single"/>
        </w:rPr>
        <w:t>Section 2.18</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9.02(c)</w:t>
      </w:r>
      <w:r>
        <w:rPr>
          <w:rFonts w:ascii="Times New Roman;serif" w:hAnsi="Times New Roman;serif"/>
          <w:b w:val="false"/>
          <w:sz w:val="22"/>
        </w:rPr>
        <w:t xml:space="preserve">, then, in any such event, the Borrowers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Borrowers to the Lenders under this </w:t>
      </w:r>
      <w:r>
        <w:rPr>
          <w:rFonts w:ascii="Times New Roman;serif" w:hAnsi="Times New Roman;serif"/>
          <w:b w:val="false"/>
          <w:sz w:val="22"/>
          <w:u w:val="single"/>
        </w:rPr>
        <w:t>Section 2.15</w:t>
      </w:r>
      <w:r>
        <w:rPr>
          <w:rFonts w:ascii="Times New Roman;serif" w:hAnsi="Times New Roman;serif"/>
          <w:b w:val="false"/>
          <w:sz w:val="22"/>
        </w:rPr>
        <w:t xml:space="preserve">, each Lender shall be deemed to have funded each Eurodollar Loan made by it at the Adjusted LIBO Rate for such Loan by a matching deposit or other borrowing in the applicable interbank eurodollar market for a comparable amount and for a comparable period, whether or not such Eurodollar Loan was in fact so funded. A certificate of any Lender setting forth in reasonable detail any amount or amounts that such Lender is entitled to receive pursuant to this </w:t>
      </w:r>
      <w:r>
        <w:rPr>
          <w:rFonts w:ascii="Times New Roman;serif" w:hAnsi="Times New Roman;serif"/>
          <w:b w:val="false"/>
          <w:sz w:val="22"/>
          <w:u w:val="single"/>
        </w:rPr>
        <w:t>Section 2.15</w:t>
      </w:r>
      <w:r>
        <w:rPr>
          <w:rFonts w:ascii="Times New Roman" w:hAnsi="Times New Roman"/>
          <w:sz w:val="20"/>
        </w:rPr>
        <w:t xml:space="preserve"> </w:t>
      </w:r>
      <w:r>
        <w:rPr>
          <w:rFonts w:ascii="Times New Roman;serif" w:hAnsi="Times New Roman;serif"/>
          <w:b w:val="false"/>
          <w:sz w:val="22"/>
        </w:rPr>
        <w:t xml:space="preserve">and the reasons therefor delivered to the Borrowers shall be prima facie evidence of such amounts. The Borrowers shall pay such Lender the amount shown as due on any such certificate within 15 days after receipt of such demand. Notwithstanding the foregoing, this </w:t>
      </w:r>
      <w:r>
        <w:rPr>
          <w:rFonts w:ascii="Times New Roman;serif" w:hAnsi="Times New Roman;serif"/>
          <w:b w:val="false"/>
          <w:sz w:val="22"/>
          <w:u w:val="single"/>
        </w:rPr>
        <w:t>Section 2.15</w:t>
      </w:r>
      <w:r>
        <w:rPr>
          <w:rFonts w:ascii="Times New Roman" w:hAnsi="Times New Roman"/>
          <w:sz w:val="20"/>
        </w:rPr>
        <w:t xml:space="preserve"> </w:t>
      </w:r>
      <w:r>
        <w:rPr>
          <w:rFonts w:ascii="Times New Roman;serif" w:hAnsi="Times New Roman;serif"/>
          <w:b w:val="false"/>
          <w:sz w:val="22"/>
        </w:rPr>
        <w:t xml:space="preserve">will not apply to losses, costs or expenses resulting from Taxes. Notwithstanding the foregoing, no Lender shall demand compensation pursuant to this </w:t>
      </w:r>
      <w:r>
        <w:rPr>
          <w:rFonts w:ascii="Times New Roman;serif" w:hAnsi="Times New Roman;serif"/>
          <w:b w:val="false"/>
          <w:sz w:val="22"/>
          <w:u w:val="single"/>
        </w:rPr>
        <w:t>Section 2.15</w:t>
      </w:r>
      <w:r>
        <w:rPr>
          <w:rFonts w:ascii="Times New Roman" w:hAnsi="Times New Roman"/>
          <w:sz w:val="20"/>
        </w:rPr>
        <w:t xml:space="preserve"> </w:t>
      </w:r>
      <w:r>
        <w:rPr>
          <w:rFonts w:ascii="Times New Roman;serif" w:hAnsi="Times New Roman;serif"/>
          <w:b w:val="false"/>
          <w:sz w:val="22"/>
        </w:rPr>
        <w:t xml:space="preserve">if it shall not at the time be the general policy or practice of such Lender to demand such compensation in similar circumstances under comparable provisions of other credit agreements. Each Lender hereby waives the right to receive compensation under this </w:t>
      </w:r>
      <w:r>
        <w:rPr>
          <w:rFonts w:ascii="Times New Roman;serif" w:hAnsi="Times New Roman;serif"/>
          <w:b w:val="false"/>
          <w:sz w:val="22"/>
          <w:u w:val="single"/>
        </w:rPr>
        <w:t>Section 2.15</w:t>
      </w:r>
      <w:r>
        <w:rPr>
          <w:rFonts w:ascii="Times New Roman" w:hAnsi="Times New Roman"/>
          <w:sz w:val="20"/>
        </w:rPr>
        <w:t xml:space="preserve"> </w:t>
      </w:r>
      <w:r>
        <w:rPr>
          <w:rFonts w:ascii="Times New Roman;serif" w:hAnsi="Times New Roman;serif"/>
          <w:b w:val="false"/>
          <w:sz w:val="22"/>
        </w:rPr>
        <w:t>for any loss, cost or expense incurred as a result of a Repricing Transaction.</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2.16 </w:t>
      </w:r>
      <w:r>
        <w:rPr>
          <w:rFonts w:ascii="Times New Roman;serif" w:hAnsi="Times New Roman;serif"/>
          <w:b w:val="false"/>
          <w:sz w:val="22"/>
          <w:u w:val="single"/>
        </w:rPr>
        <w:t>Taxes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(a) Any and all payments by or on account of any obligation of any Loan Party under any Loan Document shall be made free and clear of and without deduction for any Taxes, except as required by applicable Requirements of Law. If the applicable withholding agent (which may include a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 “</w:t>
      </w:r>
      <w:r>
        <w:rPr>
          <w:rFonts w:ascii="Times New Roman;serif" w:hAnsi="Times New Roman;serif"/>
          <w:b w:val="false"/>
          <w:sz w:val="22"/>
          <w:u w:val="single"/>
        </w:rPr>
        <w:t>Tax Withholding</w:t>
      </w:r>
      <w:r>
        <w:rPr>
          <w:rFonts w:ascii="Times New Roman" w:hAnsi="Times New Roman"/>
          <w:sz w:val="20"/>
        </w:rPr>
        <w:t>”</w:t>
      </w:r>
      <w:r>
        <w:rPr>
          <w:rFonts w:ascii="Times New Roman;serif" w:hAnsi="Times New Roman;serif"/>
          <w:b w:val="false"/>
          <w:sz w:val="22"/>
        </w:rPr>
        <w:t xml:space="preserve">), and if such Taxes are Indemnified Taxes or Other Taxes, then the amount payable by the applicable Loan Party shall be increased as necessary so that after all such required deductions have been made (including such deductions applicable to additional amounts payable under this </w:t>
      </w:r>
      <w:r>
        <w:rPr>
          <w:rFonts w:ascii="Times New Roman;serif" w:hAnsi="Times New Roman;serif"/>
          <w:b w:val="false"/>
          <w:sz w:val="22"/>
          <w:u w:val="single"/>
        </w:rPr>
        <w:t>Section 2.16</w:t>
      </w:r>
      <w:r>
        <w:rPr>
          <w:rFonts w:ascii="Times New Roman;serif" w:hAnsi="Times New Roman;serif"/>
          <w:b w:val="false"/>
          <w:sz w:val="22"/>
        </w:rPr>
        <w:t>), each Lender (or, in the case of a payment made to the Administrative Agent for its own account, the Administrative Agent) receives an amount equal to the sum it would have received had no such deductions been made.</w:t>
      </w:r>
    </w:p>
    <w:p>
      <w:pPr>
        <w:pStyle w:val="TextBody"/>
        <w:bidi w:val="0"/>
        <w:spacing w:before="0" w:after="240"/>
        <w:jc w:val="both"/>
        <w:rPr>
          <w:rFonts w:ascii="Times New Roman" w:hAnsi="Times New Roman"/>
          <w:sz w:val="20"/>
        </w:rPr>
      </w:pPr>
      <w:bookmarkStart w:id="773" w:name="docxtextref1181"/>
      <w:bookmarkEnd w:id="773"/>
      <w:r>
        <w:rPr>
          <w:rFonts w:ascii="Times New Roman;serif" w:hAnsi="Times New Roman;serif"/>
          <w:b w:val="false"/>
          <w:sz w:val="22"/>
        </w:rPr>
        <w:t>(b) Without limiting the provisions of paragraph (a)</w:t>
      </w:r>
      <w:r>
        <w:rPr>
          <w:rFonts w:ascii="Times New Roman" w:hAnsi="Times New Roman"/>
          <w:sz w:val="20"/>
        </w:rPr>
        <w:t xml:space="preserve"> </w:t>
      </w:r>
      <w:r>
        <w:rPr>
          <w:rFonts w:ascii="Times New Roman;serif" w:hAnsi="Times New Roman;serif"/>
          <w:b w:val="false"/>
          <w:sz w:val="22"/>
        </w:rPr>
        <w:t>above, the Borrowers shall timely pay to the relevant Governmental Authority in accordance with Requirements of Law, or at the option of the Administrative Agent timely reimburse it for the payment of, any Other Taxes.</w:t>
      </w:r>
    </w:p>
    <w:p>
      <w:pPr>
        <w:pStyle w:val="TextBody"/>
        <w:bidi w:val="0"/>
        <w:spacing w:before="0" w:after="240"/>
        <w:jc w:val="both"/>
        <w:rPr>
          <w:rFonts w:ascii="Times New Roman" w:hAnsi="Times New Roman"/>
          <w:sz w:val="20"/>
        </w:rPr>
      </w:pPr>
      <w:r>
        <w:rPr>
          <w:rFonts w:ascii="Times New Roman;serif" w:hAnsi="Times New Roman;serif"/>
          <w:b w:val="false"/>
          <w:sz w:val="22"/>
        </w:rPr>
        <w:t>(c) Without duplication of amounts payable pursuant to clauses (a) and (b), the Borrowers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Lender, as the case may be (including Indemnified Taxes or Other Taxes imposed or asserted on or attributable to amounts payable under this </w:t>
      </w:r>
      <w:r>
        <w:rPr>
          <w:rFonts w:ascii="Times New Roman;serif" w:hAnsi="Times New Roman;serif"/>
          <w:b w:val="false"/>
          <w:sz w:val="22"/>
          <w:u w:val="single"/>
        </w:rPr>
        <w:t>Section 2.16</w:t>
      </w:r>
      <w:r>
        <w:rPr>
          <w:rFonts w:ascii="Times New Roman;serif" w:hAnsi="Times New Roman;serif"/>
          <w:b w:val="false"/>
          <w:sz w:val="22"/>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Borrowers by a Lender, or by the Administrative Agent on its own behalf or on behalf of a Lender, shall be conclusive absent manifest error.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As soon as practicable after any payment of any Taxes by a Loan Party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 (i) Each Lender shall, at such times as are reasonably requested by the Borrowers or the Administrative Agent, provide the Borrowers and the Administrative Agent with any properly completed and executed documentation prescribed by any Requirement of Law, or reasonably requested by the Borrowers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Times New Roman;serif" w:hAnsi="Times New Roman;serif"/>
          <w:b w:val="false"/>
          <w:sz w:val="22"/>
          <w:u w:val="single"/>
        </w:rPr>
        <w:t>Section 2.16(e)</w:t>
      </w:r>
      <w:r>
        <w:rPr>
          <w:rFonts w:ascii="Times New Roman;serif" w:hAnsi="Times New Roman;serif"/>
          <w:b w:val="false"/>
          <w:sz w:val="22"/>
        </w:rPr>
        <w:t>), deliver promptly to the Borrowers and the Administrative Agent updated or other appropriate documentation (including any new documentation reasonably requested by the applicable withholding agent) or promptly notify the Borrowers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Tax at a rate reduced by an applicable tax treaty, the Borrowers, the Administrative Agent or other applicable withholding agent shall withhold amounts required to be withheld by applicable law from such payments at the applicable statutory rate.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Without limiting the generality of the foregoing: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Each Lender that is a United States person (as defined in Section 7701(a)(30) of the Code) shall deliver to the Borrowers and the Administrative Agent on or before the date on which it becomes a party to this Agreement two properly completed and duly signed copies of Internal Revenue Service Form W-9 (or any successor form) certifying that such Lender is exempt from U.S. federal backup withholding.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Each Foreign Lender shall deliver to the Borrowers and the Administrative Agent on or before the date on which it becomes a party to this Agreement (and from time to time thereafter upon the reasonable request of the Borrowers or the Administrative Agent) whichever of the following is applicable: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two properly completed and duly signed copies of Internal Revenue Service Form W-8BEN or W-8BEN-E, as applicable (or any successor forms) claiming eligibility for benefits of an income tax treaty to which the United States of America is a party,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two properly completed and duly signed copies of Internal Revenue Service Form W-8ECI (or any successor forms),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774" w:name="docxtextref1186"/>
      <w:bookmarkEnd w:id="774"/>
      <w:r>
        <w:rPr>
          <w:rFonts w:ascii="Times New Roman;serif" w:hAnsi="Times New Roman;serif"/>
          <w:b w:val="false"/>
          <w:sz w:val="22"/>
        </w:rPr>
        <w:t>(3) in the case of a Foreign Lender claiming the benefits of the exemption for portfolio interest under Section 871(h)</w:t>
      </w:r>
      <w:r>
        <w:rPr>
          <w:rFonts w:ascii="Times New Roman" w:hAnsi="Times New Roman"/>
          <w:sz w:val="20"/>
        </w:rPr>
        <w:t xml:space="preserve"> </w:t>
      </w:r>
      <w:r>
        <w:rPr>
          <w:rFonts w:ascii="Times New Roman;serif" w:hAnsi="Times New Roman;serif"/>
          <w:b w:val="false"/>
          <w:sz w:val="22"/>
        </w:rPr>
        <w:t xml:space="preserve">or </w:t>
      </w:r>
      <w:bookmarkStart w:id="775" w:name="docxtextref1187"/>
      <w:bookmarkEnd w:id="775"/>
      <w:r>
        <w:rPr>
          <w:rFonts w:ascii="Times New Roman;serif" w:hAnsi="Times New Roman;serif"/>
          <w:b w:val="false"/>
          <w:sz w:val="22"/>
        </w:rPr>
        <w:t>Section 881(c)</w:t>
      </w:r>
      <w:r>
        <w:rPr>
          <w:rFonts w:ascii="Times New Roman" w:hAnsi="Times New Roman"/>
          <w:sz w:val="20"/>
        </w:rPr>
        <w:t xml:space="preserve"> </w:t>
      </w:r>
      <w:r>
        <w:rPr>
          <w:rFonts w:ascii="Times New Roman;serif" w:hAnsi="Times New Roman;serif"/>
          <w:b w:val="false"/>
          <w:sz w:val="22"/>
        </w:rPr>
        <w:t xml:space="preserve">of the Code, </w:t>
      </w:r>
      <w:bookmarkStart w:id="776" w:name="docxtextref1184"/>
      <w:bookmarkEnd w:id="77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two properly completed and duly signed certificates, substantially in the form of </w:t>
      </w:r>
      <w:r>
        <w:rPr>
          <w:rFonts w:ascii="Times New Roman;serif" w:hAnsi="Times New Roman;serif"/>
          <w:b w:val="false"/>
          <w:sz w:val="22"/>
          <w:u w:val="single"/>
        </w:rPr>
        <w:t>Exhibit Q</w:t>
      </w:r>
      <w:r>
        <w:rPr>
          <w:rFonts w:ascii="Times New Roman" w:hAnsi="Times New Roman"/>
          <w:sz w:val="20"/>
        </w:rPr>
        <w:t xml:space="preserve"> </w:t>
      </w:r>
      <w:r>
        <w:rPr>
          <w:rFonts w:ascii="Times New Roman;serif" w:hAnsi="Times New Roman;serif"/>
          <w:b w:val="false"/>
          <w:sz w:val="22"/>
        </w:rPr>
        <w:t>(any such certificate a “</w:t>
      </w:r>
      <w:r>
        <w:rPr>
          <w:rFonts w:ascii="Times New Roman;serif" w:hAnsi="Times New Roman;serif"/>
          <w:b w:val="false"/>
          <w:sz w:val="22"/>
          <w:u w:val="single"/>
        </w:rPr>
        <w:t>United States Tax Compliance Certificate</w:t>
      </w:r>
      <w:r>
        <w:rPr>
          <w:rFonts w:ascii="Times New Roman" w:hAnsi="Times New Roman"/>
          <w:sz w:val="20"/>
        </w:rPr>
        <w:t>”</w:t>
      </w:r>
      <w:r>
        <w:rPr>
          <w:rFonts w:ascii="Times New Roman;serif" w:hAnsi="Times New Roman;serif"/>
          <w:b w:val="false"/>
          <w:sz w:val="22"/>
        </w:rPr>
        <w:t xml:space="preserve">), as applicable, and </w:t>
      </w:r>
      <w:bookmarkStart w:id="777" w:name="docxtextref1185"/>
      <w:bookmarkEnd w:id="77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two properly completed and duly signed copies of Internal Revenue Service Form W-8BEN or W-8BEN-E, as applicable (or any successor forms),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(4) 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applicable United States Tax Compliance Certificate, Form W-9, Form W-8IMY (or other successor forms) or any other required information from each beneficial owner that would be required under this </w:t>
      </w:r>
      <w:r>
        <w:rPr>
          <w:rFonts w:ascii="Times New Roman;serif" w:hAnsi="Times New Roman;serif"/>
          <w:b w:val="false"/>
          <w:sz w:val="22"/>
          <w:u w:val="single"/>
        </w:rPr>
        <w:t>Section 2.16</w:t>
      </w:r>
      <w:r>
        <w:rPr>
          <w:rFonts w:ascii="Times New Roman" w:hAnsi="Times New Roman"/>
          <w:sz w:val="20"/>
        </w:rPr>
        <w:t xml:space="preserve"> </w:t>
      </w:r>
      <w:r>
        <w:rPr>
          <w:rFonts w:ascii="Times New Roman;serif" w:hAnsi="Times New Roman;serif"/>
          <w:b w:val="false"/>
          <w:sz w:val="22"/>
        </w:rPr>
        <w:t>if such beneficial owner were a Lender, as applicable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(5)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Borrowers and the Administrative Agent to determine the withholding or deduction required to be made.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whether such Lender has or has not complied with such Lender’s obligations under FATCA and, if necessary, to determine the amount to deduct and withhold from such payment. Solely for purposes of this clause (ii),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Each Lender that is a U.K. Non-Bank Lender (excluding for the purposes of this </w:t>
      </w:r>
      <w:r>
        <w:rPr>
          <w:rFonts w:ascii="Times New Roman;serif" w:hAnsi="Times New Roman;serif"/>
          <w:b w:val="false"/>
          <w:sz w:val="22"/>
          <w:u w:val="single"/>
        </w:rPr>
        <w:t>Section 2.16(e)</w:t>
      </w:r>
      <w:r>
        <w:rPr>
          <w:rFonts w:ascii="Times New Roman" w:hAnsi="Times New Roman"/>
          <w:sz w:val="20"/>
        </w:rPr>
        <w:t xml:space="preserve"> </w:t>
      </w:r>
      <w:r>
        <w:rPr>
          <w:rFonts w:ascii="Times New Roman;serif" w:hAnsi="Times New Roman;serif"/>
          <w:b w:val="false"/>
          <w:sz w:val="22"/>
        </w:rPr>
        <w:t>only, clause (b) of the definition of U.K. Non-Bank Lender) shall, on the date on which it becomes a Lender to any U.K. Borrower, provide to that U.K. Borrower a Tax Confirmation. A U.K. Non-Bank Lender which is a Lender to a U.K. Borrower on the date of this Agreement gives a Tax Confirmation to that U.K. Borrower by entering into this Agreement,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and, with respect to any Tax Withholdings in respect of Tax in the U.K.:</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a Loan Party shall promptly upon becoming aware that it must make such a Tax Withholding (or that there is any change in the rate or the basis of a Tax Withholding) notify the Administrative Agent accordingly. Similarly, a Lender shall notify the relevant Borrower and the Administrative Agent on becoming so aware in respect of a payment payable to that Lender. If the Administrative Agent or the relevant Borrower receives such notification from a Lender it shall notify the relevant Loan Party;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subject to sub-clause (G) below, the relevant Lender and each relevant Loan Party shall co-operate in completing any procedural formalities necessary for such Loan Party to make payments to such Lender without such a Tax Withholding;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(G) each Lender to a U.K. Borrower that holds a passport under the HMRC DT Treaty Passport scheme and which wishes that scheme to apply in relation to this Agreement shall confirm to the relevant U.K. Borrower and the Administrative Agent, on the date on which it becomes a Lender, its scheme reference number and jurisdiction of tax residence and having done so, to the extent such passport is and remains valid, such Lender shall have no further obligations pursuant to sub-clause (F) above or, with respect to any Tax Witholdings in respect of tax in the U.K., </w:t>
      </w:r>
      <w:r>
        <w:rPr>
          <w:rFonts w:ascii="Times New Roman;serif" w:hAnsi="Times New Roman;serif"/>
          <w:b w:val="false"/>
          <w:sz w:val="22"/>
          <w:u w:val="single"/>
        </w:rPr>
        <w:t>Section 2.16(e)(i)</w:t>
      </w:r>
      <w:r>
        <w:rPr>
          <w:rFonts w:ascii="Times New Roman" w:hAnsi="Times New Roman"/>
          <w:sz w:val="20"/>
        </w:rPr>
        <w:t xml:space="preserve"> </w:t>
      </w:r>
      <w:r>
        <w:rPr>
          <w:rFonts w:ascii="Times New Roman;serif" w:hAnsi="Times New Roman;serif"/>
          <w:b w:val="false"/>
          <w:sz w:val="22"/>
        </w:rPr>
        <w:t>in each case with respect to the relevant U.K. Borrower;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(H) where a Lender has provided a confirmation pursuant to sub-clause (G) of its scheme reference number and jurisdiction of tax residence, any U.K. Borrower, and any other Loan Party from whom payments under a Loan Document would be subject to a Tax Withholding in respect of Tax in the U.K., shall file a duly completed HMRC Form DTTP2 in respect of this Agreement within 30 days of receipt of such details or, if later, within 30 days of becoming a Borrower or Loan Party pursuant to this Agreement and promptly deliver a copy of that filed Form DTTP2 to the Administrative Agent.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(iii) Notwithstanding any other provision of this </w:t>
      </w:r>
      <w:r>
        <w:rPr>
          <w:rFonts w:ascii="Times New Roman;serif" w:hAnsi="Times New Roman;serif"/>
          <w:b w:val="false"/>
          <w:sz w:val="22"/>
          <w:u w:val="single"/>
        </w:rPr>
        <w:t>Section 2.16(e)</w:t>
      </w:r>
      <w:r>
        <w:rPr>
          <w:rFonts w:ascii="Times New Roman;serif" w:hAnsi="Times New Roman;serif"/>
          <w:b w:val="false"/>
          <w:sz w:val="22"/>
        </w:rPr>
        <w:t>, a Lender shall not be required to deliver any form or certification that such Lender is not legally eligible to deliver.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(iv) Each Lender hereby authorizes the Administrative Agent to deliver to the Loan Parties and to any successor Administrative Agent any documentation provided by such Lender to the Administrative Agent pursuant to this </w:t>
      </w:r>
      <w:r>
        <w:rPr>
          <w:rFonts w:ascii="Times New Roman;serif" w:hAnsi="Times New Roman;serif"/>
          <w:b w:val="false"/>
          <w:sz w:val="22"/>
          <w:u w:val="single"/>
        </w:rPr>
        <w:t>Section 2.16(e)</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78" w:name="docxtextref1194"/>
      <w:bookmarkEnd w:id="778"/>
      <w:r>
        <w:rPr>
          <w:rFonts w:ascii="Times New Roman;serif" w:hAnsi="Times New Roman;serif"/>
          <w:b w:val="false"/>
          <w:sz w:val="22"/>
        </w:rPr>
        <w:t xml:space="preserve">(f) If the Borrowers determine in good faith that a reasonable basis exists for contesting any Taxes for which indemnification has been demanded hereunder, the Administrative Agent or the relevant Lender, as applicable, shall use commercially reasonable efforts to cooperate with the Borrowers in a reasonable challenge of such Taxes if so requested by the Borrowers,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the Administrative Agent or such Lender determines in its reasonable discretion that it would not be subject to any unreimbursed third party cost or expense or otherwise be prejudiced by cooperating in such challenge, </w:t>
      </w:r>
      <w:bookmarkStart w:id="779" w:name="docxtextref1195"/>
      <w:bookmarkEnd w:id="77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Borrowers pay all related expenses of the Administrative Agent or such Lender, as applicable and </w:t>
      </w:r>
      <w:bookmarkStart w:id="780" w:name="docxtextref1196"/>
      <w:bookmarkEnd w:id="78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Borrowers indemnify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Borrowers or with respect to which the Borrowers have paid additional amounts pursuant to this </w:t>
      </w:r>
      <w:r>
        <w:rPr>
          <w:rFonts w:ascii="Times New Roman;serif" w:hAnsi="Times New Roman;serif"/>
          <w:b w:val="false"/>
          <w:sz w:val="22"/>
          <w:u w:val="single"/>
        </w:rPr>
        <w:t>Section 2.16</w:t>
      </w:r>
      <w:r>
        <w:rPr>
          <w:rFonts w:ascii="Times New Roman;serif" w:hAnsi="Times New Roman;serif"/>
          <w:b w:val="false"/>
          <w:sz w:val="22"/>
        </w:rPr>
        <w:t xml:space="preserve">, it shall pay over such refund to the Borrowers (but only to the extent of indemnity payments made, or additional amounts paid, by the Borrowers under this </w:t>
      </w:r>
      <w:r>
        <w:rPr>
          <w:rFonts w:ascii="Times New Roman;serif" w:hAnsi="Times New Roman;serif"/>
          <w:b w:val="false"/>
          <w:sz w:val="22"/>
          <w:u w:val="single"/>
        </w:rPr>
        <w:t>Section 2.16</w:t>
      </w:r>
      <w:r>
        <w:rPr>
          <w:rFonts w:ascii="Times New Roman" w:hAnsi="Times New Roman"/>
          <w:sz w:val="20"/>
        </w:rPr>
        <w:t xml:space="preserve"> </w:t>
      </w:r>
      <w:r>
        <w:rPr>
          <w:rFonts w:ascii="Times New Roman;serif" w:hAnsi="Times New Roman;serif"/>
          <w:b w:val="false"/>
          <w:sz w:val="22"/>
        </w:rPr>
        <w:t xml:space="preserve">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Borrowers, upon the request of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Administrative Agent or such Lender, agree promptly to repay the amount paid over to the Borrowers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Borrowers with a copy of any notice of assessment or other evidence of the requirement to repay such refund received from the relevant Governmental Authority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Administrative Agent or such Lender may delete any information therein that the Administrative Agent or such Lender deems confidential). Notwithstanding anything to the contrary, this </w:t>
      </w:r>
      <w:r>
        <w:rPr>
          <w:rFonts w:ascii="Times New Roman;serif" w:hAnsi="Times New Roman;serif"/>
          <w:b w:val="false"/>
          <w:sz w:val="22"/>
          <w:u w:val="single"/>
        </w:rPr>
        <w:t>Section 2.16(f)</w:t>
      </w:r>
      <w:r>
        <w:rPr>
          <w:rFonts w:ascii="Times New Roman" w:hAnsi="Times New Roman"/>
          <w:sz w:val="20"/>
        </w:rPr>
        <w:t xml:space="preserve"> </w:t>
      </w:r>
      <w:r>
        <w:rPr>
          <w:rFonts w:ascii="Times New Roman;serif" w:hAnsi="Times New Roman;serif"/>
          <w:b w:val="false"/>
          <w:sz w:val="22"/>
        </w:rPr>
        <w:t>shall not be construed to require the Administrative Agent or any Lender to make available its Tax returns (or any other information relating to Taxes which it deems confidential) to any Loan Party or any other person.</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(g) The agreements in this </w:t>
      </w:r>
      <w:r>
        <w:rPr>
          <w:rFonts w:ascii="Times New Roman;serif" w:hAnsi="Times New Roman;serif"/>
          <w:b w:val="false"/>
          <w:sz w:val="22"/>
          <w:u w:val="single"/>
        </w:rPr>
        <w:t>Section 2.16</w:t>
      </w:r>
      <w:r>
        <w:rPr>
          <w:rFonts w:ascii="Times New Roman" w:hAnsi="Times New Roman"/>
          <w:sz w:val="20"/>
        </w:rPr>
        <w:t xml:space="preserve"> </w:t>
      </w:r>
      <w:r>
        <w:rPr>
          <w:rFonts w:ascii="Times New Roman;serif" w:hAnsi="Times New Roman;serif"/>
          <w:b w:val="false"/>
          <w:sz w:val="22"/>
        </w:rPr>
        <w:t>shall survive the resignation or replacement of the Administrative Agent or any assignment of rights by, or the replacement of, a Lender, the termination of this Agreement and the payment of the Loans and all other amounts payable hereunder.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(h) For purposes of this </w:t>
      </w:r>
      <w:r>
        <w:rPr>
          <w:rFonts w:ascii="Times New Roman;serif" w:hAnsi="Times New Roman;serif"/>
          <w:b w:val="false"/>
          <w:sz w:val="22"/>
          <w:u w:val="single"/>
        </w:rPr>
        <w:t>Section 2.16</w:t>
      </w:r>
      <w:r>
        <w:rPr>
          <w:rFonts w:ascii="Times New Roman;serif" w:hAnsi="Times New Roman;serif"/>
          <w:b w:val="false"/>
          <w:sz w:val="22"/>
        </w:rPr>
        <w:t>, the term “Lender” shall include any Participant, any Issuing Bank and the Swingline Lender.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VAT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All amounts expressed to be payable under a Loan Document by any party to a Lender which (in whole or in part) constitute the consideration for a supply or supplies for VAT purposes shall be deemed to be exclusive of any VAT which is chargeable on such supply or supplies and accordingly, subject to paragraph (i) below if VAT is or becomes chargeable on any supply or supplies made by any Lender to any party in connection with a Loan Document, and such Lender is required to account to the relevant tax authority for the VAT, that party shall pay to the Lender (in addition to and at the same time as paying the consideration for that supply or supplies) an amount equal to the amount of the VAT upon such Lender providing an appropriate VAT invoice to such party.</w:t>
      </w:r>
    </w:p>
    <w:p>
      <w:pPr>
        <w:pStyle w:val="TextBody"/>
        <w:bidi w:val="0"/>
        <w:spacing w:before="0" w:after="240"/>
        <w:jc w:val="both"/>
        <w:rPr>
          <w:rFonts w:ascii="Times New Roman" w:hAnsi="Times New Roman"/>
          <w:sz w:val="20"/>
        </w:rPr>
      </w:pPr>
      <w:r>
        <w:rPr>
          <w:rFonts w:ascii="Times New Roman;serif" w:hAnsi="Times New Roman;serif"/>
          <w:b w:val="false"/>
          <w:sz w:val="22"/>
        </w:rPr>
        <w:t>(ii) If VAT is or becomes chargeable on any supply made by any Lender (the “</w:t>
      </w:r>
      <w:r>
        <w:rPr>
          <w:rFonts w:ascii="Times New Roman;serif" w:hAnsi="Times New Roman;serif"/>
          <w:b w:val="false"/>
          <w:sz w:val="22"/>
          <w:u w:val="single"/>
        </w:rPr>
        <w:t>Supplier</w:t>
      </w:r>
      <w:r>
        <w:rPr>
          <w:rFonts w:ascii="Times New Roman" w:hAnsi="Times New Roman"/>
          <w:sz w:val="20"/>
        </w:rPr>
        <w:t>”</w:t>
      </w:r>
      <w:r>
        <w:rPr>
          <w:rFonts w:ascii="Times New Roman;serif" w:hAnsi="Times New Roman;serif"/>
          <w:b w:val="false"/>
          <w:sz w:val="22"/>
        </w:rPr>
        <w:t>) to any other Lender (the “</w:t>
      </w:r>
      <w:r>
        <w:rPr>
          <w:rFonts w:ascii="Times New Roman;serif" w:hAnsi="Times New Roman;serif"/>
          <w:b w:val="false"/>
          <w:sz w:val="22"/>
          <w:u w:val="single"/>
        </w:rPr>
        <w:t>VAT Recipient</w:t>
      </w:r>
      <w:r>
        <w:rPr>
          <w:rFonts w:ascii="Times New Roman" w:hAnsi="Times New Roman"/>
          <w:sz w:val="20"/>
        </w:rPr>
        <w:t>”</w:t>
      </w:r>
      <w:r>
        <w:rPr>
          <w:rFonts w:ascii="Times New Roman;serif" w:hAnsi="Times New Roman;serif"/>
          <w:b w:val="false"/>
          <w:sz w:val="22"/>
        </w:rPr>
        <w:t>) under a Loan Document, and any party other than the VAT Recipient (the “</w:t>
      </w:r>
      <w:r>
        <w:rPr>
          <w:rFonts w:ascii="Times New Roman;serif" w:hAnsi="Times New Roman;serif"/>
          <w:b w:val="false"/>
          <w:sz w:val="22"/>
          <w:u w:val="single"/>
        </w:rPr>
        <w:t>Relevant Party</w:t>
      </w:r>
      <w:r>
        <w:rPr>
          <w:rFonts w:ascii="Times New Roman" w:hAnsi="Times New Roman"/>
          <w:sz w:val="20"/>
        </w:rPr>
        <w:t>”</w:t>
      </w:r>
      <w:r>
        <w:rPr>
          <w:rFonts w:ascii="Times New Roman;serif" w:hAnsi="Times New Roman;serif"/>
          <w:b w:val="false"/>
          <w:sz w:val="22"/>
        </w:rPr>
        <w:t>) is required by the terms of any Loan Document to pay an amount equal to the consideration for that supply to the Supplier (rather than being required to reimburse or indemnify the VAT Recipient in respect of that consideration):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(where the Supplier is the person required to account to the relevant tax authority for the VAT) the Lender must also pay to the Supplier (at the same time as paying that amount) an additional amount equal to the amount of the VAT. The VAT Recipient must (where this paragraph applies) promptly pay to the Relevant Party an amount equal to any credit or repayment the VAT Recipient receives from the relevant tax authority which the VAT Recipient reasonably determines relates to the VAT chargeable on that supply;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Where a Loan Document requires any party to reimburse or indemnify a Lender for any costs or expenses, that party shall reimburse or indemnify (as the case may be) the Lender against any VAT incurred by the Lender in respect of the costs or expenses, to the extent that the Lender reasonably determines that neither it nor any group of which it is a member for VAT purposes is entitled to credit or receive repayment in respect of the VAT from the relevant tax authority.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(iv) Any reference in this </w:t>
      </w:r>
      <w:r>
        <w:rPr>
          <w:rFonts w:ascii="Times New Roman;serif" w:hAnsi="Times New Roman;serif"/>
          <w:b w:val="false"/>
          <w:sz w:val="22"/>
          <w:u w:val="single"/>
        </w:rPr>
        <w:t>Section 2.16</w:t>
      </w:r>
      <w:r>
        <w:rPr>
          <w:rFonts w:ascii="Times New Roman" w:hAnsi="Times New Roman"/>
          <w:sz w:val="20"/>
        </w:rPr>
        <w:t xml:space="preserve"> </w:t>
      </w:r>
      <w:r>
        <w:rPr>
          <w:rFonts w:ascii="Times New Roman;serif" w:hAnsi="Times New Roman;serif"/>
          <w:b w:val="false"/>
          <w:sz w:val="22"/>
        </w:rPr>
        <w:t>to any party shall, at any time when such party is treated as a member of a group or unity (or fiscal unity) for VAT purposes, include (where appropriate and unless the context otherwise requires) a reference to the person who is treated a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or is a former member state of the European Union)).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In relation to any supply made by a Lender to any party under a Loan Document, if reasonably requested by such Lender, that party must promptly provide such Lender with details of that formation as is reasonably requested in connection with such porting requirements in relation to such supply.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2.17 </w:t>
      </w:r>
      <w:r>
        <w:rPr>
          <w:rFonts w:ascii="Times New Roman;serif" w:hAnsi="Times New Roman;serif"/>
          <w:b w:val="false"/>
          <w:sz w:val="22"/>
          <w:u w:val="single"/>
        </w:rPr>
        <w:t>Payments Generally; Pro Rata Treatment; Sharing of Setoffs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81" w:name="docxtextref1205"/>
      <w:bookmarkEnd w:id="781"/>
      <w:r>
        <w:rPr>
          <w:rFonts w:ascii="Times New Roman;serif" w:hAnsi="Times New Roman;serif"/>
          <w:b w:val="false"/>
          <w:sz w:val="22"/>
        </w:rPr>
        <w:t xml:space="preserve">(a) The Borrowers shall make each payment required to be made by it under any Loan Document (whether of principal, interest, fees or reimbursement of LC Disbursements, or of amounts payable under </w:t>
      </w:r>
      <w:r>
        <w:rPr>
          <w:rFonts w:ascii="Times New Roman;serif" w:hAnsi="Times New Roman;serif"/>
          <w:b w:val="false"/>
          <w:sz w:val="22"/>
          <w:u w:val="single"/>
        </w:rPr>
        <w:t>Section 2.14</w:t>
      </w:r>
      <w:r>
        <w:rPr>
          <w:rFonts w:ascii="Times New Roman;serif" w:hAnsi="Times New Roman;serif"/>
          <w:b w:val="false"/>
          <w:sz w:val="22"/>
        </w:rPr>
        <w:t xml:space="preserve">, </w:t>
      </w:r>
      <w:r>
        <w:rPr>
          <w:rFonts w:ascii="Times New Roman;serif" w:hAnsi="Times New Roman;serif"/>
          <w:b w:val="false"/>
          <w:sz w:val="22"/>
          <w:u w:val="single"/>
        </w:rPr>
        <w:t>2.15</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2.16</w:t>
      </w:r>
      <w:r>
        <w:rPr>
          <w:rFonts w:ascii="Times New Roman;serif" w:hAnsi="Times New Roman;serif"/>
          <w:b w:val="false"/>
          <w:sz w:val="22"/>
        </w:rPr>
        <w:t xml:space="preserve">,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Times New Roman;serif" w:hAnsi="Times New Roman;serif"/>
          <w:b w:val="false"/>
          <w:sz w:val="22"/>
          <w:u w:val="single"/>
        </w:rPr>
        <w:t>Sections 2.14</w:t>
      </w:r>
      <w:r>
        <w:rPr>
          <w:rFonts w:ascii="Times New Roman;serif" w:hAnsi="Times New Roman;serif"/>
          <w:b w:val="false"/>
          <w:sz w:val="22"/>
        </w:rPr>
        <w:t xml:space="preserve">, </w:t>
      </w:r>
      <w:r>
        <w:rPr>
          <w:rFonts w:ascii="Times New Roman;serif" w:hAnsi="Times New Roman;serif"/>
          <w:b w:val="false"/>
          <w:sz w:val="22"/>
          <w:u w:val="single"/>
        </w:rPr>
        <w:t>2.15</w:t>
      </w:r>
      <w:r>
        <w:rPr>
          <w:rFonts w:ascii="Times New Roman;serif" w:hAnsi="Times New Roman;serif"/>
          <w:b w:val="false"/>
          <w:sz w:val="22"/>
        </w:rPr>
        <w:t xml:space="preserve">, </w:t>
      </w:r>
      <w:r>
        <w:rPr>
          <w:rFonts w:ascii="Times New Roman;serif" w:hAnsi="Times New Roman;serif"/>
          <w:b w:val="false"/>
          <w:sz w:val="22"/>
          <w:u w:val="single"/>
        </w:rPr>
        <w:t>2.16</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9.03</w:t>
      </w:r>
      <w:r>
        <w:rPr>
          <w:rFonts w:ascii="Times New Roman" w:hAnsi="Times New Roman"/>
          <w:sz w:val="20"/>
        </w:rPr>
        <w:t xml:space="preserve"> </w:t>
      </w:r>
      <w:r>
        <w:rPr>
          <w:rFonts w:ascii="Times New Roman;serif" w:hAnsi="Times New Roman;serif"/>
          <w:b w:val="false"/>
          <w:sz w:val="22"/>
        </w:rPr>
        <w:t>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All payments by the Borrowers hereunder with respect to principal of and interest on Loans denominated in an Alternative Currency shall be made in such Alternative Currency to such account as may be specified by the Administrative Agent. Except as otherwise provided herein, if any payment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pStyle w:val="TextBody"/>
        <w:bidi w:val="0"/>
        <w:spacing w:before="0" w:after="240"/>
        <w:jc w:val="both"/>
        <w:rPr>
          <w:rFonts w:ascii="Times New Roman" w:hAnsi="Times New Roman"/>
          <w:sz w:val="20"/>
        </w:rPr>
      </w:pPr>
      <w:bookmarkStart w:id="782" w:name="docxtextref1207"/>
      <w:bookmarkEnd w:id="782"/>
      <w:r>
        <w:rPr>
          <w:rFonts w:ascii="Times New Roman;serif" w:hAnsi="Times New Roman;serif"/>
          <w:b w:val="false"/>
          <w:sz w:val="22"/>
        </w:rPr>
        <w:t>(b) If at any time insufficient funds are received by and available to the Administrative Agent to pay fully all amounts of principal, unreimbursed LC Disbursements, interest and fees then due hereunder, such funds shall be applied (i)</w:t>
      </w:r>
      <w:r>
        <w:rPr>
          <w:rFonts w:ascii="Times New Roman" w:hAnsi="Times New Roman"/>
          <w:sz w:val="20"/>
        </w:rPr>
        <w:t xml:space="preserve"> </w:t>
      </w:r>
      <w:r>
        <w:rPr>
          <w:rFonts w:ascii="Times New Roman;serif" w:hAnsi="Times New Roman;serif"/>
          <w:b w:val="false"/>
          <w:sz w:val="22"/>
          <w:u w:val="single"/>
        </w:rPr>
        <w:t>first</w:t>
      </w:r>
      <w:r>
        <w:rPr>
          <w:rFonts w:ascii="Times New Roman;serif" w:hAnsi="Times New Roman;serif"/>
          <w:b w:val="false"/>
          <w:sz w:val="22"/>
        </w:rPr>
        <w:t xml:space="preserve">, towards payment of interest and fees then due hereunder, ratably among the parties entitled thereto in accordance with the amounts of interest and fees then due to such parties, and (ii) </w:t>
      </w:r>
      <w:r>
        <w:rPr>
          <w:rFonts w:ascii="Times New Roman;serif" w:hAnsi="Times New Roman;serif"/>
          <w:b w:val="false"/>
          <w:sz w:val="22"/>
          <w:u w:val="single"/>
        </w:rPr>
        <w:t>second</w:t>
      </w:r>
      <w:r>
        <w:rPr>
          <w:rFonts w:ascii="Times New Roman;serif" w:hAnsi="Times New Roman;serif"/>
          <w:b w:val="false"/>
          <w:sz w:val="22"/>
        </w:rPr>
        <w:t>, towards payment of principal and unreimbursed LC Disbursements then due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-129-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hereunder, ratably among the parties entitled thereto in accordance with the amounts of principal and unreimbursed LC Disbursements then due to such parties.</w:t>
      </w:r>
    </w:p>
    <w:p>
      <w:pPr>
        <w:pStyle w:val="TextBody"/>
        <w:bidi w:val="0"/>
        <w:spacing w:before="0" w:after="240"/>
        <w:jc w:val="both"/>
        <w:rPr>
          <w:rFonts w:ascii="Times New Roman" w:hAnsi="Times New Roman"/>
          <w:sz w:val="20"/>
        </w:rPr>
      </w:pPr>
      <w:bookmarkStart w:id="783" w:name="docxtextref1208"/>
      <w:bookmarkEnd w:id="783"/>
      <w:r>
        <w:rPr>
          <w:rFonts w:ascii="Times New Roman;serif" w:hAnsi="Times New Roman;serif"/>
          <w:b w:val="false"/>
          <w:sz w:val="22"/>
        </w:rPr>
        <w:t xml:space="preserve">(c) 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 xml:space="preserve">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w:t>
      </w:r>
      <w:bookmarkStart w:id="784" w:name="docxtextref1209"/>
      <w:bookmarkEnd w:id="784"/>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any payment made by the Borrowers pursuant to and in accordance with the express terms of this Agreement (including the application of funds arising from the existence of a Defaulting Lender), </w:t>
      </w:r>
      <w:bookmarkStart w:id="785" w:name="docxtextref1210"/>
      <w:bookmarkEnd w:id="78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payment obtained by a Lender as consideration for the assignment of or sale of a participation in any of its Loans or participations in LC Disbursements or Swingline Loans to any assignee or participant or </w:t>
      </w:r>
      <w:bookmarkStart w:id="786" w:name="docxtextref1211"/>
      <w:bookmarkEnd w:id="78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Unless the Administrative Agent shall have received notice from the Borrowers prior to the date on which any payment is due to the Administrative Agent for the account of the Lenders or the Issuing Banks hereunder that the Borrowers will not make such payment, the Administrative Agent may assume that the Borrowers have made such payment on such date in accordance herewith and may, in reliance upon such assumption and in its sole discretion, distribute to the Lenders or Issuing Banks, as the case may be, the amount due. In such event, if the Borrowers have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240"/>
        <w:jc w:val="both"/>
        <w:rPr>
          <w:rFonts w:ascii="Times New Roman" w:hAnsi="Times New Roman"/>
          <w:sz w:val="20"/>
        </w:rPr>
      </w:pPr>
      <w:bookmarkStart w:id="787" w:name="docxtextref1219"/>
      <w:bookmarkEnd w:id="787"/>
      <w:r>
        <w:rPr>
          <w:rFonts w:ascii="Times New Roman;serif" w:hAnsi="Times New Roman;serif"/>
          <w:b w:val="false"/>
          <w:sz w:val="22"/>
        </w:rPr>
        <w:t xml:space="preserve">(e) If any Lender shall fail to make any payment required to be made by it pursuant to </w:t>
      </w:r>
      <w:r>
        <w:rPr>
          <w:rFonts w:ascii="Times New Roman;serif" w:hAnsi="Times New Roman;serif"/>
          <w:b w:val="false"/>
          <w:sz w:val="22"/>
          <w:u w:val="single"/>
        </w:rPr>
        <w:t>Section 2.04(e)</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2.04(f)</w:t>
      </w:r>
      <w:r>
        <w:rPr>
          <w:rFonts w:ascii="Times New Roman;serif" w:hAnsi="Times New Roman;serif"/>
          <w:b w:val="false"/>
          <w:sz w:val="22"/>
        </w:rPr>
        <w:t xml:space="preserve">, </w:t>
      </w:r>
      <w:r>
        <w:rPr>
          <w:rFonts w:ascii="Times New Roman;serif" w:hAnsi="Times New Roman;serif"/>
          <w:b w:val="false"/>
          <w:sz w:val="22"/>
          <w:u w:val="single"/>
        </w:rPr>
        <w:t>Section 2.05(a)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2.05(b)</w:t>
      </w:r>
      <w:r>
        <w:rPr>
          <w:rFonts w:ascii="Times New Roman;serif" w:hAnsi="Times New Roman;serif"/>
          <w:b w:val="false"/>
          <w:sz w:val="22"/>
        </w:rPr>
        <w:t xml:space="preserve">, </w:t>
      </w:r>
      <w:r>
        <w:rPr>
          <w:rFonts w:ascii="Times New Roman;serif" w:hAnsi="Times New Roman;serif"/>
          <w:b w:val="false"/>
          <w:sz w:val="22"/>
          <w:u w:val="single"/>
        </w:rPr>
        <w:t>Section 2.17(d)</w:t>
      </w:r>
      <w:r>
        <w:rPr>
          <w:rFonts w:ascii="Times New Roman;serif" w:hAnsi="Times New Roman;serif"/>
          <w:b w:val="false"/>
          <w:sz w:val="22"/>
        </w:rPr>
        <w:t xml:space="preserve">, </w:t>
      </w:r>
      <w:r>
        <w:rPr>
          <w:rFonts w:ascii="Times New Roman;serif" w:hAnsi="Times New Roman;serif"/>
          <w:b w:val="false"/>
          <w:sz w:val="22"/>
          <w:u w:val="single"/>
        </w:rPr>
        <w:t>Section 9.03(c)</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9.03(d)</w:t>
      </w:r>
      <w:r>
        <w:rPr>
          <w:rFonts w:ascii="Times New Roman;serif" w:hAnsi="Times New Roman;serif"/>
          <w:b w:val="false"/>
          <w:sz w:val="22"/>
        </w:rPr>
        <w:t>, then the Administrative Agent may, in its discretion and in the order determined by the Administrative Agent (notwithstanding any contrary provision hereof), (i)</w:t>
      </w:r>
      <w:r>
        <w:rPr>
          <w:rFonts w:ascii="Times New Roman" w:hAnsi="Times New Roman"/>
          <w:sz w:val="20"/>
        </w:rPr>
        <w:t xml:space="preserve"> </w:t>
      </w:r>
      <w:r>
        <w:rPr>
          <w:rFonts w:ascii="Times New Roman;serif" w:hAnsi="Times New Roman;serif"/>
          <w:b w:val="false"/>
          <w:sz w:val="22"/>
        </w:rPr>
        <w:t>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2.18 </w:t>
      </w:r>
      <w:r>
        <w:rPr>
          <w:rFonts w:ascii="Times New Roman;serif" w:hAnsi="Times New Roman;serif"/>
          <w:b w:val="false"/>
          <w:sz w:val="22"/>
          <w:u w:val="single"/>
        </w:rPr>
        <w:t>Mitigation Obligations; Replacement of Lenders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88" w:name="docxtextref1226"/>
      <w:bookmarkEnd w:id="788"/>
      <w:r>
        <w:rPr>
          <w:rFonts w:ascii="Times New Roman;serif" w:hAnsi="Times New Roman;serif"/>
          <w:b w:val="false"/>
          <w:sz w:val="22"/>
        </w:rPr>
        <w:t xml:space="preserve">(a) If any Lender requests compensation under </w:t>
      </w:r>
      <w:r>
        <w:rPr>
          <w:rFonts w:ascii="Times New Roman;serif" w:hAnsi="Times New Roman;serif"/>
          <w:b w:val="false"/>
          <w:sz w:val="22"/>
          <w:u w:val="single"/>
        </w:rPr>
        <w:t>Section 2.14</w:t>
      </w:r>
      <w:r>
        <w:rPr>
          <w:rFonts w:ascii="Times New Roman;serif" w:hAnsi="Times New Roman;serif"/>
          <w:b w:val="false"/>
          <w:sz w:val="22"/>
        </w:rPr>
        <w:t xml:space="preserve">, or if a Borrower is required to pay any additional amount or any indemnity or compensatory amount to any Lender or any Governmental Authority for the account of any Lender pursuant to </w:t>
      </w:r>
      <w:r>
        <w:rPr>
          <w:rFonts w:ascii="Times New Roman;serif" w:hAnsi="Times New Roman;serif"/>
          <w:b w:val="false"/>
          <w:sz w:val="22"/>
          <w:u w:val="single"/>
        </w:rPr>
        <w:t>Section 2.16</w:t>
      </w:r>
      <w:r>
        <w:rPr>
          <w:rFonts w:ascii="Times New Roman" w:hAnsi="Times New Roman"/>
          <w:sz w:val="20"/>
        </w:rPr>
        <w:t xml:space="preserve"> </w:t>
      </w:r>
      <w:r>
        <w:rPr>
          <w:rFonts w:ascii="Times New Roman;serif" w:hAnsi="Times New Roman;serif"/>
          <w:b w:val="false"/>
          <w:sz w:val="22"/>
        </w:rPr>
        <w:t xml:space="preserve">or any event gives rise to the operation of </w:t>
      </w:r>
      <w:r>
        <w:rPr>
          <w:rFonts w:ascii="Times New Roman;serif" w:hAnsi="Times New Roman;serif"/>
          <w:b w:val="false"/>
          <w:sz w:val="22"/>
          <w:u w:val="single"/>
        </w:rPr>
        <w:t>Section 2.22</w:t>
      </w:r>
      <w:r>
        <w:rPr>
          <w:rFonts w:ascii="Times New Roman;serif" w:hAnsi="Times New Roman;serif"/>
          <w:b w:val="false"/>
          <w:sz w:val="22"/>
        </w:rPr>
        <w:t>,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w:t>
      </w:r>
      <w:r>
        <w:rPr>
          <w:rFonts w:ascii="Times New Roman" w:hAnsi="Times New Roman"/>
          <w:sz w:val="20"/>
        </w:rPr>
        <w:t xml:space="preserve"> </w:t>
      </w:r>
      <w:r>
        <w:rPr>
          <w:rFonts w:ascii="Times New Roman;serif" w:hAnsi="Times New Roman;serif"/>
          <w:b w:val="false"/>
          <w:sz w:val="22"/>
        </w:rPr>
        <w:t xml:space="preserve">would eliminate or reduce amounts payable pursuant to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2.16</w:t>
      </w:r>
      <w:r>
        <w:rPr>
          <w:rFonts w:ascii="Times New Roman" w:hAnsi="Times New Roman"/>
          <w:sz w:val="20"/>
        </w:rPr>
        <w:t xml:space="preserve"> </w:t>
      </w:r>
      <w:r>
        <w:rPr>
          <w:rFonts w:ascii="Times New Roman;serif" w:hAnsi="Times New Roman;serif"/>
          <w:b w:val="false"/>
          <w:sz w:val="22"/>
        </w:rPr>
        <w:t xml:space="preserve">or mitigate the applicability of </w:t>
      </w:r>
      <w:r>
        <w:rPr>
          <w:rFonts w:ascii="Times New Roman;serif" w:hAnsi="Times New Roman;serif"/>
          <w:b w:val="false"/>
          <w:sz w:val="22"/>
          <w:u w:val="single"/>
        </w:rPr>
        <w:t>Section 2.22</w:t>
      </w:r>
      <w:r>
        <w:rPr>
          <w:rFonts w:ascii="Times New Roman;serif" w:hAnsi="Times New Roman;serif"/>
          <w:b w:val="false"/>
          <w:sz w:val="22"/>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pStyle w:val="TextBody"/>
        <w:bidi w:val="0"/>
        <w:spacing w:before="0" w:after="240"/>
        <w:jc w:val="both"/>
        <w:rPr>
          <w:rFonts w:ascii="Times New Roman" w:hAnsi="Times New Roman"/>
          <w:sz w:val="20"/>
        </w:rPr>
      </w:pPr>
      <w:bookmarkStart w:id="789" w:name="docxtextref1237"/>
      <w:bookmarkEnd w:id="789"/>
      <w:r>
        <w:rPr>
          <w:rFonts w:ascii="Times New Roman;serif" w:hAnsi="Times New Roman;serif"/>
          <w:b w:val="false"/>
          <w:sz w:val="22"/>
        </w:rPr>
        <w:t xml:space="preserve">(b) If (i) any Lender requests compensation under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 xml:space="preserve">or gives notice under </w:t>
      </w:r>
      <w:r>
        <w:rPr>
          <w:rFonts w:ascii="Times New Roman;serif" w:hAnsi="Times New Roman;serif"/>
          <w:b w:val="false"/>
          <w:sz w:val="22"/>
          <w:u w:val="single"/>
        </w:rPr>
        <w:t>Section 2.22</w:t>
      </w:r>
      <w:r>
        <w:rPr>
          <w:rFonts w:ascii="Times New Roman;serif" w:hAnsi="Times New Roman;serif"/>
          <w:b w:val="false"/>
          <w:sz w:val="22"/>
        </w:rPr>
        <w:t xml:space="preserve">, (ii) a Borrower is required to pay any additional amount or any indemnity or compensatory amount to any Lender or to any Governmental Authority for the account of any Lender pursuant to </w:t>
      </w:r>
      <w:r>
        <w:rPr>
          <w:rFonts w:ascii="Times New Roman;serif" w:hAnsi="Times New Roman;serif"/>
          <w:b w:val="false"/>
          <w:sz w:val="22"/>
          <w:u w:val="single"/>
        </w:rPr>
        <w:t>Section 2.16</w:t>
      </w:r>
      <w:r>
        <w:rPr>
          <w:rFonts w:ascii="Times New Roman;serif" w:hAnsi="Times New Roman;serif"/>
          <w:b w:val="false"/>
          <w:sz w:val="22"/>
        </w:rPr>
        <w:t xml:space="preserve">, (iii) any Lender is a Disqualified Lender or (iv) any Lender is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sz w:val="22"/>
          <w:u w:val="single"/>
        </w:rPr>
        <w:t>Section 9.04</w:t>
      </w:r>
      <w:r>
        <w:rPr>
          <w:rFonts w:ascii="Times New Roman;serif" w:hAnsi="Times New Roman;serif"/>
          <w:b w:val="false"/>
          <w:sz w:val="22"/>
        </w:rPr>
        <w:t xml:space="preserve">), all its interests, rights and obligations under this Agreement and the other Loan Documents to an Eligible Assignee that shall assume such obligations (which assignee may be another Lender, if a Lender accepts such assignment and delegation);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the Borrowers shall have received the prior written consent of the Administrative Agent to the extent such consent would be required under </w:t>
      </w:r>
      <w:r>
        <w:rPr>
          <w:rFonts w:ascii="Times New Roman;serif" w:hAnsi="Times New Roman;serif"/>
          <w:b w:val="false"/>
          <w:sz w:val="22"/>
          <w:u w:val="single"/>
        </w:rPr>
        <w:t>Section 9.04(b)</w:t>
      </w:r>
      <w:r>
        <w:rPr>
          <w:rFonts w:ascii="Times New Roman" w:hAnsi="Times New Roman"/>
          <w:sz w:val="20"/>
        </w:rPr>
        <w:t xml:space="preserve"> </w:t>
      </w:r>
      <w:r>
        <w:rPr>
          <w:rFonts w:ascii="Times New Roman;serif" w:hAnsi="Times New Roman;serif"/>
          <w:b w:val="false"/>
          <w:sz w:val="22"/>
        </w:rPr>
        <w:t xml:space="preserve">for an assignment of Loans or Commitments, as applicable (and if a Revolving Commitment is being assigned and delegated, each Issuing Bank and each Swingline Lender), which consents, in each case, shall not unreasonably be withheld or delayed, </w:t>
      </w:r>
      <w:bookmarkStart w:id="790" w:name="docxtextref1238"/>
      <w:bookmarkEnd w:id="79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Borrowers (in the case of all other amounts), </w:t>
      </w:r>
      <w:bookmarkStart w:id="791" w:name="docxtextref1239"/>
      <w:bookmarkEnd w:id="79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Borrowers or such assignee shall have paid (unless waived) to the Administrative Agent the processing and recordation fee specified in </w:t>
      </w:r>
      <w:r>
        <w:rPr>
          <w:rFonts w:ascii="Times New Roman;serif" w:hAnsi="Times New Roman;serif"/>
          <w:b w:val="false"/>
          <w:sz w:val="22"/>
          <w:u w:val="single"/>
        </w:rPr>
        <w:t>Section 9.04(b)(ii)</w:t>
      </w:r>
      <w:r>
        <w:rPr>
          <w:rFonts w:ascii="Times New Roman" w:hAnsi="Times New Roman"/>
          <w:sz w:val="20"/>
        </w:rPr>
        <w:t xml:space="preserve"> </w:t>
      </w:r>
      <w:r>
        <w:rPr>
          <w:rFonts w:ascii="Times New Roman;serif" w:hAnsi="Times New Roman;serif"/>
          <w:b w:val="false"/>
          <w:sz w:val="22"/>
        </w:rPr>
        <w:t xml:space="preserve">and </w:t>
      </w:r>
      <w:bookmarkStart w:id="792" w:name="docxtextref1240"/>
      <w:bookmarkEnd w:id="79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in the case of any such assignment resulting from a claim for compensation under </w:t>
      </w:r>
      <w:r>
        <w:rPr>
          <w:rFonts w:ascii="Times New Roman;serif" w:hAnsi="Times New Roman;serif"/>
          <w:b w:val="false"/>
          <w:sz w:val="22"/>
          <w:u w:val="single"/>
        </w:rPr>
        <w:t>Section 2.14</w:t>
      </w:r>
      <w:r>
        <w:rPr>
          <w:rFonts w:ascii="Times New Roman;serif" w:hAnsi="Times New Roman;serif"/>
          <w:b w:val="false"/>
          <w:sz w:val="22"/>
        </w:rPr>
        <w:t xml:space="preserve">, or payments required to be made pursuant to </w:t>
      </w:r>
      <w:r>
        <w:rPr>
          <w:rFonts w:ascii="Times New Roman;serif" w:hAnsi="Times New Roman;serif"/>
          <w:b w:val="false"/>
          <w:sz w:val="22"/>
          <w:u w:val="single"/>
        </w:rPr>
        <w:t>Section 2.16</w:t>
      </w:r>
      <w:r>
        <w:rPr>
          <w:rFonts w:ascii="Times New Roman" w:hAnsi="Times New Roman"/>
          <w:sz w:val="20"/>
        </w:rPr>
        <w:t xml:space="preserve"> </w:t>
      </w:r>
      <w:r>
        <w:rPr>
          <w:rFonts w:ascii="Times New Roman;serif" w:hAnsi="Times New Roman;serif"/>
          <w:b w:val="false"/>
          <w:sz w:val="22"/>
        </w:rPr>
        <w:t xml:space="preserve">or a notice given under </w:t>
      </w:r>
      <w:r>
        <w:rPr>
          <w:rFonts w:ascii="Times New Roman;serif" w:hAnsi="Times New Roman;serif"/>
          <w:b w:val="false"/>
          <w:sz w:val="22"/>
          <w:u w:val="single"/>
        </w:rPr>
        <w:t>Section 2.22</w:t>
      </w:r>
      <w:r>
        <w:rPr>
          <w:rFonts w:ascii="Times New Roman;serif" w:hAnsi="Times New Roman;serif"/>
          <w:b w:val="false"/>
          <w:sz w:val="22"/>
        </w:rPr>
        <w:t xml:space="preserve">,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w:t>
      </w:r>
      <w:bookmarkStart w:id="793" w:name="docxtextref1236"/>
      <w:bookmarkEnd w:id="793"/>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above), the circumstances entitling the Borrowers to require such assignment and delegation cease to apply. Each party hereto agrees that an assignment required pursuant to this paragraph may be effected pursuant to an Assignment and Assumption executed by the Borrowers, the Administrative Agent and the assignee and that the Lender required to make such assignment need not be a party thereto.</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2.19 </w:t>
      </w:r>
      <w:r>
        <w:rPr>
          <w:rFonts w:ascii="Times New Roman;serif" w:hAnsi="Times New Roman;serif"/>
          <w:b w:val="false"/>
          <w:sz w:val="22"/>
          <w:u w:val="single"/>
        </w:rPr>
        <w:t>Incremental Credit Extensions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794" w:name="docxtextref1241"/>
      <w:bookmarkEnd w:id="794"/>
      <w:r>
        <w:rPr>
          <w:rFonts w:ascii="Times New Roman;serif" w:hAnsi="Times New Roman;serif"/>
          <w:b w:val="false"/>
          <w:sz w:val="22"/>
        </w:rPr>
        <w:t>(a) The Borrowers may at any time or from time to time on one or more occasions after the Effective Date request (i)</w:t>
      </w:r>
      <w:r>
        <w:rPr>
          <w:rFonts w:ascii="Times New Roman" w:hAnsi="Times New Roman"/>
          <w:sz w:val="20"/>
        </w:rPr>
        <w:t xml:space="preserve"> </w:t>
      </w:r>
      <w:r>
        <w:rPr>
          <w:rFonts w:ascii="Times New Roman;serif" w:hAnsi="Times New Roman;serif"/>
          <w:b w:val="false"/>
          <w:sz w:val="22"/>
        </w:rPr>
        <w:t>one or more additional Classes of term loans (each, an “</w:t>
      </w:r>
      <w:r>
        <w:rPr>
          <w:rFonts w:ascii="Times New Roman;serif" w:hAnsi="Times New Roman;serif"/>
          <w:b w:val="false"/>
          <w:sz w:val="22"/>
          <w:u w:val="single"/>
        </w:rPr>
        <w:t>Incremental Term Facility</w:t>
      </w:r>
      <w:r>
        <w:rPr>
          <w:rFonts w:ascii="Times New Roman" w:hAnsi="Times New Roman"/>
          <w:sz w:val="20"/>
        </w:rPr>
        <w:t>”</w:t>
      </w:r>
      <w:r>
        <w:rPr>
          <w:rFonts w:ascii="Times New Roman;serif" w:hAnsi="Times New Roman;serif"/>
          <w:b w:val="false"/>
          <w:sz w:val="22"/>
        </w:rPr>
        <w:t>), (ii) one or more additional term loans of the same Class of any existing Class of term loans (each, an “</w:t>
      </w:r>
      <w:r>
        <w:rPr>
          <w:rFonts w:ascii="Times New Roman;serif" w:hAnsi="Times New Roman;serif"/>
          <w:b w:val="false"/>
          <w:sz w:val="22"/>
          <w:u w:val="single"/>
        </w:rPr>
        <w:t>Incremental Term Increase</w:t>
      </w:r>
      <w:r>
        <w:rPr>
          <w:rFonts w:ascii="Times New Roman" w:hAnsi="Times New Roman"/>
          <w:sz w:val="20"/>
        </w:rPr>
        <w:t>”</w:t>
      </w:r>
      <w:r>
        <w:rPr>
          <w:rFonts w:ascii="Times New Roman;serif" w:hAnsi="Times New Roman;serif"/>
          <w:b w:val="false"/>
          <w:sz w:val="22"/>
        </w:rPr>
        <w:t>), (iii) one or more increases in the amount of the Revolving Commitments of any Class (each such increase, an “</w:t>
      </w:r>
      <w:r>
        <w:rPr>
          <w:rFonts w:ascii="Times New Roman;serif" w:hAnsi="Times New Roman;serif"/>
          <w:b w:val="false"/>
          <w:sz w:val="22"/>
          <w:u w:val="single"/>
        </w:rPr>
        <w:t>Incremental Revolving Commitment Increase</w:t>
      </w:r>
      <w:r>
        <w:rPr>
          <w:rFonts w:ascii="Times New Roman" w:hAnsi="Times New Roman"/>
          <w:sz w:val="20"/>
        </w:rPr>
        <w:t>”</w:t>
      </w:r>
      <w:r>
        <w:rPr>
          <w:rFonts w:ascii="Times New Roman;serif" w:hAnsi="Times New Roman;serif"/>
          <w:b w:val="false"/>
          <w:sz w:val="22"/>
        </w:rPr>
        <w:t>) and/or (iv) one or more additional Classes of Revolving Commitments (the “</w:t>
      </w:r>
      <w:r>
        <w:rPr>
          <w:rFonts w:ascii="Times New Roman;serif" w:hAnsi="Times New Roman;serif"/>
          <w:b w:val="false"/>
          <w:sz w:val="22"/>
          <w:u w:val="single"/>
        </w:rPr>
        <w:t>Additional/Replacement Revolving Commitments</w:t>
      </w:r>
      <w:r>
        <w:rPr>
          <w:rFonts w:ascii="Times New Roman;serif" w:hAnsi="Times New Roman;serif"/>
          <w:b w:val="false"/>
          <w:sz w:val="22"/>
        </w:rPr>
        <w:t>,” and, together with any Incremental Term Facility, Incremental Term Increase and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795" w:name="docxtextref1242"/>
      <w:bookmarkEnd w:id="795"/>
      <w:r>
        <w:rPr>
          <w:rFonts w:ascii="Times New Roman;serif" w:hAnsi="Times New Roman;serif"/>
          <w:b w:val="false"/>
          <w:sz w:val="22"/>
        </w:rPr>
        <w:t>Incremental Revolving Commitment Increases, the “</w:t>
      </w:r>
      <w:r>
        <w:rPr>
          <w:rFonts w:ascii="Times New Roman;serif" w:hAnsi="Times New Roman;serif"/>
          <w:b w:val="false"/>
          <w:sz w:val="22"/>
          <w:u w:val="single"/>
        </w:rPr>
        <w:t>Incremental Facilities</w:t>
      </w:r>
      <w:r>
        <w:rPr>
          <w:rFonts w:ascii="Times New Roman" w:hAnsi="Times New Roman"/>
          <w:sz w:val="20"/>
        </w:rPr>
        <w:t>”</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 xml:space="preserve">after giving effect to any Incremental Facility Amendment referred to below and at the time that any such Incremental Facility is made or effected, no Event of Default (or, in the case of the incurrence or provision of any Incremental Facility in connection with a Limited Condition Transaction, no Specified Event of Default) shall have occurred and be continuing and </w:t>
      </w:r>
      <w:bookmarkStart w:id="796" w:name="docxtextref1243"/>
      <w:bookmarkEnd w:id="79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in no event shall it be a condition to the effectiveness of, or borrowing under, any Incremental Facility that any representation or warranty of any Loan Party set forth herein be true and correct, except and solely to the extent required by the Additional Lenders providing such Incremental Facility. Notwithstanding anything to the contrary herein, the aggregate principal amount of the Incremental Facilities that can be incurred at any time shall not exceed the Incremental Cap at such time. Each Incremental Facility shall be in a minimum principal amount of $5,000,000 and integral multiples of $1,000,000 in excess thereof (unless the Borrowers and the Administrative Agent otherwise agree);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amount may be less than $5,000,000 if such amount represents all the remaining availability under the aggregate principal amount of Incremental Facilities set forth above.</w:t>
      </w:r>
    </w:p>
    <w:p>
      <w:pPr>
        <w:pStyle w:val="TextBody"/>
        <w:bidi w:val="0"/>
        <w:spacing w:before="0" w:after="240"/>
        <w:jc w:val="both"/>
        <w:rPr>
          <w:rFonts w:ascii="Times New Roman" w:hAnsi="Times New Roman"/>
          <w:sz w:val="20"/>
        </w:rPr>
      </w:pPr>
      <w:bookmarkStart w:id="797" w:name="docxtextref1247"/>
      <w:bookmarkEnd w:id="797"/>
      <w:r>
        <w:rPr>
          <w:rFonts w:ascii="Times New Roman;serif" w:hAnsi="Times New Roman;serif"/>
          <w:b w:val="false"/>
          <w:sz w:val="22"/>
        </w:rPr>
        <w:t>(b) (i) The Incremental Term Facilities (a)</w:t>
      </w:r>
      <w:r>
        <w:rPr>
          <w:rFonts w:ascii="Times New Roman" w:hAnsi="Times New Roman"/>
          <w:sz w:val="20"/>
        </w:rPr>
        <w:t xml:space="preserve"> </w:t>
      </w:r>
      <w:r>
        <w:rPr>
          <w:rFonts w:ascii="Times New Roman;serif" w:hAnsi="Times New Roman;serif"/>
          <w:b w:val="false"/>
          <w:sz w:val="22"/>
        </w:rPr>
        <w:t xml:space="preserve">shall </w:t>
      </w:r>
      <w:bookmarkStart w:id="798" w:name="docxtextref1248"/>
      <w:bookmarkEnd w:id="79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rank equal or junior in right of payment with the Term Loans, (ii) if secured, be secured only by the Collateral securing the Secured Obligations (except in the case of any Designated Alternative Security Debt) and (iii) only be guaranteed by the Loan Parties (except in the case of any Designated Alternative Security Debt), </w:t>
      </w:r>
      <w:bookmarkStart w:id="799" w:name="docxtextref1249"/>
      <w:bookmarkEnd w:id="79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except in the case of any Designated Earlier Maturing Debt, shall not mature earlier than the Term Maturity Date, </w:t>
      </w:r>
      <w:bookmarkStart w:id="800" w:name="docxtextref1250"/>
      <w:bookmarkEnd w:id="80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except in the case of any Designated Earlier Maturing Debt, shall not have a shorter Weighted Average Life to Maturity than the remaining Initial Term Loans, </w:t>
      </w:r>
      <w:bookmarkStart w:id="801" w:name="docxtextref1251"/>
      <w:bookmarkEnd w:id="801"/>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and prepayment terms and premiums and other terms and conditions as determined by the applicable Borrower and the Additional Term Lenders thereunder;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for any Incremental Term Facility </w:t>
      </w:r>
      <w:bookmarkStart w:id="802" w:name="docxtextref1254"/>
      <w:bookmarkEnd w:id="802"/>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 xml:space="preserve">is broadly syndicated to banks and other institutional investors, </w:t>
      </w:r>
      <w:bookmarkStart w:id="803" w:name="docxtextref1256"/>
      <w:bookmarkEnd w:id="80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is a term loan that ranks equal in right of payment with the Initial Term Loans and is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the Secured Obligations and </w:t>
      </w:r>
      <w:bookmarkStart w:id="804" w:name="docxtextref1258"/>
      <w:bookmarkEnd w:id="804"/>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is denominated in dollars, in the event that the Effective Yield for any such Incremental Term Facility is greater than the Effective Yield for the Initial Term Loans by more than 0.50% per annum, then the Effective Yield for the Initial Term Loans shall be increased to the extent necessary so that the Effective Yield for the Initial Term Loans is equal to the Effective Yield for such Incremental Term Facility minus 0.50% per annum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“LIBOR floor” applicable to the outstanding Initial Term Loans shall be increased to an amount not to exceed the “LIBOR floor” applicable to such Incremental Term Facility prior to any increase in the Applicable Rate applicable to such Initial Term Loans then outstanding) and (e) may otherwise have terms and conditions as agreed between the applicable Borrower and the Additional Term Lenders providing any such Incremental Term Facility.</w:t>
      </w:r>
    </w:p>
    <w:p>
      <w:pPr>
        <w:pStyle w:val="TextBody"/>
        <w:bidi w:val="0"/>
        <w:spacing w:before="0" w:after="240"/>
        <w:jc w:val="both"/>
        <w:rPr>
          <w:rFonts w:ascii="Times New Roman" w:hAnsi="Times New Roman"/>
          <w:sz w:val="20"/>
        </w:rPr>
      </w:pPr>
      <w:bookmarkStart w:id="805" w:name="docxtextref1261"/>
      <w:bookmarkEnd w:id="805"/>
      <w:r>
        <w:rPr>
          <w:rFonts w:ascii="Times New Roman;serif" w:hAnsi="Times New Roman;serif"/>
          <w:b w:val="false"/>
          <w:sz w:val="22"/>
        </w:rPr>
        <w:t xml:space="preserve">(ii) The Incremental Term Increases shall be treated the same as the Class of Term Loans being increased (including with respect to maturity date thereof), shall be considered to be part of the Class of Term Loans being increased and shall be on the same terms applicable to the Initial Term Loans (excluding upfront fees and customary arranger fees);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 xml:space="preserve">the pricing, interest rate margins, “most favored nation” (if any) provisions and rate floors on the Class of Term Loans being increased may be increased and additional upfront or similar fees may be payable to the lenders providing the Incremental Term Increase (without any requirement to pay such fees to any existing Term Lenders) and (ii) such Incremental Term Increase shall be subject to the “most favored nation” pricing adjustment (if applicable) set forth in the proviso to </w:t>
      </w:r>
      <w:r>
        <w:rPr>
          <w:rFonts w:ascii="Times New Roman;serif" w:hAnsi="Times New Roman;serif"/>
          <w:b w:val="false"/>
          <w:sz w:val="22"/>
          <w:u w:val="single"/>
        </w:rPr>
        <w:t>Section 2.19(b)(i)</w:t>
      </w:r>
      <w:r>
        <w:rPr>
          <w:rFonts w:ascii="Times New Roman" w:hAnsi="Times New Roman"/>
          <w:sz w:val="20"/>
        </w:rPr>
        <w:t xml:space="preserve"> </w:t>
      </w:r>
      <w:r>
        <w:rPr>
          <w:rFonts w:ascii="Times New Roman;serif" w:hAnsi="Times New Roman;serif"/>
          <w:b w:val="false"/>
          <w:sz w:val="22"/>
        </w:rPr>
        <w:t>as if such Incremental Term Increase was an Incremental Term Facility incurred hereunder.</w:t>
      </w:r>
    </w:p>
    <w:p>
      <w:pPr>
        <w:pStyle w:val="TextBody"/>
        <w:bidi w:val="0"/>
        <w:spacing w:before="0" w:after="240"/>
        <w:jc w:val="both"/>
        <w:rPr>
          <w:rFonts w:ascii="Times New Roman" w:hAnsi="Times New Roman"/>
          <w:sz w:val="20"/>
        </w:rPr>
      </w:pPr>
      <w:r>
        <w:rPr>
          <w:rFonts w:ascii="Times New Roman;serif" w:hAnsi="Times New Roman;serif"/>
          <w:b w:val="false"/>
          <w:sz w:val="22"/>
        </w:rPr>
        <w:t>(iii) The Incremental Revolving Commitment Increases shall be treated the same as the Class of Revolving Commitments being increased (including with respect to maturity date thereof),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shall be considered to be part of the Class of Revolving Loans being increased and shall be on the same terms applicable to the Revolving Loans (excluding upfront fees and customary arranger fees);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pStyle w:val="TextBody"/>
        <w:bidi w:val="0"/>
        <w:spacing w:before="0" w:after="240"/>
        <w:jc w:val="both"/>
        <w:rPr>
          <w:rFonts w:ascii="Times New Roman" w:hAnsi="Times New Roman"/>
          <w:sz w:val="20"/>
        </w:rPr>
      </w:pPr>
      <w:bookmarkStart w:id="806" w:name="docxtextref1263"/>
      <w:bookmarkEnd w:id="806"/>
      <w:r>
        <w:rPr>
          <w:rFonts w:ascii="Times New Roman;serif" w:hAnsi="Times New Roman;serif"/>
          <w:b w:val="false"/>
          <w:sz w:val="22"/>
        </w:rPr>
        <w:t>(iv) The Additional/Replacement Revolving Commitments (a)</w:t>
      </w:r>
      <w:r>
        <w:rPr>
          <w:rFonts w:ascii="Times New Roman" w:hAnsi="Times New Roman"/>
          <w:sz w:val="20"/>
        </w:rPr>
        <w:t xml:space="preserve"> </w:t>
      </w:r>
      <w:r>
        <w:rPr>
          <w:rFonts w:ascii="Times New Roman;serif" w:hAnsi="Times New Roman;serif"/>
          <w:b w:val="false"/>
          <w:sz w:val="22"/>
        </w:rPr>
        <w:t xml:space="preserve">shall </w:t>
      </w:r>
      <w:bookmarkStart w:id="807" w:name="docxtextref1264"/>
      <w:bookmarkEnd w:id="807"/>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rank equal or junior in right of payment with the Revolving Loans, (ii) if secured, be secured only by the Collateral securing the Secured Obligations (except in the case of any Designated Alternative Security Debt) and (iii) only be guaranteed by the Loan Parties (except in the case of any Designated Alternative Security Debt), </w:t>
      </w:r>
      <w:bookmarkStart w:id="808" w:name="docxtextref1265"/>
      <w:bookmarkEnd w:id="80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shall not mature earlier than the Revolving Maturity Date and shall require no </w:t>
      </w:r>
      <w:bookmarkStart w:id="809" w:name="docxtextref1262"/>
      <w:bookmarkEnd w:id="809"/>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amortization or mandatory commitment reduction prior to the Revolving Maturity Date, </w:t>
      </w:r>
      <w:bookmarkStart w:id="810" w:name="docxtextref1266"/>
      <w:bookmarkEnd w:id="81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applicable Borrower and Additional Revolving Lenders providing such commitments and </w:t>
      </w:r>
      <w:bookmarkStart w:id="811" w:name="docxtextref1267"/>
      <w:bookmarkEnd w:id="811"/>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may otherwise have terms and conditions as agreed between the applicable Borrower and Additional Revolving Lenders providing any such Additional/Replacement Revolving Commitments.</w:t>
      </w:r>
    </w:p>
    <w:p>
      <w:pPr>
        <w:pStyle w:val="TextBody"/>
        <w:bidi w:val="0"/>
        <w:spacing w:before="0" w:after="240"/>
        <w:jc w:val="both"/>
        <w:rPr>
          <w:rFonts w:ascii="Times New Roman" w:hAnsi="Times New Roman"/>
          <w:sz w:val="20"/>
        </w:rPr>
      </w:pPr>
      <w:r>
        <w:rPr>
          <w:rFonts w:ascii="Times New Roman;serif" w:hAnsi="Times New Roman;serif"/>
          <w:b w:val="false"/>
          <w:sz w:val="22"/>
        </w:rPr>
        <w:t>(c) Incremental Facilities shall become Commitments and Loans, as applicable, under this Agreement pursuant to an amendment (an “</w:t>
      </w:r>
      <w:r>
        <w:rPr>
          <w:rFonts w:ascii="Times New Roman;serif" w:hAnsi="Times New Roman;serif"/>
          <w:b w:val="false"/>
          <w:sz w:val="22"/>
          <w:u w:val="single"/>
        </w:rPr>
        <w:t>Incremental Facility Amendment</w:t>
      </w:r>
      <w:r>
        <w:rPr>
          <w:rFonts w:ascii="Times New Roman" w:hAnsi="Times New Roman"/>
          <w:sz w:val="20"/>
        </w:rPr>
        <w:t>”</w:t>
      </w:r>
      <w:r>
        <w:rPr>
          <w:rFonts w:ascii="Times New Roman;serif" w:hAnsi="Times New Roman;serif"/>
          <w:b w:val="false"/>
          <w:sz w:val="22"/>
        </w:rPr>
        <w:t xml:space="preserve">) to this Agreement and, as appropriate, the other Loan Documents, executed by the Borrower Representative, each Lender agreeing to provide such Commitment or Loan, if any, each Additional Lender, if any, and the Administrative Agent. Any Incremental Facility Amendment may provide for the issuance of Letters of Credit for the account of the Revolving Borrowers,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Issuing Bank shall be required to act as “issuing bank” and no Swingline Lender shall be required to act as “swingline lender” under any such Incremental Facility Amendment without its written consent. An Incremental Facility may be provided, subject to the prior written consent of the Borrower Representative (not to be unreasonably withheld), by any existing Lender (it being understood that no existing Lender shall have the right to participate in any Incremental Facility or, unless it agrees, be obligated to provide any Incremental Facilities) or by any Additional Lender. Any loan under an Incremental Facility shall be a “Loan” for all purposes of this Agreement and the other Loan Documents. The Incremental Facility Amendment may, subject to </w:t>
      </w:r>
      <w:r>
        <w:rPr>
          <w:rFonts w:ascii="Times New Roman;serif" w:hAnsi="Times New Roman;serif"/>
          <w:b w:val="false"/>
          <w:sz w:val="22"/>
          <w:u w:val="single"/>
        </w:rPr>
        <w:t>Section 2.19(b)</w:t>
      </w:r>
      <w:r>
        <w:rPr>
          <w:rFonts w:ascii="Times New Roman;serif" w:hAnsi="Times New Roman;serif"/>
          <w:b w:val="false"/>
          <w:sz w:val="22"/>
        </w:rPr>
        <w:t xml:space="preserve">, without the consent of any other Lenders, effect such amendments to this Agreement and the other Loan Documents as may be necessary, in the reasonable opinion of the Administrative Agent and the Borrower Representative, to effect the provisions of this </w:t>
      </w:r>
      <w:r>
        <w:rPr>
          <w:rFonts w:ascii="Times New Roman;serif" w:hAnsi="Times New Roman;serif"/>
          <w:b w:val="false"/>
          <w:sz w:val="22"/>
          <w:u w:val="single"/>
        </w:rPr>
        <w:t>Section 2.19</w:t>
      </w:r>
      <w:r>
        <w:rPr>
          <w:rFonts w:ascii="Times New Roman" w:hAnsi="Times New Roman"/>
          <w:sz w:val="20"/>
        </w:rPr>
        <w:t xml:space="preserve"> </w:t>
      </w:r>
      <w:r>
        <w:rPr>
          <w:rFonts w:ascii="Times New Roman;serif" w:hAnsi="Times New Roman;serif"/>
          <w:b w:val="false"/>
          <w:sz w:val="22"/>
        </w:rPr>
        <w:t xml:space="preserve">(including,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or continuation) of a Loan and the issuance, increase in the amount, or extension of a Letter of Credit thereunder) pursuant to such Incremental Facility Amendment shall be subject to the satisfaction of such conditions as the parties thereto shall agree and as required by this </w:t>
      </w:r>
      <w:r>
        <w:rPr>
          <w:rFonts w:ascii="Times New Roman;serif" w:hAnsi="Times New Roman;serif"/>
          <w:b w:val="false"/>
          <w:sz w:val="22"/>
          <w:u w:val="single"/>
        </w:rPr>
        <w:t>Section 2.19</w:t>
      </w:r>
      <w:r>
        <w:rPr>
          <w:rFonts w:ascii="Times New Roman;serif" w:hAnsi="Times New Roman;serif"/>
          <w:b w:val="false"/>
          <w:sz w:val="22"/>
        </w:rPr>
        <w:t>. The Borrowers will use the proceeds of the Incremental Term Loans, Incremental Revolving Commitment Increases and Additional/Replacement Revolving Commitments for any purpose not prohibited by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Notwithstanding anything to the contrary, this </w:t>
      </w:r>
      <w:r>
        <w:rPr>
          <w:rFonts w:ascii="Times New Roman;serif" w:hAnsi="Times New Roman;serif"/>
          <w:b w:val="false"/>
          <w:sz w:val="22"/>
          <w:u w:val="single"/>
        </w:rPr>
        <w:t>Section 2.19</w:t>
      </w:r>
      <w:r>
        <w:rPr>
          <w:rFonts w:ascii="Times New Roman" w:hAnsi="Times New Roman"/>
          <w:sz w:val="20"/>
        </w:rPr>
        <w:t xml:space="preserve"> </w:t>
      </w:r>
      <w:r>
        <w:rPr>
          <w:rFonts w:ascii="Times New Roman;serif" w:hAnsi="Times New Roman;serif"/>
          <w:b w:val="false"/>
          <w:sz w:val="22"/>
        </w:rPr>
        <w:t xml:space="preserve">shall supersede any provisions in </w:t>
      </w:r>
      <w:r>
        <w:rPr>
          <w:rFonts w:ascii="Times New Roman;serif" w:hAnsi="Times New Roman;serif"/>
          <w:b w:val="false"/>
          <w:sz w:val="22"/>
          <w:u w:val="single"/>
        </w:rPr>
        <w:t>Section 2.17</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to the contrary.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2.20 </w:t>
      </w:r>
      <w:r>
        <w:rPr>
          <w:rFonts w:ascii="Times New Roman;serif" w:hAnsi="Times New Roman;serif"/>
          <w:b w:val="false"/>
          <w:sz w:val="22"/>
          <w:u w:val="single"/>
        </w:rPr>
        <w:t>Refinancing Amendments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12" w:name="docxtextref1277"/>
      <w:bookmarkEnd w:id="812"/>
      <w:r>
        <w:rPr>
          <w:rFonts w:ascii="Times New Roman;serif" w:hAnsi="Times New Roman;serif"/>
          <w:b w:val="false"/>
          <w:sz w:val="22"/>
        </w:rPr>
        <w:t>(a) At any time after the Effective Date, the Borrowers may obtain, from any Lender or any Additional Lender, Credit Agreement Refinancing Indebtedness in respect of (i)</w:t>
      </w:r>
      <w:r>
        <w:rPr>
          <w:rFonts w:ascii="Times New Roman" w:hAnsi="Times New Roman"/>
          <w:sz w:val="20"/>
        </w:rPr>
        <w:t xml:space="preserve"> </w:t>
      </w:r>
      <w:r>
        <w:rPr>
          <w:rFonts w:ascii="Times New Roman;serif" w:hAnsi="Times New Roman;serif"/>
          <w:b w:val="false"/>
          <w:sz w:val="22"/>
        </w:rPr>
        <w:t xml:space="preserve">all or any portion of the Term Loans then outstanding under this Agreement (which for purposes of this clause (i) will be deemed to include any then outstanding Other Term Loans), (ii) all or any portion of the Revolving Loans (or unused Revolving Commitments) under this Agreement (which for purposes of this clause (ii) will be deemed to include any then outstanding Other Revolving Loans and Other Revolving Commitments) and (iii) all or any portion of Incremental Equivalent Debt, in the form of </w:t>
      </w:r>
      <w:bookmarkStart w:id="813" w:name="docxtextref1278"/>
      <w:bookmarkEnd w:id="813"/>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Other Term Loans or Other Term Commitments or </w:t>
      </w:r>
      <w:bookmarkStart w:id="814" w:name="docxtextref1279"/>
      <w:bookmarkEnd w:id="81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Other Revolving Loans or Other Revolving Commitments, as the case may be, in each case pursuant to a Refinancing Amendment;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Credit Agreement Refinancing Indebtedness </w:t>
      </w:r>
      <w:bookmarkStart w:id="815" w:name="docxtextref1280"/>
      <w:bookmarkEnd w:id="81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will be unsecured or will be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or junior basis with the Secured Obligations (and if secured, subject to the terms of a Customary Intercreditor Agreement), (ii) will have such pricing and optional prepayment terms as may be agreed by the Borrowers and the Lenders thereof, and (iii) the Net Proceeds of such Credit Agreement Refinancing Indebtedness shall be applied, substantially concurrently with the incurrence thereof, to the prepayment of outstanding Term Loans, reduction of Revolving Commitments being so refinanced or the prepayment, satisfaction and discharge or redemption of outstanding Incremental Equivalent Debt, as the case may be. The effectiveness of any Refinancing Amendment shall be subject to the satisfaction on the date thereof of the conditions as agreed between the lenders providing such Credit Agreement Refinancing Indebtedness and the Borrowers and, to the extent reasonably requested by the Administrative Agent, receipt by the Administrative Agent of legal opinions, board resolutions, officers’ certificates and/or reaffirmation agreements consistent with those delivered on the Effective Date under </w:t>
      </w:r>
      <w:r>
        <w:rPr>
          <w:rFonts w:ascii="Times New Roman;serif" w:hAnsi="Times New Roman;serif"/>
          <w:b w:val="false"/>
          <w:sz w:val="22"/>
          <w:u w:val="single"/>
        </w:rPr>
        <w:t>Section 4.01</w:t>
      </w:r>
      <w:r>
        <w:rPr>
          <w:rFonts w:ascii="Times New Roman" w:hAnsi="Times New Roman"/>
          <w:sz w:val="20"/>
        </w:rPr>
        <w:t xml:space="preserve"> </w:t>
      </w:r>
      <w:r>
        <w:rPr>
          <w:rFonts w:ascii="Times New Roman;serif" w:hAnsi="Times New Roman;serif"/>
          <w:b w:val="false"/>
          <w:sz w:val="22"/>
        </w:rPr>
        <w:t xml:space="preserve">(other than changes to such legal opinions resulting from a change in law, change in fact or change to counsel’s form of opinion reasonably satisfactory to the Administrative Agent). Each Class of Credit Agreement Refinancing Indebtedness incurred under this </w:t>
      </w:r>
      <w:r>
        <w:rPr>
          <w:rFonts w:ascii="Times New Roman;serif" w:hAnsi="Times New Roman;serif"/>
          <w:b w:val="false"/>
          <w:sz w:val="22"/>
          <w:u w:val="single"/>
        </w:rPr>
        <w:t>Section 2.20</w:t>
      </w:r>
      <w:r>
        <w:rPr>
          <w:rFonts w:ascii="Times New Roman" w:hAnsi="Times New Roman"/>
          <w:sz w:val="20"/>
        </w:rPr>
        <w:t xml:space="preserve"> </w:t>
      </w:r>
      <w:r>
        <w:rPr>
          <w:rFonts w:ascii="Times New Roman;serif" w:hAnsi="Times New Roman;serif"/>
          <w:b w:val="false"/>
          <w:sz w:val="22"/>
        </w:rPr>
        <w:t xml:space="preserve">shall be in an aggregate principal amount that is not less than $5,000,000 and an integral multiple of $1,000,000 in excess thereof (in each case unless the Borrowers and the Administrative Agent otherwise agree). Any Refinancing Amendment may provide for the issuance of Letters of Credit for the account of the Revolving Borrowers, or the provision to the Revolving Borrowers of Swingline Loans, pursuant to any Other Revolving Commitments established thereby, in each case on terms substantially equivalent to the terms applicable to Letters of Credit and Swingline Loans under the Revolving Commitments;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Borrowers, to effect the provisions of this </w:t>
      </w:r>
      <w:r>
        <w:rPr>
          <w:rFonts w:ascii="Times New Roman;serif" w:hAnsi="Times New Roman;serif"/>
          <w:b w:val="false"/>
          <w:sz w:val="22"/>
          <w:u w:val="single"/>
        </w:rPr>
        <w:t>Section 2.20</w:t>
      </w:r>
      <w:r>
        <w:rPr>
          <w:rFonts w:ascii="Times New Roman" w:hAnsi="Times New Roman"/>
          <w:sz w:val="20"/>
        </w:rPr>
        <w:t xml:space="preserve"> </w:t>
      </w:r>
      <w:r>
        <w:rPr>
          <w:rFonts w:ascii="Times New Roman;serif" w:hAnsi="Times New Roman;serif"/>
          <w:b w:val="false"/>
          <w:sz w:val="22"/>
        </w:rPr>
        <w:t>(including,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This </w:t>
      </w:r>
      <w:r>
        <w:rPr>
          <w:rFonts w:ascii="Times New Roman;serif" w:hAnsi="Times New Roman;serif"/>
          <w:b w:val="false"/>
          <w:sz w:val="22"/>
          <w:u w:val="single"/>
        </w:rPr>
        <w:t>Section 2.20</w:t>
      </w:r>
      <w:r>
        <w:rPr>
          <w:rFonts w:ascii="Times New Roman" w:hAnsi="Times New Roman"/>
          <w:sz w:val="20"/>
        </w:rPr>
        <w:t xml:space="preserve"> </w:t>
      </w:r>
      <w:r>
        <w:rPr>
          <w:rFonts w:ascii="Times New Roman;serif" w:hAnsi="Times New Roman;serif"/>
          <w:b w:val="false"/>
          <w:sz w:val="22"/>
        </w:rPr>
        <w:t xml:space="preserve">shall supersede any provisions in </w:t>
      </w:r>
      <w:r>
        <w:rPr>
          <w:rFonts w:ascii="Times New Roman;serif" w:hAnsi="Times New Roman;serif"/>
          <w:b w:val="false"/>
          <w:sz w:val="22"/>
          <w:u w:val="single"/>
        </w:rPr>
        <w:t>Section 2.17</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to the contrary.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2.21 </w:t>
      </w:r>
      <w:r>
        <w:rPr>
          <w:rFonts w:ascii="Times New Roman;serif" w:hAnsi="Times New Roman;serif"/>
          <w:b w:val="false"/>
          <w:sz w:val="22"/>
          <w:u w:val="single"/>
        </w:rPr>
        <w:t>Defaulting Lenders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w:t>
      </w:r>
      <w:r>
        <w:rPr>
          <w:rFonts w:ascii="Times New Roman;serif" w:hAnsi="Times New Roman;serif"/>
          <w:b w:val="false"/>
          <w:sz w:val="22"/>
          <w:u w:val="single"/>
        </w:rPr>
        <w:t>Adjustments</w:t>
      </w:r>
      <w:r>
        <w:rPr>
          <w:rFonts w:ascii="Times New Roman;serif" w:hAnsi="Times New Roman;serif"/>
          <w:b w:val="false"/>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w:t>
      </w:r>
      <w:r>
        <w:rPr>
          <w:rFonts w:ascii="Times New Roman;serif" w:hAnsi="Times New Roman;serif"/>
          <w:b w:val="false"/>
          <w:sz w:val="22"/>
          <w:u w:val="single"/>
        </w:rPr>
        <w:t>Waivers and Amendments</w:t>
      </w:r>
      <w:r>
        <w:rPr>
          <w:rFonts w:ascii="Times New Roman;serif" w:hAnsi="Times New Roman;serif"/>
          <w:b w:val="false"/>
          <w:sz w:val="22"/>
        </w:rPr>
        <w:t xml:space="preserve">. Such Defaulting Lender’s right to approve or disapprove any amendment, waiver or consent with respect to this Agreement shall be restricted as set forth in </w:t>
      </w:r>
      <w:r>
        <w:rPr>
          <w:rFonts w:ascii="Times New Roman;serif" w:hAnsi="Times New Roman;serif"/>
          <w:b w:val="false"/>
          <w:sz w:val="22"/>
          <w:u w:val="single"/>
        </w:rPr>
        <w:t>Section 9.02</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w:t>
      </w:r>
      <w:r>
        <w:rPr>
          <w:rFonts w:ascii="Times New Roman;serif" w:hAnsi="Times New Roman;serif"/>
          <w:b w:val="false"/>
          <w:sz w:val="22"/>
          <w:u w:val="single"/>
        </w:rPr>
        <w:t>Reallocation of Payments</w:t>
      </w:r>
      <w:r>
        <w:rPr>
          <w:rFonts w:ascii="Times New Roman;serif" w:hAnsi="Times New Roman;serif"/>
          <w:b w:val="false"/>
          <w:sz w:val="22"/>
        </w:rPr>
        <w:t xml:space="preserve">. Subject to the last sentence of </w:t>
      </w:r>
      <w:r>
        <w:rPr>
          <w:rFonts w:ascii="Times New Roman;serif" w:hAnsi="Times New Roman;serif"/>
          <w:b w:val="false"/>
          <w:sz w:val="22"/>
          <w:u w:val="single"/>
        </w:rPr>
        <w:t>Section 2.10(f)</w:t>
      </w:r>
      <w:r>
        <w:rPr>
          <w:rFonts w:ascii="Times New Roman;serif" w:hAnsi="Times New Roman;serif"/>
          <w:b w:val="false"/>
          <w:sz w:val="22"/>
        </w:rPr>
        <w:t xml:space="preserve">,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sz w:val="22"/>
          <w:u w:val="single"/>
        </w:rPr>
        <w:t>Article VII</w:t>
      </w:r>
      <w:r>
        <w:rPr>
          <w:rFonts w:ascii="Times New Roman" w:hAnsi="Times New Roman"/>
          <w:sz w:val="20"/>
        </w:rPr>
        <w:t xml:space="preserve"> </w:t>
      </w:r>
      <w:r>
        <w:rPr>
          <w:rFonts w:ascii="Times New Roman;serif" w:hAnsi="Times New Roman;serif"/>
          <w:b w:val="false"/>
          <w:sz w:val="22"/>
        </w:rPr>
        <w:t xml:space="preserve">or otherwise, and including any amounts made available to the Administrative Agent by that Defaulting Lender pursuant to </w:t>
      </w:r>
      <w:r>
        <w:rPr>
          <w:rFonts w:ascii="Times New Roman;serif" w:hAnsi="Times New Roman;serif"/>
          <w:b w:val="false"/>
          <w:sz w:val="22"/>
          <w:u w:val="single"/>
        </w:rPr>
        <w:t>Section 9.08</w:t>
      </w:r>
      <w:r>
        <w:rPr>
          <w:rFonts w:ascii="Times New Roman;serif" w:hAnsi="Times New Roman;serif"/>
          <w:b w:val="false"/>
          <w:sz w:val="22"/>
        </w:rPr>
        <w:t xml:space="preserve">), shall be applied at such time or times as may be determined by the Administrative Agent as follows: </w:t>
      </w:r>
      <w:r>
        <w:rPr>
          <w:rFonts w:ascii="Times New Roman;serif" w:hAnsi="Times New Roman;serif"/>
          <w:b w:val="false"/>
          <w:sz w:val="22"/>
          <w:u w:val="single"/>
        </w:rPr>
        <w:t>first</w:t>
      </w:r>
      <w:r>
        <w:rPr>
          <w:rFonts w:ascii="Times New Roman;serif" w:hAnsi="Times New Roman;serif"/>
          <w:b w:val="false"/>
          <w:sz w:val="22"/>
        </w:rPr>
        <w:t xml:space="preserve">, to the payment of any amounts owing by that Defaulting Lender to the Administrative Agent hereunder; </w:t>
      </w:r>
      <w:r>
        <w:rPr>
          <w:rFonts w:ascii="Times New Roman;serif" w:hAnsi="Times New Roman;serif"/>
          <w:b w:val="false"/>
          <w:sz w:val="22"/>
          <w:u w:val="single"/>
        </w:rPr>
        <w:t>second</w:t>
      </w:r>
      <w:r>
        <w:rPr>
          <w:rFonts w:ascii="Times New Roman;serif" w:hAnsi="Times New Roman;serif"/>
          <w:b w:val="false"/>
          <w:sz w:val="22"/>
        </w:rPr>
        <w:t xml:space="preserve">, in the case of a Revolving Lender, to the payment on a pro rata basis of any amounts owing by that Defaulting Lender to each Issuing Bank and the Swingline Lender hereunder; </w:t>
      </w:r>
      <w:r>
        <w:rPr>
          <w:rFonts w:ascii="Times New Roman;serif" w:hAnsi="Times New Roman;serif"/>
          <w:b w:val="false"/>
          <w:sz w:val="22"/>
          <w:u w:val="single"/>
        </w:rPr>
        <w:t>third</w:t>
      </w:r>
      <w:r>
        <w:rPr>
          <w:rFonts w:ascii="Times New Roman;serif" w:hAnsi="Times New Roman;serif"/>
          <w:b w:val="false"/>
          <w:sz w:val="22"/>
        </w:rPr>
        <w:t xml:space="preserve">, as the Borrowers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sz w:val="22"/>
          <w:u w:val="single"/>
        </w:rPr>
        <w:t>fourth</w:t>
      </w:r>
      <w:r>
        <w:rPr>
          <w:rFonts w:ascii="Times New Roman;serif" w:hAnsi="Times New Roman;serif"/>
          <w:b w:val="false"/>
          <w:sz w:val="22"/>
        </w:rPr>
        <w:t xml:space="preserve">, in the case of a Revolving Lender, if so determined by the Administrative Agent and the Borrowers, to be held in a non-interest bearing deposit account and released in order to satisfy obligations of that Defaulting Lender to fund Loans under this Agreement; </w:t>
      </w:r>
      <w:r>
        <w:rPr>
          <w:rFonts w:ascii="Times New Roman;serif" w:hAnsi="Times New Roman;serif"/>
          <w:b w:val="false"/>
          <w:sz w:val="22"/>
          <w:u w:val="single"/>
        </w:rPr>
        <w:t>fifth</w:t>
      </w:r>
      <w:r>
        <w:rPr>
          <w:rFonts w:ascii="Times New Roman;serif" w:hAnsi="Times New Roman;serif"/>
          <w:b w:val="false"/>
          <w:sz w:val="22"/>
        </w:rPr>
        <w:t xml:space="preserve">, to the payment of any amounts owing to the Lenders or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serif" w:hAnsi="Times New Roman;serif"/>
          <w:b w:val="false"/>
          <w:sz w:val="22"/>
          <w:u w:val="single"/>
        </w:rPr>
        <w:t>sixth</w:t>
      </w:r>
      <w:r>
        <w:rPr>
          <w:rFonts w:ascii="Times New Roman;serif" w:hAnsi="Times New Roman;serif"/>
          <w:b w:val="false"/>
          <w:sz w:val="22"/>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serif" w:hAnsi="Times New Roman;serif"/>
          <w:b w:val="false"/>
          <w:sz w:val="22"/>
          <w:u w:val="single"/>
        </w:rPr>
        <w:t>seventh</w:t>
      </w:r>
      <w:r>
        <w:rPr>
          <w:rFonts w:ascii="Times New Roman;serif" w:hAnsi="Times New Roman;serif"/>
          <w:b w:val="false"/>
          <w:sz w:val="22"/>
        </w:rPr>
        <w:t xml:space="preserve">, to that Defaulting Lender or as otherwise directed by a court of competent jurisdiction;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Times New Roman;serif" w:hAnsi="Times New Roman;serif"/>
          <w:b w:val="false"/>
          <w:sz w:val="22"/>
          <w:u w:val="single"/>
        </w:rPr>
        <w:t>Section 2.04(j)</w:t>
      </w:r>
      <w:r>
        <w:rPr>
          <w:rFonts w:ascii="Times New Roman" w:hAnsi="Times New Roman"/>
          <w:sz w:val="20"/>
        </w:rPr>
        <w:t xml:space="preserve"> </w:t>
      </w:r>
      <w:r>
        <w:rPr>
          <w:rFonts w:ascii="Times New Roman;serif" w:hAnsi="Times New Roman;serif"/>
          <w:b w:val="false"/>
          <w:sz w:val="22"/>
        </w:rPr>
        <w:t xml:space="preserve">or this </w:t>
      </w:r>
      <w:r>
        <w:rPr>
          <w:rFonts w:ascii="Times New Roman;serif" w:hAnsi="Times New Roman;serif"/>
          <w:b w:val="false"/>
          <w:sz w:val="22"/>
          <w:u w:val="single"/>
        </w:rPr>
        <w:t>Section 2.21(a)(ii)</w:t>
      </w:r>
      <w:r>
        <w:rPr>
          <w:rFonts w:ascii="Times New Roman;serif" w:hAnsi="Times New Roman;serif"/>
          <w:b w:val="false"/>
          <w:sz w:val="22"/>
        </w:rPr>
        <w:t>. Any payments, prepayments or other amounts paid or payable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to a Defaulting Lender that are applied (or held) to pay amounts owed by a Defaulting Lender or to post cash collateral pursuant to </w:t>
      </w:r>
      <w:r>
        <w:rPr>
          <w:rFonts w:ascii="Times New Roman;serif" w:hAnsi="Times New Roman;serif"/>
          <w:b w:val="false"/>
          <w:sz w:val="22"/>
          <w:u w:val="single"/>
        </w:rPr>
        <w:t>Section 2.04(j)</w:t>
      </w:r>
      <w:r>
        <w:rPr>
          <w:rFonts w:ascii="Times New Roman" w:hAnsi="Times New Roman"/>
          <w:sz w:val="20"/>
        </w:rPr>
        <w:t xml:space="preserve"> </w:t>
      </w:r>
      <w:r>
        <w:rPr>
          <w:rFonts w:ascii="Times New Roman;serif" w:hAnsi="Times New Roman;serif"/>
          <w:b w:val="false"/>
          <w:sz w:val="22"/>
        </w:rPr>
        <w:t>shall be deemed paid to and redirected by that Defaulting Lender, and each Lender irrevocably consents hereto.</w:t>
      </w:r>
    </w:p>
    <w:p>
      <w:pPr>
        <w:pStyle w:val="TextBody"/>
        <w:bidi w:val="0"/>
        <w:spacing w:before="0" w:after="240"/>
        <w:jc w:val="both"/>
        <w:rPr>
          <w:rFonts w:ascii="Times New Roman" w:hAnsi="Times New Roman"/>
          <w:sz w:val="20"/>
        </w:rPr>
      </w:pPr>
      <w:bookmarkStart w:id="816" w:name="docxtextref1293"/>
      <w:bookmarkEnd w:id="816"/>
      <w:r>
        <w:rPr>
          <w:rFonts w:ascii="Times New Roman;serif" w:hAnsi="Times New Roman;serif"/>
          <w:b w:val="false"/>
          <w:sz w:val="22"/>
        </w:rPr>
        <w:t xml:space="preserve">(iii) </w:t>
      </w:r>
      <w:r>
        <w:rPr>
          <w:rFonts w:ascii="Times New Roman;serif" w:hAnsi="Times New Roman;serif"/>
          <w:b w:val="false"/>
          <w:sz w:val="22"/>
          <w:u w:val="single"/>
        </w:rPr>
        <w:t>Certain Fees</w:t>
      </w:r>
      <w:r>
        <w:rPr>
          <w:rFonts w:ascii="Times New Roman;serif" w:hAnsi="Times New Roman;serif"/>
          <w:b w:val="false"/>
          <w:sz w:val="22"/>
        </w:rPr>
        <w:t>. That Defaulting Lender (x)</w:t>
      </w:r>
      <w:r>
        <w:rPr>
          <w:rFonts w:ascii="Times New Roman" w:hAnsi="Times New Roman"/>
          <w:sz w:val="20"/>
        </w:rPr>
        <w:t xml:space="preserve"> </w:t>
      </w:r>
      <w:r>
        <w:rPr>
          <w:rFonts w:ascii="Times New Roman;serif" w:hAnsi="Times New Roman;serif"/>
          <w:b w:val="false"/>
          <w:sz w:val="22"/>
        </w:rPr>
        <w:t xml:space="preserve">shall not be entitled to receive or accrue any commitment fee pursuant to </w:t>
      </w:r>
      <w:r>
        <w:rPr>
          <w:rFonts w:ascii="Times New Roman;serif" w:hAnsi="Times New Roman;serif"/>
          <w:b w:val="false"/>
          <w:sz w:val="22"/>
          <w:u w:val="single"/>
        </w:rPr>
        <w:t>Section 2.11(a)</w:t>
      </w:r>
      <w:r>
        <w:rPr>
          <w:rFonts w:ascii="Times New Roman" w:hAnsi="Times New Roman"/>
          <w:sz w:val="20"/>
        </w:rPr>
        <w:t xml:space="preserve"> </w:t>
      </w:r>
      <w:r>
        <w:rPr>
          <w:rFonts w:ascii="Times New Roman;serif" w:hAnsi="Times New Roman;serif"/>
          <w:b w:val="false"/>
          <w:sz w:val="22"/>
        </w:rPr>
        <w:t xml:space="preserve">for any period during which that Lender is a Defaulting Lender (and the Borrowers shall not be required to pay any such fee that otherwise would have been required to have been paid to that Defaulting Lender) and </w:t>
      </w:r>
      <w:bookmarkStart w:id="817" w:name="docxtextref1294"/>
      <w:bookmarkEnd w:id="81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shall be limited in its right to receive Letter of Credit fees as provided in </w:t>
      </w:r>
      <w:r>
        <w:rPr>
          <w:rFonts w:ascii="Times New Roman;serif" w:hAnsi="Times New Roman;serif"/>
          <w:b w:val="false"/>
          <w:sz w:val="22"/>
          <w:u w:val="single"/>
        </w:rPr>
        <w:t>Section 2.11(b)</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18" w:name="docxtextref1297"/>
      <w:bookmarkEnd w:id="818"/>
      <w:r>
        <w:rPr>
          <w:rFonts w:ascii="Times New Roman;serif" w:hAnsi="Times New Roman;serif"/>
          <w:b w:val="false"/>
          <w:sz w:val="22"/>
        </w:rPr>
        <w:t xml:space="preserve">(iv) </w:t>
      </w:r>
      <w:r>
        <w:rPr>
          <w:rFonts w:ascii="Times New Roman;serif" w:hAnsi="Times New Roman;serif"/>
          <w:b w:val="false"/>
          <w:sz w:val="22"/>
          <w:u w:val="single"/>
        </w:rPr>
        <w:t>Reallocation of Applicable Percentages to Reduce Fronting Exposure</w:t>
      </w:r>
      <w:r>
        <w:rPr>
          <w:rFonts w:ascii="Times New Roman;serif" w:hAnsi="Times New Roman;serif"/>
          <w:b w:val="false"/>
          <w:sz w:val="22"/>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Times New Roman;serif" w:hAnsi="Times New Roman;serif"/>
          <w:b w:val="false"/>
          <w:sz w:val="22"/>
          <w:u w:val="single"/>
        </w:rPr>
        <w:t>Section 2.04</w:t>
      </w:r>
      <w:r>
        <w:rPr>
          <w:rFonts w:ascii="Times New Roman;serif" w:hAnsi="Times New Roman;serif"/>
          <w:b w:val="false"/>
          <w:sz w:val="22"/>
        </w:rPr>
        <w:t xml:space="preserve">, respectively, and the payments of participation fees pursuant to </w:t>
      </w:r>
      <w:r>
        <w:rPr>
          <w:rFonts w:ascii="Times New Roman;serif" w:hAnsi="Times New Roman;serif"/>
          <w:b w:val="false"/>
          <w:sz w:val="22"/>
          <w:u w:val="single"/>
        </w:rPr>
        <w:t>Section 2.11(b)</w:t>
      </w:r>
      <w:r>
        <w:rPr>
          <w:rFonts w:ascii="Times New Roman;serif" w:hAnsi="Times New Roman;serif"/>
          <w:b w:val="false"/>
          <w:sz w:val="22"/>
        </w:rPr>
        <w:t xml:space="preserve">, the “Applicable Percentage” of each non-Defaulting Lender shall be computed without giving effect to the Revolving Commitment of that Defaulting Lender;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aggregate obligation of each non-Defaulting Lender to acquire, refinance or fund participations in Letters of Credit and Swingline Loans shall not exceed the positive difference, if any, of (1)</w:t>
      </w:r>
      <w:r>
        <w:rPr>
          <w:rFonts w:ascii="Times New Roman" w:hAnsi="Times New Roman"/>
          <w:sz w:val="20"/>
        </w:rPr>
        <w:t xml:space="preserve"> </w:t>
      </w:r>
      <w:r>
        <w:rPr>
          <w:rFonts w:ascii="Times New Roman;serif" w:hAnsi="Times New Roman;serif"/>
          <w:b w:val="false"/>
          <w:sz w:val="22"/>
        </w:rPr>
        <w:t xml:space="preserve">the Revolving Commitment of that non-Defaulting Lender </w:t>
      </w:r>
      <w:r>
        <w:rPr>
          <w:rFonts w:ascii="Times New Roman;serif" w:hAnsi="Times New Roman;serif"/>
          <w:b w:val="false"/>
          <w:sz w:val="22"/>
          <w:u w:val="single"/>
        </w:rPr>
        <w:t>minus</w:t>
      </w:r>
      <w:r>
        <w:rPr>
          <w:rFonts w:ascii="Times New Roman" w:hAnsi="Times New Roman"/>
          <w:sz w:val="20"/>
        </w:rPr>
        <w:t xml:space="preserve"> </w:t>
      </w:r>
      <w:bookmarkStart w:id="819" w:name="docxtextref1298"/>
      <w:bookmarkEnd w:id="819"/>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the aggregate principal amount of the Revolving Loans of that non-Defaulting Lender.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 </w:t>
      </w:r>
      <w:r>
        <w:rPr>
          <w:rFonts w:ascii="Times New Roman;serif" w:hAnsi="Times New Roman;serif"/>
          <w:b w:val="false"/>
          <w:sz w:val="22"/>
          <w:u w:val="single"/>
        </w:rPr>
        <w:t>Cash Collateral; Repayment of Swingline Loans</w:t>
      </w:r>
      <w:r>
        <w:rPr>
          <w:rFonts w:ascii="Times New Roman;serif" w:hAnsi="Times New Roman;serif"/>
          <w:b w:val="false"/>
          <w:sz w:val="22"/>
        </w:rPr>
        <w:t xml:space="preserve">. If the reallocation described in clause (iv) above cannot, or can only partially, be effected, the Borrowers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w:t>
      </w:r>
      <w:r>
        <w:rPr>
          <w:rFonts w:ascii="Times New Roman;serif" w:hAnsi="Times New Roman;serif"/>
          <w:b w:val="false"/>
          <w:sz w:val="22"/>
          <w:u w:val="single"/>
        </w:rPr>
        <w:t>Section 2.04(j)</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Defaulting Lender Cure</w:t>
      </w:r>
      <w:r>
        <w:rPr>
          <w:rFonts w:ascii="Times New Roman;serif" w:hAnsi="Times New Roman;serif"/>
          <w:b w:val="false"/>
          <w:sz w:val="22"/>
        </w:rPr>
        <w:t xml:space="preserve">. If the Borrowers, the Administrative Agent,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w:t>
      </w:r>
      <w:r>
        <w:rPr>
          <w:rFonts w:ascii="Times New Roman;serif" w:hAnsi="Times New Roman;serif"/>
          <w:b w:val="false"/>
          <w:sz w:val="22"/>
          <w:u w:val="single"/>
        </w:rPr>
        <w:t>Section 2.21(a)(iv)</w:t>
      </w:r>
      <w:r>
        <w:rPr>
          <w:rFonts w:ascii="Times New Roman" w:hAnsi="Times New Roman"/>
          <w:sz w:val="20"/>
        </w:rPr>
        <w:t xml:space="preserve"> </w:t>
      </w:r>
      <w:r>
        <w:rPr>
          <w:rFonts w:ascii="Times New Roman;serif" w:hAnsi="Times New Roman;serif"/>
          <w:b w:val="false"/>
          <w:sz w:val="22"/>
        </w:rPr>
        <w:t xml:space="preserve">or the proviso to the definition thereof), whereupon that Lender will cease to be a Defaulting Lender with respect to such Class;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adjustments will be made retroactively with respect to fees accrued or payments made by or on behalf of the Borrowers while that Lender was a Defaulting Lender; and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2.22 </w:t>
      </w:r>
      <w:r>
        <w:rPr>
          <w:rFonts w:ascii="Times New Roman;serif" w:hAnsi="Times New Roman;serif"/>
          <w:b w:val="false"/>
          <w:sz w:val="22"/>
          <w:u w:val="single"/>
        </w:rPr>
        <w:t>Illegality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20" w:name="docxtextref1301"/>
      <w:bookmarkEnd w:id="820"/>
      <w:r>
        <w:rPr>
          <w:rFonts w:ascii="Times New Roman;serif" w:hAnsi="Times New Roman;serif"/>
          <w:b w:val="false"/>
          <w:sz w:val="22"/>
        </w:rPr>
        <w:t>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Borrowers through the Administrative Agent, (i)</w:t>
      </w:r>
      <w:r>
        <w:rPr>
          <w:rFonts w:ascii="Times New Roman" w:hAnsi="Times New Roman"/>
          <w:sz w:val="20"/>
        </w:rPr>
        <w:t xml:space="preserve"> </w:t>
      </w:r>
      <w:r>
        <w:rPr>
          <w:rFonts w:ascii="Times New Roman;serif" w:hAnsi="Times New Roman;serif"/>
          <w:b w:val="false"/>
          <w:sz w:val="22"/>
        </w:rPr>
        <w:t>any obligation of such Lender to make or continue Eurodollar Loans or to convert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821" w:name="docxtextref1302"/>
      <w:bookmarkEnd w:id="821"/>
      <w:r>
        <w:rPr>
          <w:rFonts w:ascii="Times New Roman;serif" w:hAnsi="Times New Roman;serif"/>
          <w:b w:val="false"/>
          <w:sz w:val="22"/>
        </w:rPr>
        <w:t>ABR Loans to Eurodollar Loans shall be suspended, and (ii)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Borrowers that the circumstances giving rise to such determination no longer exist. Upon receipt of such notice, (x)</w:t>
      </w:r>
      <w:r>
        <w:rPr>
          <w:rFonts w:ascii="Times New Roman" w:hAnsi="Times New Roman"/>
          <w:sz w:val="20"/>
        </w:rPr>
        <w:t xml:space="preserve"> </w:t>
      </w:r>
      <w:r>
        <w:rPr>
          <w:rFonts w:ascii="Times New Roman;serif" w:hAnsi="Times New Roman;serif"/>
          <w:b w:val="false"/>
          <w:sz w:val="22"/>
        </w:rPr>
        <w:t xml:space="preserve">the Borrowers shall, upon three Business Days’ notice from such Lender (with a copy to the Administrative Agent), prepay or, if applicable, convert all Eurodollar Loans denominated in dollars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w:t>
      </w:r>
      <w:bookmarkStart w:id="822" w:name="docxtextref1303"/>
      <w:bookmarkEnd w:id="822"/>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Borrowers in writing promptly upon becoming aware that it is no longer illegal for such Lender to determine or charge interest rates based upon the Adjusted LIBO Rate. Upon any such prepayment or conversion, the Borrowers shall also pay accrued interest on the amount so prepaid or converted.</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2.23 </w:t>
      </w:r>
      <w:r>
        <w:rPr>
          <w:rFonts w:ascii="Times New Roman;serif" w:hAnsi="Times New Roman;serif"/>
          <w:b w:val="false"/>
          <w:sz w:val="22"/>
          <w:u w:val="single"/>
        </w:rPr>
        <w:t>Loan Modification Offers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23" w:name="docxtextref1304"/>
      <w:bookmarkEnd w:id="823"/>
      <w:r>
        <w:rPr>
          <w:rFonts w:ascii="Times New Roman;serif" w:hAnsi="Times New Roman;serif"/>
          <w:b w:val="false"/>
          <w:sz w:val="22"/>
        </w:rPr>
        <w:t>(a) At any time after the Effective Date, the Borrowers may on one or more occasions, by written notice to the Administrative Agent, make one or more offers (each, a “</w:t>
      </w:r>
      <w:r>
        <w:rPr>
          <w:rFonts w:ascii="Times New Roman;serif" w:hAnsi="Times New Roman;serif"/>
          <w:b w:val="false"/>
          <w:sz w:val="22"/>
          <w:u w:val="single"/>
        </w:rPr>
        <w:t>Loan Modification Offer</w:t>
      </w:r>
      <w:r>
        <w:rPr>
          <w:rFonts w:ascii="Times New Roman" w:hAnsi="Times New Roman"/>
          <w:sz w:val="20"/>
        </w:rPr>
        <w:t>”</w:t>
      </w:r>
      <w:r>
        <w:rPr>
          <w:rFonts w:ascii="Times New Roman;serif" w:hAnsi="Times New Roman;serif"/>
          <w:b w:val="false"/>
          <w:sz w:val="22"/>
        </w:rPr>
        <w:t>) to all the Lenders of one or more Classes (each Class subject to such a Loan Modification Offer, an “</w:t>
      </w:r>
      <w:r>
        <w:rPr>
          <w:rFonts w:ascii="Times New Roman;serif" w:hAnsi="Times New Roman;serif"/>
          <w:b w:val="false"/>
          <w:sz w:val="22"/>
          <w:u w:val="single"/>
        </w:rPr>
        <w:t>Affected Class</w:t>
      </w:r>
      <w:r>
        <w:rPr>
          <w:rFonts w:ascii="Times New Roman" w:hAnsi="Times New Roman"/>
          <w:sz w:val="20"/>
        </w:rPr>
        <w:t>”</w:t>
      </w:r>
      <w:r>
        <w:rPr>
          <w:rFonts w:ascii="Times New Roman;serif" w:hAnsi="Times New Roman;serif"/>
          <w:b w:val="false"/>
          <w:sz w:val="22"/>
        </w:rPr>
        <w:t>) to effect one or more Permitted Amendments relating to such Affected Class pursuant to procedures reasonably specified by the Administrative Agent and reasonably acceptable to the Borrowers (including mechanics to permit cashless rollovers and exchanges by Lenders). Such notice shall set forth (i)</w:t>
      </w:r>
      <w:r>
        <w:rPr>
          <w:rFonts w:ascii="Times New Roman" w:hAnsi="Times New Roman"/>
          <w:sz w:val="20"/>
        </w:rPr>
        <w:t xml:space="preserve"> </w:t>
      </w:r>
      <w:r>
        <w:rPr>
          <w:rFonts w:ascii="Times New Roman;serif" w:hAnsi="Times New Roman;serif"/>
          <w:b w:val="false"/>
          <w:sz w:val="22"/>
        </w:rPr>
        <w:t>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serif" w:hAnsi="Times New Roman;serif"/>
          <w:b w:val="false"/>
          <w:sz w:val="22"/>
          <w:u w:val="single"/>
        </w:rPr>
        <w:t>Accepting Lenders</w:t>
      </w:r>
      <w:r>
        <w:rPr>
          <w:rFonts w:ascii="Times New Roman" w:hAnsi="Times New Roman"/>
          <w:sz w:val="20"/>
        </w:rPr>
        <w:t>”</w:t>
      </w:r>
      <w:r>
        <w:rPr>
          <w:rFonts w:ascii="Times New Roman;serif" w:hAnsi="Times New Roman;serif"/>
          <w:b w:val="false"/>
          <w:sz w:val="22"/>
        </w:rPr>
        <w:t>) and, in the case of any Accepting Lender, only with respect to such Lender’s Loans and Commitments of such Affected Class as to which such Lender’s acceptance has been made.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A Permitted Amendment shall be effected pursuant to a Loan Modification Agreement executed and delivered by Holdings, the Borrowers, each applicable Accepting Lender and the Administrative Agent;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Permitted Amendment shall become effective unless Holdings and the Borrowers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serif" w:hAnsi="Times New Roman;serif"/>
          <w:b w:val="false"/>
          <w:sz w:val="22"/>
          <w:u w:val="single"/>
        </w:rPr>
        <w:t>Section 2.23</w:t>
      </w:r>
      <w:r>
        <w:rPr>
          <w:rFonts w:ascii="Times New Roman;serif" w:hAnsi="Times New Roman;serif"/>
          <w:b w:val="false"/>
          <w:sz w:val="22"/>
        </w:rPr>
        <w:t>, including any amendments necessary to treat the applicable Loans and/or Commitments of the Accepting Lenders as a new “Class” of loans and/or commitments hereunder.</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824" w:name="docxtextref1310"/>
      <w:bookmarkEnd w:id="824"/>
      <w:r>
        <w:rPr>
          <w:rFonts w:ascii="Times New Roman;serif" w:hAnsi="Times New Roman;serif"/>
          <w:b w:val="false"/>
          <w:sz w:val="22"/>
        </w:rPr>
        <w:t>(c) If, in connection with any proposed Loan Modification Offer, any Lender declines to consent to such Loan Modification Offer on the terms and by the deadline set forth in such Loan Modification Offer (each such Lender, a “</w:t>
      </w:r>
      <w:r>
        <w:rPr>
          <w:rFonts w:ascii="Times New Roman;serif" w:hAnsi="Times New Roman;serif"/>
          <w:b w:val="false"/>
          <w:sz w:val="22"/>
          <w:u w:val="single"/>
        </w:rPr>
        <w:t>Non-Accepting Lender</w:t>
      </w:r>
      <w:r>
        <w:rPr>
          <w:rFonts w:ascii="Times New Roman" w:hAnsi="Times New Roman"/>
          <w:sz w:val="20"/>
        </w:rPr>
        <w:t>”</w:t>
      </w:r>
      <w:r>
        <w:rPr>
          <w:rFonts w:ascii="Times New Roman;serif" w:hAnsi="Times New Roman;serif"/>
          <w:b w:val="false"/>
          <w:sz w:val="22"/>
        </w:rPr>
        <w:t>) then the Borrowers may, on notice to the Administrative Agent and the Non-Accepting Lender, (i)</w:t>
      </w:r>
      <w:r>
        <w:rPr>
          <w:rFonts w:ascii="Times New Roman" w:hAnsi="Times New Roman"/>
          <w:sz w:val="20"/>
        </w:rPr>
        <w:t xml:space="preserve"> </w:t>
      </w:r>
      <w:r>
        <w:rPr>
          <w:rFonts w:ascii="Times New Roman;serif" w:hAnsi="Times New Roman;serif"/>
          <w:b w:val="false"/>
          <w:sz w:val="22"/>
        </w:rPr>
        <w:t xml:space="preserve">replace such Non-Accepting Lender in whole or in part by causing such Lender to (and such Lender shall be obligated to) assign and delegate, without recourse (in accordance with and subject to the restrictions contained in </w:t>
      </w:r>
      <w:r>
        <w:rPr>
          <w:rFonts w:ascii="Times New Roman;serif" w:hAnsi="Times New Roman;serif"/>
          <w:b w:val="false"/>
          <w:sz w:val="22"/>
          <w:u w:val="single"/>
        </w:rPr>
        <w:t>Section 9.04</w:t>
      </w:r>
      <w:r>
        <w:rPr>
          <w:rFonts w:ascii="Times New Roman;serif" w:hAnsi="Times New Roman;serif"/>
          <w:b w:val="false"/>
          <w:sz w:val="22"/>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neither the Administrative Agent nor any Lender shall have any obligation to the Borrowers to find a replacement Lender;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xml:space="preserve">, that </w:t>
      </w:r>
      <w:bookmarkStart w:id="825" w:name="docxtextref1311"/>
      <w:bookmarkEnd w:id="825"/>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applicable assignee shall have agreed to provide Loans and/or Commitments on the terms set forth in the applicable Permitted Amendment, </w:t>
      </w:r>
      <w:bookmarkStart w:id="826" w:name="docxtextref1312"/>
      <w:bookmarkEnd w:id="82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Non-Accepting Lender shall have received payment of an amount equal to the outstanding principal of the Loans of the Affected Class assigned by it pursuant to this </w:t>
      </w:r>
      <w:r>
        <w:rPr>
          <w:rFonts w:ascii="Times New Roman;serif" w:hAnsi="Times New Roman;serif"/>
          <w:b w:val="false"/>
          <w:sz w:val="22"/>
          <w:u w:val="single"/>
        </w:rPr>
        <w:t>Section 2.23(c)</w:t>
      </w:r>
      <w:r>
        <w:rPr>
          <w:rFonts w:ascii="Times New Roman;serif" w:hAnsi="Times New Roman;serif"/>
          <w:b w:val="false"/>
          <w:sz w:val="22"/>
        </w:rPr>
        <w:t xml:space="preserve">, accrued interest thereon, accrued fees and all other amounts (including any amounts under </w:t>
      </w:r>
      <w:r>
        <w:rPr>
          <w:rFonts w:ascii="Times New Roman;serif" w:hAnsi="Times New Roman;serif"/>
          <w:b w:val="false"/>
          <w:sz w:val="22"/>
          <w:u w:val="single"/>
        </w:rPr>
        <w:t>Section 2.10(a)(i)</w:t>
      </w:r>
      <w:r>
        <w:rPr>
          <w:rFonts w:ascii="Times New Roman;serif" w:hAnsi="Times New Roman;serif"/>
          <w:b w:val="false"/>
          <w:sz w:val="22"/>
        </w:rPr>
        <w:t xml:space="preserve">) payable to it hereunder from the Eligible Assignee (to the extent of such outstanding principal and accrued interest and fees) and </w:t>
      </w:r>
      <w:bookmarkStart w:id="827" w:name="docxtextref1313"/>
      <w:bookmarkEnd w:id="827"/>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unless waived, the Borrowers or such Eligible Assignee shall have paid to the Administrative Agent the processing and recordation fee specified in </w:t>
      </w:r>
      <w:r>
        <w:rPr>
          <w:rFonts w:ascii="Times New Roman;serif" w:hAnsi="Times New Roman;serif"/>
          <w:b w:val="false"/>
          <w:sz w:val="22"/>
          <w:u w:val="single"/>
        </w:rPr>
        <w:t>Section 9.04(b)</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Notwithstanding anything to the contrary, this </w:t>
      </w:r>
      <w:r>
        <w:rPr>
          <w:rFonts w:ascii="Times New Roman;serif" w:hAnsi="Times New Roman;serif"/>
          <w:b w:val="false"/>
          <w:sz w:val="22"/>
          <w:u w:val="single"/>
        </w:rPr>
        <w:t>Section 2.23</w:t>
      </w:r>
      <w:r>
        <w:rPr>
          <w:rFonts w:ascii="Times New Roman" w:hAnsi="Times New Roman"/>
          <w:sz w:val="20"/>
        </w:rPr>
        <w:t xml:space="preserve"> </w:t>
      </w:r>
      <w:r>
        <w:rPr>
          <w:rFonts w:ascii="Times New Roman;serif" w:hAnsi="Times New Roman;serif"/>
          <w:b w:val="false"/>
          <w:sz w:val="22"/>
        </w:rPr>
        <w:t xml:space="preserve">shall supersede any provisions in </w:t>
      </w:r>
      <w:r>
        <w:rPr>
          <w:rFonts w:ascii="Times New Roman;serif" w:hAnsi="Times New Roman;serif"/>
          <w:b w:val="false"/>
          <w:sz w:val="22"/>
          <w:u w:val="single"/>
        </w:rPr>
        <w:t>Section 2.17</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to the contrary.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2.24 </w:t>
      </w:r>
      <w:r>
        <w:rPr>
          <w:rFonts w:ascii="Times New Roman;serif" w:hAnsi="Times New Roman;serif"/>
          <w:b w:val="false"/>
          <w:sz w:val="22"/>
          <w:u w:val="single"/>
        </w:rPr>
        <w:t>Swingline Loans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Subject to the terms and conditions set forth herein (including </w:t>
      </w:r>
      <w:r>
        <w:rPr>
          <w:rFonts w:ascii="Times New Roman;serif" w:hAnsi="Times New Roman;serif"/>
          <w:b w:val="false"/>
          <w:sz w:val="22"/>
          <w:u w:val="single"/>
        </w:rPr>
        <w:t>Section 2.21</w:t>
      </w:r>
      <w:r>
        <w:rPr>
          <w:rFonts w:ascii="Times New Roman;serif" w:hAnsi="Times New Roman;serif"/>
          <w:b w:val="false"/>
          <w:sz w:val="22"/>
        </w:rPr>
        <w:t xml:space="preserve">)), in reliance upon the agreements of the other Lenders set forth in this </w:t>
      </w:r>
      <w:r>
        <w:rPr>
          <w:rFonts w:ascii="Times New Roman;serif" w:hAnsi="Times New Roman;serif"/>
          <w:b w:val="false"/>
          <w:sz w:val="22"/>
          <w:u w:val="single"/>
        </w:rPr>
        <w:t>Section 2.24</w:t>
      </w:r>
      <w:r>
        <w:rPr>
          <w:rFonts w:ascii="Times New Roman;serif" w:hAnsi="Times New Roman;serif"/>
          <w:b w:val="false"/>
          <w:sz w:val="22"/>
        </w:rPr>
        <w:t xml:space="preserve">, the Swingline Lender agrees to make Swingline Loans to the Revolving Borrowers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Swingline Lender shall not be required to make a Swingline Loan to refinance an outstanding Swingline Loan. Within the foregoing limits and subject to the terms and conditions set forth herein, the Revolving Borrowers may borrow, prepay and re-borrow Swingline Loans.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To request a Swingline Loan, a Revolving Borrower shall notify the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a Revolving Borrower maintained with the Swingline Lender because such Revolving Borrower is unable to maintain a general deposit account with the Swingline Lender under applicable Requirements of Law, the location and number of such Revolving Borrower’s account to which funds are to be disbursed, which shall comply with </w:t>
      </w:r>
      <w:r>
        <w:rPr>
          <w:rFonts w:ascii="Times New Roman;serif" w:hAnsi="Times New Roman;serif"/>
          <w:b w:val="false"/>
          <w:sz w:val="22"/>
          <w:u w:val="single"/>
        </w:rPr>
        <w:t>Section 2.05</w:t>
      </w:r>
      <w:r>
        <w:rPr>
          <w:rFonts w:ascii="Times New Roman;serif" w:hAnsi="Times New Roman;serif"/>
          <w:b w:val="false"/>
          <w:sz w:val="22"/>
        </w:rPr>
        <w:t xml:space="preserve">, or (y) in the case of any ABR Revolving Borrowing or Swingline Loan requested to finance the reimbursement of an LC Disbursement as provided in </w:t>
      </w:r>
      <w:r>
        <w:rPr>
          <w:rFonts w:ascii="Times New Roman;serif" w:hAnsi="Times New Roman;serif"/>
          <w:b w:val="false"/>
          <w:sz w:val="22"/>
          <w:u w:val="single"/>
        </w:rPr>
        <w:t>Section 2.04(f)</w:t>
      </w:r>
      <w:r>
        <w:rPr>
          <w:rFonts w:ascii="Times New Roman;serif" w:hAnsi="Times New Roman;serif"/>
          <w:b w:val="false"/>
          <w:sz w:val="22"/>
        </w:rPr>
        <w:t xml:space="preserve">, the identity of the Issuing Bank that made such LC Disbursement. The Swingline Lender shall make each Swingline Loan available to such Revolving Borrower by means of a credit to the general deposit accounts of such Revolving Borrower maintained with the Swingline Lender for the applicable Swingline Loan (or, in the case of a Swingline Loan made to finance the reimbursement of an LC Disbursement as provided in </w:t>
      </w:r>
      <w:r>
        <w:rPr>
          <w:rFonts w:ascii="Times New Roman;serif" w:hAnsi="Times New Roman;serif"/>
          <w:b w:val="false"/>
          <w:sz w:val="22"/>
          <w:u w:val="single"/>
        </w:rPr>
        <w:t>Section 2.04(f)</w:t>
      </w:r>
      <w:r>
        <w:rPr>
          <w:rFonts w:ascii="Times New Roman;serif" w:hAnsi="Times New Roman;serif"/>
          <w:b w:val="false"/>
          <w:sz w:val="22"/>
        </w:rPr>
        <w:t xml:space="preserve">, by remittance to the applicable Issuing Bank) by 3:00 p.m., New York City time, on the requested date of such Swingline Loan. No Swingline Lender shall be under any obligation to make a Swingline Loan if any Lender is at that time a Defaulting Lender, if after giving effect to </w:t>
      </w:r>
      <w:r>
        <w:rPr>
          <w:rFonts w:ascii="Times New Roman;serif" w:hAnsi="Times New Roman;serif"/>
          <w:b w:val="false"/>
          <w:sz w:val="22"/>
          <w:u w:val="single"/>
        </w:rPr>
        <w:t>Section 2.21(a)(iv)</w:t>
      </w:r>
      <w:r>
        <w:rPr>
          <w:rFonts w:ascii="Times New Roman;serif" w:hAnsi="Times New Roman;serif"/>
          <w:b w:val="false"/>
          <w:sz w:val="22"/>
        </w:rPr>
        <w:t>, any Defaulting Lender Fronting Exposure remains outstanding.</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The Swingline Lender may by written notice given to the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serif" w:hAnsi="Times New Roman;serif"/>
          <w:b w:val="false"/>
          <w:sz w:val="22"/>
          <w:u w:val="single"/>
        </w:rPr>
        <w:t>Section 2.05</w:t>
      </w:r>
      <w:r>
        <w:rPr>
          <w:rFonts w:ascii="Times New Roman" w:hAnsi="Times New Roman"/>
          <w:sz w:val="20"/>
        </w:rPr>
        <w:t xml:space="preserve"> </w:t>
      </w:r>
      <w:r>
        <w:rPr>
          <w:rFonts w:ascii="Times New Roman;serif" w:hAnsi="Times New Roman;serif"/>
          <w:b w:val="false"/>
          <w:sz w:val="22"/>
        </w:rPr>
        <w:t xml:space="preserve">with respect to Loans made by such Lender (with references to 12:00 noon, New York City time, in such Section being deemed to be references to 3:00 p.m., New York City time) (and </w:t>
      </w:r>
      <w:r>
        <w:rPr>
          <w:rFonts w:ascii="Times New Roman;serif" w:hAnsi="Times New Roman;serif"/>
          <w:b w:val="false"/>
          <w:sz w:val="22"/>
          <w:u w:val="single"/>
        </w:rPr>
        <w:t>Section 2.05</w:t>
      </w:r>
      <w:r>
        <w:rPr>
          <w:rFonts w:ascii="Times New Roman" w:hAnsi="Times New Roman"/>
          <w:sz w:val="20"/>
        </w:rPr>
        <w:t xml:space="preserve"> </w:t>
      </w:r>
      <w:r>
        <w:rPr>
          <w:rFonts w:ascii="Times New Roman;serif" w:hAnsi="Times New Roman;serif"/>
          <w:b w:val="false"/>
          <w:sz w:val="22"/>
        </w:rPr>
        <w:t xml:space="preserve">shall apply, </w:t>
      </w:r>
      <w:r>
        <w:rPr>
          <w:rFonts w:ascii="Times New Roman;serif" w:hAnsi="Times New Roman;serif"/>
          <w:b w:val="false"/>
          <w:i/>
          <w:sz w:val="22"/>
        </w:rPr>
        <w:t>mutatis mutandis</w:t>
      </w:r>
      <w:r>
        <w:rPr>
          <w:rFonts w:ascii="Times New Roman;serif" w:hAnsi="Times New Roman;serif"/>
          <w:b w:val="false"/>
          <w:sz w:val="22"/>
        </w:rPr>
        <w:t xml:space="preserve">, to the payment obligations of the Revolving Lenders pursuant to this paragraph), and the Administrative Agent shall promptly remit to the Swingline Lender the amounts so received by it from the Revolving Lenders. The Administrative Agent shall notify the Revolving Borrowers of any participations in any Swingline Loan acquired pursuant to this paragraph, and thereafter payments in respect of such Swingline Loan shall be made to the Administrative Agent and not to the Swingline Lender. Any amounts received by the Swingline Lender from a Revolving Borrower (or other Person on behalf of such Revolving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such payment so remitted shall be repaid to the Swingline Lender or the Administrative Agent, as the case may be, and thereafter to such Revolving Borrower, if and to the extent such payment is required to be refunded to such Revolving Borrower for any reason. The purchase of participations in a Swingline Loan pursuant to this paragraph shall not relieve the Revolving Borrowers of any default in the payment 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The Revolving Borrowers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and the Borrower Representative, executed by the Borrower Representative,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 The Revolving Borrowers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no such termination shall become effective until and unless the Swingline Exposure of such Swingline Lender shall have been reduced to zero. Notwithstanding the effectiveness of any such termination, the terminated Swingline Lender shall remain a party hereto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-139-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shall continue to have all the rights of a Swingline Lender under this Agreement with respect to Swingline Loans made by it prior to such termination, but shall not make any additional Swingline Loans.</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III</w:t>
      </w:r>
      <w:r>
        <w:rPr>
          <w:rFonts w:ascii="Times New Roman;serif" w:hAnsi="Times New Roman;serif"/>
          <w:b w:val="false"/>
          <w:caps/>
          <w:sz w:val="22"/>
          <w:u w:val="single"/>
        </w:rPr>
        <w:br/>
        <w:br/>
        <w:t>Representations and Warranties</w:t>
      </w:r>
    </w:p>
    <w:p>
      <w:pPr>
        <w:pStyle w:val="TextBody"/>
        <w:bidi w:val="0"/>
        <w:spacing w:before="0" w:after="240"/>
        <w:jc w:val="both"/>
        <w:rPr>
          <w:rFonts w:ascii="Times New Roman" w:hAnsi="Times New Roman"/>
          <w:sz w:val="20"/>
        </w:rPr>
      </w:pPr>
      <w:bookmarkStart w:id="828" w:name="docxtextref1317"/>
      <w:bookmarkEnd w:id="828"/>
      <w:r>
        <w:rPr>
          <w:rFonts w:ascii="Times New Roman;serif" w:hAnsi="Times New Roman;serif"/>
          <w:b w:val="false"/>
          <w:sz w:val="22"/>
        </w:rPr>
        <w:t>Each of Holdings and Bidco represents and warrants to the Lenders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Holdings’ representations and warranties shall be limited to the Major Representations and (y) in the case of Non-U.S. Loan Parties and Non-U.S. Restricted Subsidiaries, each representation and warranty shall be subject to the Legal Reservations and the Agreed Security Principles) that: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3.01 </w:t>
      </w:r>
      <w:r>
        <w:rPr>
          <w:rFonts w:ascii="Times New Roman;serif" w:hAnsi="Times New Roman;serif"/>
          <w:b w:val="false"/>
          <w:sz w:val="22"/>
          <w:u w:val="single"/>
        </w:rPr>
        <w:t>Organization; Powers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29" w:name="docxtextref1319"/>
      <w:bookmarkEnd w:id="829"/>
      <w:r>
        <w:rPr>
          <w:rFonts w:ascii="Times New Roman;serif" w:hAnsi="Times New Roman;serif"/>
          <w:b w:val="false"/>
          <w:sz w:val="22"/>
        </w:rPr>
        <w:t>Each of Holdings, any Intermediate Parent, Bidco and the Restricted Subsidiaries is (a)</w:t>
      </w:r>
      <w:r>
        <w:rPr>
          <w:rFonts w:ascii="Times New Roman" w:hAnsi="Times New Roman"/>
          <w:sz w:val="20"/>
        </w:rPr>
        <w:t xml:space="preserve"> </w:t>
      </w:r>
      <w:r>
        <w:rPr>
          <w:rFonts w:ascii="Times New Roman;serif" w:hAnsi="Times New Roman;serif"/>
          <w:b w:val="false"/>
          <w:sz w:val="22"/>
        </w:rPr>
        <w:t xml:space="preserve">duly organized or incorporated, validly existing and in good standing (to the extent such concept exists in the relevant jurisdictions) under the laws of the jurisdiction of its organization or incorporation, </w:t>
      </w:r>
      <w:bookmarkStart w:id="830" w:name="docxtextref1320"/>
      <w:bookmarkEnd w:id="83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has the corporate or other organizational power and authority to carry on its business as now conducted and to execute, deliver and perform its obligations under each Loan Document to which it is a party and </w:t>
      </w:r>
      <w:bookmarkStart w:id="831" w:name="docxtextref1321"/>
      <w:bookmarkEnd w:id="83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is qualified to do business in, and is in good standing in, every jurisdiction where such qualification is required, except in each case where the failure to do so, individually or in the aggregate, would not reasonably be expected to result in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3.02 </w:t>
      </w:r>
      <w:r>
        <w:rPr>
          <w:rFonts w:ascii="Times New Roman;serif" w:hAnsi="Times New Roman;serif"/>
          <w:b w:val="false"/>
          <w:sz w:val="22"/>
          <w:u w:val="single"/>
        </w:rPr>
        <w:t>Authorization; Enforceability</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This Agreement has been duly authorized, executed and delivered by each of Holdings, Bidco and the Borrowers, and constitutes, and each other Loan Document to which any Loan Party is to be a party, when executed and delivered by such Loan Party, will constitute, a legal, valid and binding obligation of Holdings, Bidco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3.03 </w:t>
      </w:r>
      <w:r>
        <w:rPr>
          <w:rFonts w:ascii="Times New Roman;serif" w:hAnsi="Times New Roman;serif"/>
          <w:b w:val="false"/>
          <w:sz w:val="22"/>
          <w:u w:val="single"/>
        </w:rPr>
        <w:t>Governmental Approvals; No Conflicts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32" w:name="docxtextref1328"/>
      <w:bookmarkEnd w:id="832"/>
      <w:r>
        <w:rPr>
          <w:rFonts w:ascii="Times New Roman;serif" w:hAnsi="Times New Roman;serif"/>
          <w:b w:val="false"/>
          <w:sz w:val="22"/>
        </w:rPr>
        <w:t xml:space="preserve">Except as set forth on </w:t>
      </w:r>
      <w:r>
        <w:rPr>
          <w:rFonts w:ascii="Times New Roman;serif" w:hAnsi="Times New Roman;serif"/>
          <w:b w:val="false"/>
          <w:sz w:val="22"/>
          <w:u w:val="single"/>
        </w:rPr>
        <w:t>Schedule 3.03</w:t>
      </w:r>
      <w:r>
        <w:rPr>
          <w:rFonts w:ascii="Times New Roman;serif" w:hAnsi="Times New Roman;serif"/>
          <w:b w:val="false"/>
          <w:sz w:val="22"/>
        </w:rPr>
        <w:t xml:space="preserve">, the Financing Transactions </w:t>
      </w:r>
      <w:bookmarkStart w:id="833" w:name="docxtextref1323"/>
      <w:bookmarkEnd w:id="833"/>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do not require any consent or approval of, registration or filing with, or any other action by, any Governmental Authority, except such as have been obtained or made and are in full force and effect and except filings necessary to perfect Liens created under the Loan Documents, </w:t>
      </w:r>
      <w:bookmarkStart w:id="834" w:name="docxtextref1324"/>
      <w:bookmarkEnd w:id="83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will not violate </w:t>
      </w:r>
      <w:bookmarkStart w:id="835" w:name="docxtextref1325"/>
      <w:bookmarkEnd w:id="835"/>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Organizational Documents of, or (ii) any Requirements of Law applicable to, Holdings, any Intermediate Parent, Bidco or any Restricted Subsidiary, </w:t>
      </w:r>
      <w:bookmarkStart w:id="836" w:name="docxtextref1326"/>
      <w:bookmarkEnd w:id="83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will not violate or result in a default under any indenture or other agreement or instrument binding upon Holdings, any Intermediate Parent, Bidco or any Restricted Subsidiary or their respective assets, or give rise to a right thereunder to require any payment, repurchase or redemption to be made by Holdings, any Intermediate Parent, Bidco or any Restricted Subsidiary, or give rise to a right of, or result in, termination, cancellation or acceleration of any obligation thereunder and </w:t>
      </w:r>
      <w:bookmarkStart w:id="837" w:name="docxtextref1327"/>
      <w:bookmarkEnd w:id="837"/>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will not result in the creation or imposition of any Lien on any asset of Holdings, any Intermediate Parent, Bidco or any Restricted Subsidiary, except Liens created under the Loan Documents or permitted by </w:t>
      </w:r>
      <w:r>
        <w:rPr>
          <w:rFonts w:ascii="Times New Roman;serif" w:hAnsi="Times New Roman;serif"/>
          <w:b w:val="false"/>
          <w:sz w:val="22"/>
          <w:u w:val="single"/>
        </w:rPr>
        <w:t>Section 6.02</w:t>
      </w:r>
      <w:r>
        <w:rPr>
          <w:rFonts w:ascii="Times New Roman;serif" w:hAnsi="Times New Roman;serif"/>
          <w:b w:val="false"/>
          <w:sz w:val="22"/>
        </w:rPr>
        <w:t>, except to the extent that the failure to obtain or make such consent, approval, registration, filing or action, or such violation, default or right, or imposition of a Lien, as the case may be, individually or in the aggregate, would not reasonably be expected to have a Material Adverse Effect.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3.04 </w:t>
      </w:r>
      <w:r>
        <w:rPr>
          <w:rFonts w:ascii="Times New Roman;serif" w:hAnsi="Times New Roman;serif"/>
          <w:b w:val="false"/>
          <w:sz w:val="22"/>
          <w:u w:val="single"/>
        </w:rPr>
        <w:t>No Material Adverse Effect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Since the Effective Date, there has been no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3.05 </w:t>
      </w:r>
      <w:r>
        <w:rPr>
          <w:rFonts w:ascii="Times New Roman;serif" w:hAnsi="Times New Roman;serif"/>
          <w:b w:val="false"/>
          <w:sz w:val="22"/>
          <w:u w:val="single"/>
        </w:rPr>
        <w:t>Properties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38" w:name="docxtextref1332"/>
      <w:bookmarkEnd w:id="838"/>
      <w:r>
        <w:rPr>
          <w:rFonts w:ascii="Times New Roman;serif" w:hAnsi="Times New Roman;serif"/>
          <w:b w:val="false"/>
          <w:sz w:val="22"/>
        </w:rPr>
        <w:t>(a) Each of Holdings, Bidco and the Restricted Subsidiaries has good fee simple, or the equivalent in foreign jurisdictions, title to, or valid leasehold (or license or similar) interests in or other limited property interests in, all its real and personal property material to its business, if any, (i)</w:t>
      </w:r>
      <w:r>
        <w:rPr>
          <w:rFonts w:ascii="Times New Roman" w:hAnsi="Times New Roman"/>
          <w:sz w:val="20"/>
        </w:rPr>
        <w:t xml:space="preserve"> </w:t>
      </w:r>
      <w:r>
        <w:rPr>
          <w:rFonts w:ascii="Times New Roman;serif" w:hAnsi="Times New Roman;serif"/>
          <w:b w:val="false"/>
          <w:sz w:val="22"/>
        </w:rPr>
        <w:t xml:space="preserve">free and clear of all Liens except for Liens permitted by </w:t>
      </w:r>
      <w:r>
        <w:rPr>
          <w:rFonts w:ascii="Times New Roman;serif" w:hAnsi="Times New Roman;serif"/>
          <w:b w:val="false"/>
          <w:sz w:val="22"/>
          <w:u w:val="single"/>
        </w:rPr>
        <w:t>Section 6.02</w:t>
      </w:r>
      <w:r>
        <w:rPr>
          <w:rFonts w:ascii="Times New Roman" w:hAnsi="Times New Roman"/>
          <w:sz w:val="20"/>
        </w:rPr>
        <w:t xml:space="preserve"> </w:t>
      </w:r>
      <w:r>
        <w:rPr>
          <w:rFonts w:ascii="Times New Roman;serif" w:hAnsi="Times New Roman;serif"/>
          <w:b w:val="false"/>
          <w:sz w:val="22"/>
        </w:rPr>
        <w:t>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Each of Holdings, Bidco and the Restricted Subsidiaries has all applicable licenses, consents, approvals, registrations, filings and other governmental authorizations needed to (i) operate any Loan Party’s terrestrial facilities, (ii) launch and operate each satellite network of Bidco and the Restricted Subsidiaries, and (iii) transmit signals to and from its satellite network, in each case, except where the failure to do so would not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3.06 </w:t>
      </w:r>
      <w:r>
        <w:rPr>
          <w:rFonts w:ascii="Times New Roman;serif" w:hAnsi="Times New Roman;serif"/>
          <w:b w:val="false"/>
          <w:sz w:val="22"/>
          <w:u w:val="single"/>
        </w:rPr>
        <w:t>Litigation and Environmental Matters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39" w:name="docxtextref1333"/>
      <w:bookmarkEnd w:id="839"/>
      <w:r>
        <w:rPr>
          <w:rFonts w:ascii="Times New Roman;serif" w:hAnsi="Times New Roman;serif"/>
          <w:b w:val="false"/>
          <w:sz w:val="22"/>
        </w:rPr>
        <w:t xml:space="preserve">(a) Except as set forth on </w:t>
      </w:r>
      <w:r>
        <w:rPr>
          <w:rFonts w:ascii="Times New Roman;serif" w:hAnsi="Times New Roman;serif"/>
          <w:b w:val="false"/>
          <w:sz w:val="22"/>
          <w:u w:val="single"/>
        </w:rPr>
        <w:t>Schedule 3.06</w:t>
      </w:r>
      <w:r>
        <w:rPr>
          <w:rFonts w:ascii="Times New Roman;serif" w:hAnsi="Times New Roman;serif"/>
          <w:b w:val="false"/>
          <w:sz w:val="22"/>
        </w:rPr>
        <w:t>, there are no actions, suits or proceedings by or before any arbitrator or Governmental Authority pending against or, to the knowledge of Holdings or Bidco, threatened in writing against or affecting Holdings, Bidco or any Restricted Subsidiary that would reasonably be expected, individually or in the aggregate, to result in a Material Adverse Effect.</w:t>
      </w:r>
    </w:p>
    <w:p>
      <w:pPr>
        <w:pStyle w:val="TextBody"/>
        <w:bidi w:val="0"/>
        <w:spacing w:before="0" w:after="240"/>
        <w:jc w:val="both"/>
        <w:rPr>
          <w:rFonts w:ascii="Times New Roman" w:hAnsi="Times New Roman"/>
          <w:sz w:val="20"/>
        </w:rPr>
      </w:pPr>
      <w:bookmarkStart w:id="840" w:name="docxtextref1335"/>
      <w:bookmarkEnd w:id="840"/>
      <w:r>
        <w:rPr>
          <w:rFonts w:ascii="Times New Roman;serif" w:hAnsi="Times New Roman;serif"/>
          <w:b w:val="false"/>
          <w:sz w:val="22"/>
        </w:rPr>
        <w:t xml:space="preserve">(b) Except as set forth on </w:t>
      </w:r>
      <w:r>
        <w:rPr>
          <w:rFonts w:ascii="Times New Roman;serif" w:hAnsi="Times New Roman;serif"/>
          <w:b w:val="false"/>
          <w:sz w:val="22"/>
          <w:u w:val="single"/>
        </w:rPr>
        <w:t>Schedule 3.06</w:t>
      </w:r>
      <w:r>
        <w:rPr>
          <w:rFonts w:ascii="Times New Roman;serif" w:hAnsi="Times New Roman;serif"/>
          <w:b w:val="false"/>
          <w:sz w:val="22"/>
        </w:rPr>
        <w:t xml:space="preserve">, and except with respect to any other matters that, individually or in the aggregate, would not reasonably be expected to result in a Material Adverse Effect, none of Holdings, any Intermediate Parent, Bidco or any Restricted Subsidiary or their respective facilities or operations </w:t>
      </w:r>
      <w:bookmarkStart w:id="841" w:name="docxtextref1334"/>
      <w:bookmarkEnd w:id="84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is not in compliance with any Environmental Law or any permit, license or other approval required under any Environmental Law, or does not possess all permits, licenses or other approvals required under any Environmental Law, (ii) has, to the knowledge of Holdings or Bidco, become subject to any Environmental Liability or (iii) has received written notice of any claim with respect to any Environmental Liability.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3.07 </w:t>
      </w:r>
      <w:r>
        <w:rPr>
          <w:rFonts w:ascii="Times New Roman;serif" w:hAnsi="Times New Roman;serif"/>
          <w:b w:val="false"/>
          <w:sz w:val="22"/>
          <w:u w:val="single"/>
        </w:rPr>
        <w:t>Compliance with Laws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of Holdings, Bidco and the Restricted Subsidiaries is in compliance with all Requirements of Law applicable to it or its property, except where the failure to do so, individually or in the aggregate, would not reasonably be expected to result in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3.08 </w:t>
      </w:r>
      <w:r>
        <w:rPr>
          <w:rFonts w:ascii="Times New Roman;serif" w:hAnsi="Times New Roman;serif"/>
          <w:b w:val="false"/>
          <w:sz w:val="22"/>
          <w:u w:val="single"/>
        </w:rPr>
        <w:t>Investment Company Status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None of the Loan Parties is required to register as an “investment company” under the Investment Company Act of 1940, as amended from time to time.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3.09 </w:t>
      </w:r>
      <w:r>
        <w:rPr>
          <w:rFonts w:ascii="Times New Roman;serif" w:hAnsi="Times New Roman;serif"/>
          <w:b w:val="false"/>
          <w:sz w:val="22"/>
          <w:u w:val="single"/>
        </w:rPr>
        <w:t>Taxes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42" w:name="docxtextref1336"/>
      <w:bookmarkEnd w:id="842"/>
      <w:r>
        <w:rPr>
          <w:rFonts w:ascii="Times New Roman;serif" w:hAnsi="Times New Roman;serif"/>
          <w:b w:val="false"/>
          <w:sz w:val="22"/>
        </w:rPr>
        <w:t>Except as would not, individually or in the aggregate, reasonably be expected to have a Material Adverse Effect, Holdings, Bidco and each Restricted Subsidiary (a)</w:t>
      </w:r>
      <w:r>
        <w:rPr>
          <w:rFonts w:ascii="Times New Roman" w:hAnsi="Times New Roman"/>
          <w:sz w:val="20"/>
        </w:rPr>
        <w:t xml:space="preserve"> </w:t>
      </w:r>
      <w:r>
        <w:rPr>
          <w:rFonts w:ascii="Times New Roman;serif" w:hAnsi="Times New Roman;serif"/>
          <w:b w:val="false"/>
          <w:sz w:val="22"/>
        </w:rPr>
        <w:t xml:space="preserve">have timely filed or caused to be filed all Tax returns and reports required to have been filed and </w:t>
      </w:r>
      <w:bookmarkStart w:id="843" w:name="docxtextref1337"/>
      <w:bookmarkEnd w:id="84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Holdings, Bidco or such Subsidiary, as the case may be, has set aside on its books adequate reserves therefor in accordance with IFRS and applicable local standards. There is no proposed Tax assessment, deficiency or other claim against Holdings, Bidco or any Restricted Subsidiary that would reasonably be expected to, individually or in the aggregate, have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3.10 </w:t>
      </w:r>
      <w:r>
        <w:rPr>
          <w:rFonts w:ascii="Times New Roman;serif" w:hAnsi="Times New Roman;serif"/>
          <w:b w:val="false"/>
          <w:sz w:val="22"/>
          <w:u w:val="single"/>
        </w:rPr>
        <w:t>ERISA</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Except as would not, individually or in the aggregate, reasonably be expected to result in a Material Adverse Effect, each Plan sponsored by a Loan Party is in compliance with the applicable provisions of ERISA, the Code and other federal or state laws.</w:t>
      </w:r>
    </w:p>
    <w:p>
      <w:pPr>
        <w:pStyle w:val="TextBody"/>
        <w:bidi w:val="0"/>
        <w:spacing w:before="0" w:after="240"/>
        <w:jc w:val="both"/>
        <w:rPr>
          <w:rFonts w:ascii="Times New Roman" w:hAnsi="Times New Roman"/>
          <w:sz w:val="20"/>
        </w:rPr>
      </w:pPr>
      <w:bookmarkStart w:id="844" w:name="docxtextref1338"/>
      <w:bookmarkEnd w:id="844"/>
      <w:r>
        <w:rPr>
          <w:rFonts w:ascii="Times New Roman;serif" w:hAnsi="Times New Roman;serif"/>
          <w:b w:val="false"/>
          <w:sz w:val="22"/>
        </w:rPr>
        <w:t>(b) Except as would not reasonably be expected, individually or in the aggregate, to result in a Material Adverse Effect, (i)</w:t>
      </w:r>
      <w:r>
        <w:rPr>
          <w:rFonts w:ascii="Times New Roman" w:hAnsi="Times New Roman"/>
          <w:sz w:val="20"/>
        </w:rPr>
        <w:t xml:space="preserve"> </w:t>
      </w:r>
      <w:r>
        <w:rPr>
          <w:rFonts w:ascii="Times New Roman;serif" w:hAnsi="Times New Roman;serif"/>
          <w:b w:val="false"/>
          <w:sz w:val="22"/>
        </w:rPr>
        <w:t>with respect to any Multiemployer Plan with respect to which a Loan Party is directly obligated to contribute or Plan sponsored by a Loan Party, no ERISA Event has occurred during the six year period prior to the date on which this representation is made or deemed made or is reasonably expected to occur, (ii) with respect to any Multiemployer Plan with respect to which any ERISA Affiliate (other than a Loan Party) is directly obligated to contribute or any Plan (other than any Plan sponsored by a Loan Party), to the knowledge of Holdings and Bidco no ERISA Event has occurred during the six year period prior to the date on which this representation is made or deemed made or is reasonably expected to occur, and (iii) neither any Loan Party nor, to the knowledge of Holdings and Bidco, any ERISA Affiliate has engaged in a transaction that would reasonably be expected to be subject to Section 4069 or 4212(c) of ERISA.</w:t>
      </w:r>
    </w:p>
    <w:p>
      <w:pPr>
        <w:pStyle w:val="TextBody"/>
        <w:bidi w:val="0"/>
        <w:spacing w:before="0" w:after="240"/>
        <w:jc w:val="both"/>
        <w:rPr>
          <w:rFonts w:ascii="Times New Roman" w:hAnsi="Times New Roman"/>
          <w:sz w:val="20"/>
        </w:rPr>
      </w:pPr>
      <w:bookmarkStart w:id="845" w:name="docxtextref1339"/>
      <w:bookmarkEnd w:id="845"/>
      <w:r>
        <w:rPr>
          <w:rFonts w:ascii="Times New Roman;serif" w:hAnsi="Times New Roman;serif"/>
          <w:b w:val="false"/>
          <w:sz w:val="22"/>
        </w:rPr>
        <w:t>(c) Except as would not reasonably be expected, individually or in the aggregate, to result in a Material Adverse Effect, (i)</w:t>
      </w:r>
      <w:r>
        <w:rPr>
          <w:rFonts w:ascii="Times New Roman" w:hAnsi="Times New Roman"/>
          <w:sz w:val="20"/>
        </w:rPr>
        <w:t xml:space="preserve"> </w:t>
      </w:r>
      <w:r>
        <w:rPr>
          <w:rFonts w:ascii="Times New Roman;serif" w:hAnsi="Times New Roman;serif"/>
          <w:b w:val="false"/>
          <w:sz w:val="22"/>
        </w:rPr>
        <w:t xml:space="preserve">each employee benefit plan (as defined in Section 3(2) of ERISA) sponsored by a Loan Party that is intended to meet the requirements of a “qualified plan” under </w:t>
      </w:r>
      <w:bookmarkStart w:id="846" w:name="docxtextref1340"/>
      <w:bookmarkEnd w:id="846"/>
      <w:r>
        <w:rPr>
          <w:rFonts w:ascii="Times New Roman;serif" w:hAnsi="Times New Roman;serif"/>
          <w:b w:val="false"/>
          <w:sz w:val="22"/>
        </w:rPr>
        <w:t>Section 401(a)</w:t>
      </w:r>
      <w:r>
        <w:rPr>
          <w:rFonts w:ascii="Times New Roman" w:hAnsi="Times New Roman"/>
          <w:sz w:val="20"/>
        </w:rPr>
        <w:t xml:space="preserve"> </w:t>
      </w:r>
      <w:r>
        <w:rPr>
          <w:rFonts w:ascii="Times New Roman;serif" w:hAnsi="Times New Roman;serif"/>
          <w:b w:val="false"/>
          <w:sz w:val="22"/>
        </w:rPr>
        <w:t xml:space="preserve">of the Code has either received a favorable determination letter from the Internal Revenue Service to the effect that the form of such plan is qualified under </w:t>
      </w:r>
      <w:bookmarkStart w:id="847" w:name="docxtextref1341"/>
      <w:bookmarkEnd w:id="847"/>
      <w:r>
        <w:rPr>
          <w:rFonts w:ascii="Times New Roman;serif" w:hAnsi="Times New Roman;serif"/>
          <w:b w:val="false"/>
          <w:sz w:val="22"/>
        </w:rPr>
        <w:t>Section 401(a)</w:t>
      </w:r>
      <w:r>
        <w:rPr>
          <w:rFonts w:ascii="Times New Roman" w:hAnsi="Times New Roman"/>
          <w:sz w:val="20"/>
        </w:rPr>
        <w:t xml:space="preserve"> </w:t>
      </w:r>
      <w:r>
        <w:rPr>
          <w:rFonts w:ascii="Times New Roman;serif" w:hAnsi="Times New Roman;serif"/>
          <w:b w:val="false"/>
          <w:sz w:val="22"/>
        </w:rPr>
        <w:t>of the Code or is in the form of a prototype or volume submitter plan that has received a favorable opinion letter, in each case from the Internal Revenue Service as to such plan’s qualified status, or an application for such a letter is currently being processed by the Internal Revenue Service, (ii) to the knowledge of Holdings and Bidco, no fact or event has occurred that could reasonably be expected to adversely affect the qualified status of any such employee benefit plan, and (iii) there are no pending or, to the knowledge of Holdings and Bidco, threatened (in writing) claims, actions or lawsuits, or action by any Governmental Authority, with respect to any such plan.</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3.11 </w:t>
      </w:r>
      <w:r>
        <w:rPr>
          <w:rFonts w:ascii="Times New Roman;serif" w:hAnsi="Times New Roman;serif"/>
          <w:b w:val="false"/>
          <w:sz w:val="22"/>
          <w:u w:val="single"/>
        </w:rPr>
        <w:t>Disclosure</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As of the Effective Date (to Bidco’s knowledge), all written factual information and written factual data (other than projections and information of a general economic or industry specific nature) furnished by or on behalf of any of Holdings, Bidco and its Restricted Subsidiaries to the Administrative Agent, any Joint Lead Arranger or any Lender in connection with the Transactions, when taken as a whole after giving effect to all supplements and updates provided thereto, is correct in all material respects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848" w:name="docxtextref1342"/>
      <w:bookmarkEnd w:id="848"/>
      <w:r>
        <w:rPr>
          <w:rFonts w:ascii="Times New Roman;serif" w:hAnsi="Times New Roman;serif"/>
          <w:b w:val="false"/>
          <w:sz w:val="22"/>
        </w:rPr>
        <w:t xml:space="preserve">does not contain any untrue statement of a material fact or omit to state any material fact necessary to make the statements therein not materially misleading in the light of the circumstances under which they were made;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with respect to the projections, Holdings and Bidco represent only that such projections, when taken as a whole, were prepared in good faith based upon assumptions believed by them to be reasonable at the time delivered, it being understood that (i)</w:t>
      </w:r>
      <w:r>
        <w:rPr>
          <w:rFonts w:ascii="Times New Roman" w:hAnsi="Times New Roman"/>
          <w:sz w:val="20"/>
        </w:rPr>
        <w:t xml:space="preserve"> </w:t>
      </w:r>
      <w:r>
        <w:rPr>
          <w:rFonts w:ascii="Times New Roman;serif" w:hAnsi="Times New Roman;serif"/>
          <w:b w:val="false"/>
          <w:sz w:val="22"/>
        </w:rPr>
        <w:t>such projections are merely a prediction as to future events and are not to be viewed as facts, (ii) such projections are subject to significant uncertainties and contingencies, many of which are beyond the control of Bidco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3.12 </w:t>
      </w:r>
      <w:r>
        <w:rPr>
          <w:rFonts w:ascii="Times New Roman;serif" w:hAnsi="Times New Roman;serif"/>
          <w:b w:val="false"/>
          <w:sz w:val="22"/>
          <w:u w:val="single"/>
        </w:rPr>
        <w:t>Subsidiaries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49" w:name="docxtextref1343"/>
      <w:bookmarkEnd w:id="849"/>
      <w:r>
        <w:rPr>
          <w:rFonts w:ascii="Times New Roman;serif" w:hAnsi="Times New Roman;serif"/>
          <w:b w:val="false"/>
          <w:sz w:val="22"/>
        </w:rPr>
        <w:t xml:space="preserve">As of the Effective Date, </w:t>
      </w:r>
      <w:r>
        <w:rPr>
          <w:rFonts w:ascii="Times New Roman;serif" w:hAnsi="Times New Roman;serif"/>
          <w:b w:val="false"/>
          <w:sz w:val="22"/>
          <w:u w:val="single"/>
        </w:rPr>
        <w:t>Schedule 3.12</w:t>
      </w:r>
      <w:r>
        <w:rPr>
          <w:rFonts w:ascii="Times New Roman" w:hAnsi="Times New Roman"/>
          <w:sz w:val="20"/>
        </w:rPr>
        <w:t xml:space="preserve"> </w:t>
      </w:r>
      <w:r>
        <w:rPr>
          <w:rFonts w:ascii="Times New Roman;serif" w:hAnsi="Times New Roman;serif"/>
          <w:b w:val="false"/>
          <w:sz w:val="22"/>
        </w:rPr>
        <w:t>sets forth the name of, and the ownership interest of Holdings and each of its subsidiaries in, each subsidiary of Holdings.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3.13 </w:t>
      </w:r>
      <w:r>
        <w:rPr>
          <w:rFonts w:ascii="Times New Roman;serif" w:hAnsi="Times New Roman;serif"/>
          <w:b w:val="false"/>
          <w:sz w:val="22"/>
          <w:u w:val="single"/>
        </w:rPr>
        <w:t>Intellectual Property; Licenses, Etc.</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Except as would not reasonably be expected to have a Material Adverse Effect, each of Holdings, any Intermediate Parent, Bidco and the Restricted Subsidiaries owns, licenses or possesses the right to use all Intellectual Property that is reasonably necessary for the operation of its business substantially as currently conducted. To the knowledge of Holdings and Bidco, no Intellectual Property used by Holdings, any Intermediate Parent, Bidco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Bidco, threatened in writing against Holdings, any Intermediate Parent, Bidco or any Restricted Subsidiary, which, individually or in the aggregate, would reasonably be expected to have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3.14 </w:t>
      </w:r>
      <w:r>
        <w:rPr>
          <w:rFonts w:ascii="Times New Roman;serif" w:hAnsi="Times New Roman;serif"/>
          <w:b w:val="false"/>
          <w:sz w:val="22"/>
          <w:u w:val="single"/>
        </w:rPr>
        <w:t>Solvency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50" w:name="docxtextref1345"/>
      <w:bookmarkEnd w:id="850"/>
      <w:r>
        <w:rPr>
          <w:rFonts w:ascii="Times New Roman;serif" w:hAnsi="Times New Roman;serif"/>
          <w:b w:val="false"/>
          <w:sz w:val="22"/>
        </w:rPr>
        <w:t>Immediately after the consummation of each of the Transactions to occur on the Effective Date, after taking into account all applicable rights of indemnity and contribution, (a)</w:t>
      </w:r>
      <w:r>
        <w:rPr>
          <w:rFonts w:ascii="Times New Roman" w:hAnsi="Times New Roman"/>
          <w:sz w:val="20"/>
        </w:rPr>
        <w:t xml:space="preserve"> </w:t>
      </w:r>
      <w:r>
        <w:rPr>
          <w:rFonts w:ascii="Times New Roman;serif" w:hAnsi="Times New Roman;serif"/>
          <w:b w:val="false"/>
          <w:sz w:val="22"/>
        </w:rPr>
        <w:t xml:space="preserve">the sum of the debt (including contingent liabilities) of Bidco and the Subsidiaries, on a consolidated basis, does not exceed the present fair saleable value of the present assets of Bidco and the Subsidiaries, on a consolidated basis, </w:t>
      </w:r>
      <w:bookmarkStart w:id="851" w:name="docxtextref1346"/>
      <w:bookmarkEnd w:id="85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capital of Bidco and the Subsidiaries, on a consolidated basis, is not unreasonably small in relation to their business as contemplated on the Effective Date, </w:t>
      </w:r>
      <w:bookmarkStart w:id="852" w:name="docxtextref1347"/>
      <w:bookmarkEnd w:id="85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Bidco and the Subsidiaries, on a consolidated basis, have not incurred and do not intend to incur, or believe that they will incur, debts including current obligations, beyond their ability to pay such debts as they become due (whether at maturity or otherwise) and </w:t>
      </w:r>
      <w:bookmarkStart w:id="853" w:name="docxtextref1348"/>
      <w:bookmarkEnd w:id="853"/>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Bidco and the Subsidiaries, on a consolidated basis, are “solvent” within the meaning given to that term and similar terms under applicable laws relating to fraudulent transfers and conveyances. For purposes of this </w:t>
      </w:r>
      <w:r>
        <w:rPr>
          <w:rFonts w:ascii="Times New Roman;serif" w:hAnsi="Times New Roman;serif"/>
          <w:b w:val="false"/>
          <w:sz w:val="22"/>
          <w:u w:val="single"/>
        </w:rPr>
        <w:t>Section 3.14</w:t>
      </w:r>
      <w:r>
        <w:rPr>
          <w:rFonts w:ascii="Times New Roman;serif" w:hAnsi="Times New Roman;serif"/>
          <w:b w:val="false"/>
          <w:sz w:val="22"/>
        </w:rPr>
        <w:t>,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pursuant to IAS 37).</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3.15 </w:t>
      </w:r>
      <w:r>
        <w:rPr>
          <w:rFonts w:ascii="Times New Roman;serif" w:hAnsi="Times New Roman;serif"/>
          <w:b w:val="false"/>
          <w:sz w:val="22"/>
          <w:u w:val="single"/>
        </w:rPr>
        <w:t>Senior Indebtedness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Loan Document Obligations constitute “Senior Indebtedness” (or any comparable term) under and as defined in the documentation governing any other Subordinated Indebtedness.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3.16 </w:t>
      </w:r>
      <w:r>
        <w:rPr>
          <w:rFonts w:ascii="Times New Roman;serif" w:hAnsi="Times New Roman;serif"/>
          <w:b w:val="false"/>
          <w:sz w:val="22"/>
          <w:u w:val="single"/>
        </w:rPr>
        <w:t>Federal Reserve Regulations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None of Holdings, Bidco, any Borrower or any other Restricted Subsidiary is engaged or will engage, principally or as one of its important activities, in the business of purchasing or carrying margin stock (within the meaning of Regulation U of the Board of Governors), or in extending credit for the purpose of purchasing or carrying margin stock. No part of the proceeds of the Loans will be used, directly or indirectly, for any purpose that violates the provisions of Regulations U or X of the Board of Governors.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3.17 </w:t>
      </w:r>
      <w:r>
        <w:rPr>
          <w:rFonts w:ascii="Times New Roman;serif" w:hAnsi="Times New Roman;serif"/>
          <w:b w:val="false"/>
          <w:sz w:val="22"/>
          <w:u w:val="single"/>
        </w:rPr>
        <w:t>Use of Proceeds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Borrowers will use the proceeds 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(i) the Initial Term Loans made on the Effective Date to directly or indirectly finance the Transactions and (ii) the Initial Term Loans made as a Certain Funds Utilization on or after the Effective Date until the Initial Term Commitment Expiration to directly or indirectly finance the Refinancing;</w:t>
      </w:r>
    </w:p>
    <w:p>
      <w:pPr>
        <w:pStyle w:val="TextBody"/>
        <w:bidi w:val="0"/>
        <w:spacing w:before="0" w:after="240"/>
        <w:jc w:val="both"/>
        <w:rPr>
          <w:rFonts w:ascii="Times New Roman" w:hAnsi="Times New Roman"/>
          <w:sz w:val="20"/>
        </w:rPr>
      </w:pPr>
      <w:bookmarkStart w:id="854" w:name="docxtextref1349"/>
      <w:bookmarkEnd w:id="854"/>
      <w:r>
        <w:rPr>
          <w:rFonts w:ascii="Times New Roman;serif" w:hAnsi="Times New Roman;serif"/>
          <w:b w:val="false"/>
          <w:sz w:val="22"/>
        </w:rPr>
        <w:t>(b) the Revolving Loans and Swingline Loans made, and the Letters of Credit issued, on the Effective Date to (i)</w:t>
      </w:r>
      <w:r>
        <w:rPr>
          <w:rFonts w:ascii="Times New Roman" w:hAnsi="Times New Roman"/>
          <w:sz w:val="20"/>
        </w:rPr>
        <w:t xml:space="preserve"> </w:t>
      </w:r>
      <w:r>
        <w:rPr>
          <w:rFonts w:ascii="Times New Roman;serif" w:hAnsi="Times New Roman;serif"/>
          <w:b w:val="false"/>
          <w:sz w:val="22"/>
        </w:rPr>
        <w:t xml:space="preserve">fund the Acquisition, the Refinancing, the other transactions contemplated by the Acquisition Documents and the Transaction Costs, (ii) cash collateralize, backstop, replace or provide credit support for any existing letters of credit for the account of the Company and its subsidiaries and (iii) fund any working capital needs;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principal amount of Revolving Loans made on the Effective Date for the purposes described in clause (b)(i) above shall not exceed $50,000,000;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the Revolving Loans and Swingline Loans, and Letters of Credit issued, after the Effective Date for working capital and other general corporate purposes (including for capital expenditures, Permitted Acquisitions, Permitted Investments, Restricted Payments and any other transactions not prohibited by the Loan Documents).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3.18 </w:t>
      </w:r>
      <w:r>
        <w:rPr>
          <w:rFonts w:ascii="Times New Roman;serif" w:hAnsi="Times New Roman;serif"/>
          <w:b w:val="false"/>
          <w:sz w:val="22"/>
          <w:u w:val="single"/>
        </w:rPr>
        <w:t>Anti-Corruption Laws; Sanctions; USA PATRIOT Act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55" w:name="docxtextref1350"/>
      <w:bookmarkEnd w:id="855"/>
      <w:r>
        <w:rPr>
          <w:rFonts w:ascii="Times New Roman;serif" w:hAnsi="Times New Roman;serif"/>
          <w:b w:val="false"/>
          <w:sz w:val="22"/>
        </w:rPr>
        <w:t>(a) Each of Holdings, Bidco and the Restricted Subsidiaries is in compliance in all material respects with (i)</w:t>
      </w:r>
      <w:r>
        <w:rPr>
          <w:rFonts w:ascii="Times New Roman" w:hAnsi="Times New Roman"/>
          <w:sz w:val="20"/>
        </w:rPr>
        <w:t xml:space="preserve"> </w:t>
      </w:r>
      <w:r>
        <w:rPr>
          <w:rFonts w:ascii="Times New Roman;serif" w:hAnsi="Times New Roman;serif"/>
          <w:b w:val="false"/>
          <w:sz w:val="22"/>
        </w:rPr>
        <w:t>applicable Sanctions, (ii) Title III of the USA Patriot Act, and (iii) the United States Foreign Corrupt Practices Act of 1977, as amended, the UK Bribery Act or any law or regulation implementing the OECD Convention on Combatting Bribery of Foreign Public Officials (collectively, “</w:t>
      </w:r>
      <w:r>
        <w:rPr>
          <w:rFonts w:ascii="Times New Roman;serif" w:hAnsi="Times New Roman;serif"/>
          <w:b w:val="false"/>
          <w:sz w:val="22"/>
          <w:u w:val="single"/>
        </w:rPr>
        <w:t>Anti-Corruption Laws</w:t>
      </w:r>
      <w:r>
        <w:rPr>
          <w:rFonts w:ascii="Times New Roman" w:hAnsi="Times New Roman"/>
          <w:sz w:val="20"/>
        </w:rPr>
        <w:t>”</w:t>
      </w:r>
      <w:r>
        <w:rPr>
          <w:rFonts w:ascii="Times New Roman;serif" w:hAnsi="Times New Roman;serif"/>
          <w:b w:val="false"/>
          <w:sz w:val="22"/>
        </w:rPr>
        <w:t xml:space="preserve">), in each of </w:t>
      </w:r>
      <w:bookmarkStart w:id="856" w:name="docxtextref1351"/>
      <w:bookmarkEnd w:id="85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through (iii), to the extent applicable to the relevant entity in a jurisdiction in which such entity operates.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None of Holdings, any Intermediate Parent, Bidco, any of the Restricted Subsidiaries or, any director or officer thereof, or to the knowledge of Bidco, any employee thereof, is an individual or entity with whom dealings are prohibited by any Sanctions, nor is Holdings, any Intermediate Parent, Bidco or any Restricted Subsidiary located, organized or resident in a Sanctioned Country.</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IV</w:t>
      </w:r>
      <w:r>
        <w:rPr>
          <w:rFonts w:ascii="Times New Roman;serif" w:hAnsi="Times New Roman;serif"/>
          <w:b w:val="false"/>
          <w:caps/>
          <w:sz w:val="22"/>
          <w:u w:val="single"/>
        </w:rPr>
        <w:br/>
        <w:br/>
        <w:t>Conditions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4.01 </w:t>
      </w:r>
      <w:r>
        <w:rPr>
          <w:rFonts w:ascii="Times New Roman;serif" w:hAnsi="Times New Roman;serif"/>
          <w:b w:val="false"/>
          <w:sz w:val="22"/>
          <w:u w:val="single"/>
        </w:rPr>
        <w:t>Effective Date and Certain Funds Utilization</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The obligation of each Lender (x) to make Loans and the obligations of each Issuing Bank to issue Letters of Credit hereunder on the Effective Date and (y) to make any Certain Funds Utilization 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or following the Effective Date shall be subject to satisfaction of the following conditions (or waiver thereof in accordance with </w:t>
      </w:r>
      <w:r>
        <w:rPr>
          <w:rFonts w:ascii="Times New Roman;serif" w:hAnsi="Times New Roman;serif"/>
          <w:b w:val="false"/>
          <w:sz w:val="22"/>
          <w:u w:val="single"/>
        </w:rPr>
        <w:t>Section 9.02</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57" w:name="docxtextref1353"/>
      <w:bookmarkEnd w:id="857"/>
      <w:r>
        <w:rPr>
          <w:rFonts w:ascii="Times New Roman;serif" w:hAnsi="Times New Roman;serif"/>
          <w:b w:val="false"/>
          <w:sz w:val="22"/>
        </w:rPr>
        <w:t>(a) The Administrative Agent (or its counsel) shall have received from each Certain Funds Loan Party either (i)</w:t>
      </w:r>
      <w:r>
        <w:rPr>
          <w:rFonts w:ascii="Times New Roman" w:hAnsi="Times New Roman"/>
          <w:sz w:val="20"/>
        </w:rPr>
        <w:t xml:space="preserve"> </w:t>
      </w:r>
      <w:r>
        <w:rPr>
          <w:rFonts w:ascii="Times New Roman;serif" w:hAnsi="Times New Roman;serif"/>
          <w:b w:val="false"/>
          <w:sz w:val="22"/>
        </w:rPr>
        <w:t>a counterpart of this Agreement signed on behalf of such party or (ii) otherwise, written evidence satisfactory to the Administrative Agent (which may include facsimile or other electronic transmission of a signed counterpart of this Agreement) that such party has signed a counterpart of this Agreement.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Administrative Agent shall have received a written opinion (addressed to the Administrative Agent, the Lenders and the Issuing Banks and dated the Effective Date) of (i) Carey Olsen (Guernsey) LLP, as Guernsey law counsel to the Administrative Agent, (ii) Ogier, as Luxembourg law counsel to the Finco Borrower, (iii) Kirkland &amp; Ellis, LLP, as New York law counsel to each Certain Funds Loan Party, (iv) Nauta-Dutilh Avocats Luxembourg S.à r.l., as Luxembourg law counsel to the Administrative Agent and (v) Milbank LLP, as English law counsel to the Administrative Agent, in each case in form and substance reasonably satisfactory to the Administrative Agent. Each applicable party hereby requests such counsel deliver such opinion.</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The Administrative Agent shall have received a certificate of each Certain Funds Loan Party, dated the Effective Date, in form and substance reasonably satisfactory to the Administrative Agent, executed by any Responsible Officer of such Certain Funds Loan Party, and (i) including or attaching the documents referred to in </w:t>
      </w:r>
      <w:r>
        <w:rPr>
          <w:rFonts w:ascii="Times New Roman;serif" w:hAnsi="Times New Roman;serif"/>
          <w:b w:val="false"/>
          <w:sz w:val="22"/>
          <w:u w:val="single"/>
        </w:rPr>
        <w:t>Section 4.01(d)</w:t>
      </w:r>
      <w:r>
        <w:rPr>
          <w:rFonts w:ascii="Times New Roman;serif" w:hAnsi="Times New Roman;serif"/>
          <w:b w:val="false"/>
          <w:sz w:val="22"/>
        </w:rPr>
        <w:t>, (ii) confirming that, subject to the guarantee limitations set out in this Agreement, borrowing or guaranteeing or securing (as appropriate) the total Commitments hereunder would not cause any borrowing, guarantee, security or other similar limit binding on it to be exceeded and (iii) with respect to the Finco Borrower, attaching (x) a copy of an excerpt from the Luxembourg Companies Register in relation to the Finco Borrower dated no earlier than one (1) Business Day prior to the date of this Agreement and a copy of a certificate of non-registration of judgements (</w:t>
      </w:r>
      <w:r>
        <w:rPr>
          <w:rFonts w:ascii="Times New Roman;serif" w:hAnsi="Times New Roman;serif"/>
          <w:b w:val="false"/>
          <w:i/>
          <w:sz w:val="22"/>
        </w:rPr>
        <w:t>certificat de non-inscription d’une décision judiciaire</w:t>
      </w:r>
      <w:r>
        <w:rPr>
          <w:rFonts w:ascii="Times New Roman;serif" w:hAnsi="Times New Roman;serif"/>
          <w:b w:val="false"/>
          <w:sz w:val="22"/>
        </w:rPr>
        <w:t xml:space="preserve">) issued by the Luxembourg Companies Register dated no earlier than one (1) Business Day prior to the date of this Agreement, or (y) in the event the items under (x) above are not available at the date of the certificate, a </w:t>
      </w:r>
      <w:r>
        <w:rPr>
          <w:rFonts w:ascii="Times New Roman;serif" w:hAnsi="Times New Roman;serif"/>
          <w:b w:val="false"/>
          <w:i/>
          <w:sz w:val="22"/>
        </w:rPr>
        <w:t>certificat de coutume</w:t>
      </w:r>
      <w:r>
        <w:rPr>
          <w:rFonts w:ascii="Times New Roman" w:hAnsi="Times New Roman"/>
          <w:sz w:val="20"/>
        </w:rPr>
        <w:t xml:space="preserve"> </w:t>
      </w:r>
      <w:r>
        <w:rPr>
          <w:rFonts w:ascii="Times New Roman;serif" w:hAnsi="Times New Roman;serif"/>
          <w:b w:val="false"/>
          <w:sz w:val="22"/>
        </w:rPr>
        <w:t>(good standing certificate) issued by a Luxembourg public notary.</w:t>
      </w:r>
    </w:p>
    <w:p>
      <w:pPr>
        <w:pStyle w:val="TextBody"/>
        <w:bidi w:val="0"/>
        <w:spacing w:before="0" w:after="240"/>
        <w:jc w:val="both"/>
        <w:rPr>
          <w:rFonts w:ascii="Times New Roman" w:hAnsi="Times New Roman"/>
          <w:sz w:val="20"/>
        </w:rPr>
      </w:pPr>
      <w:bookmarkStart w:id="858" w:name="docxtextref1356"/>
      <w:bookmarkEnd w:id="858"/>
      <w:r>
        <w:rPr>
          <w:rFonts w:ascii="Times New Roman;serif" w:hAnsi="Times New Roman;serif"/>
          <w:b w:val="false"/>
          <w:sz w:val="22"/>
        </w:rPr>
        <w:t>(d) The Administrative Agent shall have received a copy of (i)</w:t>
      </w:r>
      <w:r>
        <w:rPr>
          <w:rFonts w:ascii="Times New Roman" w:hAnsi="Times New Roman"/>
          <w:sz w:val="20"/>
        </w:rPr>
        <w:t xml:space="preserve"> </w:t>
      </w:r>
      <w:r>
        <w:rPr>
          <w:rFonts w:ascii="Times New Roman;serif" w:hAnsi="Times New Roman;serif"/>
          <w:b w:val="false"/>
          <w:sz w:val="22"/>
        </w:rPr>
        <w:t>each Organizational Document of each Certain Funds Loan Party, (ii) signature and (as applicable) incumbency certificates of the Responsible Officers of each Certain Funds Loan Party executing the Loan Documents to which it is a party, and (iii) copies of resolutions of the board of directors or managers, shareholders, partners, and/or similar governing bodies of each Certain Funds Loan Party approving and authorizing the execution, delivery and performance of Loan Documents to which it is a party, certified as of the Effective Date by a secretary, an assistant secretary or a Responsible Officer of such Certain Funds Loan Party as being in full force and effect without modification or amendment.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 The Administrative Agent shall have received (or substantially simultaneously with the initial funding of Loans on the Effective Date, shall receive) all fees and other amounts previously agreed in writing by the Joint Lead Arrangers and the Borrowers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Loan Document; </w:t>
      </w:r>
      <w:r>
        <w:rPr>
          <w:rFonts w:ascii="Times New Roman;serif" w:hAnsi="Times New Roman;serif"/>
          <w:b w:val="false"/>
          <w:sz w:val="22"/>
          <w:u w:val="single"/>
        </w:rPr>
        <w:t>provided tha</w:t>
      </w:r>
      <w:r>
        <w:rPr>
          <w:rFonts w:ascii="Times New Roman;serif" w:hAnsi="Times New Roman;serif"/>
          <w:b w:val="false"/>
          <w:sz w:val="22"/>
        </w:rPr>
        <w:t xml:space="preserve">t a reference to payment of such fees in a request for Borrowing that complies with the requirements set forth in </w:t>
      </w:r>
      <w:r>
        <w:rPr>
          <w:rFonts w:ascii="Times New Roman;serif" w:hAnsi="Times New Roman;serif"/>
          <w:b w:val="false"/>
          <w:sz w:val="22"/>
          <w:u w:val="single"/>
        </w:rPr>
        <w:t>Section 2.03</w:t>
      </w:r>
      <w:r>
        <w:rPr>
          <w:rFonts w:ascii="Times New Roman" w:hAnsi="Times New Roman"/>
          <w:sz w:val="20"/>
        </w:rPr>
        <w:t xml:space="preserve"> </w:t>
      </w:r>
      <w:r>
        <w:rPr>
          <w:rFonts w:ascii="Times New Roman;serif" w:hAnsi="Times New Roman;serif"/>
          <w:b w:val="false"/>
          <w:sz w:val="22"/>
        </w:rPr>
        <w:t>(including by reference to a funds flow statement) shall be deemed to satisfy this paragraph (e).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Subject to Section 5.14, the Administrative Agent (or its counsel) shall have received from the relevant Certain Funds Loan Party, in each case to the extent required on the Effective Date: (w) a counterpart of each Initial Guernsey Collateral Agreement signed on behalf of each Certain Funds Loan Party that is a party thereto, (x) a counterpart of each Initial Luxembourg Collateral Agreement signed on behalf of each Certain Funds Loan Party that is a party thereto, (y) a counterpart of the Collateral Agreement signed on behalf of each Certain Funds Loan Party that is a party thereto and (z) subject to the Agreed Security Principles, (i) a counterpart of the first ranking security governed by Guernsey law granted by the Finco Borrower in favor of the Collateral Agent over any structural intercompany receivables owed to it by Bidco as security for the Secured Obligations, (ii) each counterpart of the first ranking security governed by Guernsey or English law (as applicable) granted by Bidco in favor of the Finco Borrower over its material operating bank accounts (without control over use) as security for Bidco’s obligations under any structural intercompany loans made to it by the Finco Borrower, (iii) a counterpart of the second ranking security governed by Guernsey or English law (as applicable) granted by Bidco in favor of the Collateral Agent over its material operating bank accounts (without control over use) as security for the Secured Obligations, and (iv) a counterpart of the first ranking security governed by Guernsey or English law (as applicable) granted by the Finco Borrower in favor of the Collateral Agent over its rights in respect of the security referred to in clause (z)(ii) above as security for the Secured Obligations, in each case signed on behalf of each Certain Funds Loan Party that is a party thereto (or, in each case, written evidence satisfactory to the Administrative Agent (which may include facsimile or other electronic transmission of a signed counterpart of the relevant document) that such party has signed a counterpart of such document).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The Administrative Agent shall have received (i) a copy of the Announcement, (ii) a copy of the Co-operation Agreement, (iii) a copy of the Scheme Circular, (iv) a copy of the Fee Letter, (v) a copy of the Model and (vi) a copy of the Tax Structure Memorandum.</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(h) The Administrative Agent shall have received a certificate from a Responsible Officer of Bidco certifying that, as of the Effective Date, (i) the Scheme Effective Date has occurred and (ii) the Minimum Equity Requirement shall have been satisfied, or substantially concurrently with, or prior to, the initial funding of Loans on the Effective Date, shall be satisfied.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(i) There is no Major Event of Default continuing on the date of the proposed Certain Funds Utilization and (ii) it is not unlawful in any applicable jurisidction for such Lender to make, or to allow to have outstanding, the proposed Certain Funds Utilization.</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(j) The Administrative Agent shall have received a request for Borrowing that complies with the requirements set forth in </w:t>
      </w:r>
      <w:r>
        <w:rPr>
          <w:rFonts w:ascii="Times New Roman;serif" w:hAnsi="Times New Roman;serif"/>
          <w:b w:val="false"/>
          <w:sz w:val="22"/>
          <w:u w:val="single"/>
        </w:rPr>
        <w:t>Section 2.03</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(k) Solely with respect to any Certain Funds Utilization, the Administrative Agent shall have received a certificate from a Responsible Officer of Bidco certifying that as of the date of such Certain Funds Utilization, the Minimum Equity Requirement shall have been satisfied, or substantially concurrently with, or prior to, the funding of Loans in connection therewith, shall be satisfied.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(l) The Pari Passu Intercreditor Agreement shall have been duly executed and delivered by all of the Certain Funds Loan Parties stated to be party thereto.</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For purposes of determining whether the conditions set forth in this </w:t>
      </w:r>
      <w:r>
        <w:rPr>
          <w:rFonts w:ascii="Times New Roman;serif" w:hAnsi="Times New Roman;serif"/>
          <w:b w:val="false"/>
          <w:sz w:val="22"/>
          <w:u w:val="single"/>
        </w:rPr>
        <w:t>Section 4.01</w:t>
      </w:r>
      <w:r>
        <w:rPr>
          <w:rFonts w:ascii="Times New Roman" w:hAnsi="Times New Roman"/>
          <w:sz w:val="20"/>
        </w:rPr>
        <w:t xml:space="preserve"> </w:t>
      </w:r>
      <w:r>
        <w:rPr>
          <w:rFonts w:ascii="Times New Roman;serif" w:hAnsi="Times New Roman;serif"/>
          <w:b w:val="false"/>
          <w:sz w:val="22"/>
        </w:rPr>
        <w:t>have been satisfied, by releasing its signature page hereto or to an Assignment and Assumption, the Administrative Agent and each Lender party hereto shall be deemed to have consented to, approved, accepted or be satisfied with each document or other matter required hereunder to be consented to or approved by, or acceptable or satisfactory to, the Administrative Agent or such Lender, as the case may be.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4.02 </w:t>
      </w:r>
      <w:r>
        <w:rPr>
          <w:rFonts w:ascii="Times New Roman;serif" w:hAnsi="Times New Roman;serif"/>
          <w:b w:val="false"/>
          <w:sz w:val="22"/>
          <w:u w:val="single"/>
        </w:rPr>
        <w:t>Each Credit Event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After the Effective Date (other than any Certain Funds Utilization, which shall be governed by </w:t>
      </w:r>
      <w:r>
        <w:rPr>
          <w:rFonts w:ascii="Times New Roman;serif" w:hAnsi="Times New Roman;serif"/>
          <w:b w:val="false"/>
          <w:sz w:val="22"/>
          <w:u w:val="single"/>
        </w:rPr>
        <w:t>Section 4.01</w:t>
      </w:r>
      <w:r>
        <w:rPr>
          <w:rFonts w:ascii="Times New Roman" w:hAnsi="Times New Roman"/>
          <w:sz w:val="20"/>
        </w:rPr>
        <w:t xml:space="preserve"> </w:t>
      </w:r>
      <w:r>
        <w:rPr>
          <w:rFonts w:ascii="Times New Roman;serif" w:hAnsi="Times New Roman;serif"/>
          <w:b w:val="false"/>
          <w:sz w:val="22"/>
        </w:rPr>
        <w:t>only), the obligation of each Lender to make a Loan on the occasion of any Borrowing, and of each Issuing Bank to issue, amend, renew or extend any Letter of Credit (other than any initial Borrowing under any Incremental Facility or any Borrowing used to finance a Limited Condition Transaction), is subject to receipt of the request therefor in accordance herewith and to the satisfaction of the following conditions: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The representations and warranties of each Loan Party set forth in the Loan Documents (or in the case of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in each case, to the extent that such representations and warranties specifically refer to an earlier date, they shall be true and correct in all material respects as of such earlier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in each case, any representation and warranty that is qualified as to “materiality,” “Material Adverse Effect” or similar language shall be true and correct in all respects on the date of such credit extension or on such earlier date, as the case may be.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At the time of and immediately after giving effect to such Borrowing, or the issuance, amendment, renewal or extension of such Letter of Credit, as the case may be, no Default or Event of Default shall have occurred and be continuing.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In the case of any Borrowing, the Administrative Agent shall have received a request for Borrowing that complies with the requirements set forth in </w:t>
      </w:r>
      <w:r>
        <w:rPr>
          <w:rFonts w:ascii="Times New Roman;serif" w:hAnsi="Times New Roman;serif"/>
          <w:b w:val="false"/>
          <w:sz w:val="22"/>
          <w:u w:val="single"/>
        </w:rPr>
        <w:t>Section 2.03</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59" w:name="docxtextref1376"/>
      <w:bookmarkEnd w:id="859"/>
      <w:r>
        <w:rPr>
          <w:rFonts w:ascii="Times New Roman;serif" w:hAnsi="Times New Roman;serif"/>
          <w:b w:val="false"/>
          <w:sz w:val="22"/>
        </w:rPr>
        <w:t>Each Borrowing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 conversion or a continuation of a Borrowing shall not constitute a “Borrowing” for purposes of this </w:t>
      </w:r>
      <w:r>
        <w:rPr>
          <w:rFonts w:ascii="Times New Roman;serif" w:hAnsi="Times New Roman;serif"/>
          <w:b w:val="false"/>
          <w:sz w:val="22"/>
          <w:u w:val="single"/>
        </w:rPr>
        <w:t>Section 4.02</w:t>
      </w:r>
      <w:r>
        <w:rPr>
          <w:rFonts w:ascii="Times New Roman;serif" w:hAnsi="Times New Roman;serif"/>
          <w:b w:val="false"/>
          <w:sz w:val="22"/>
        </w:rPr>
        <w:t>), other than a Borrowing under any Incremental Facility or a Borrowing the proceeds of which are used to finance a Limited Condition Transaction, and each issuance, amendment, renewal or extension of a Letter of Credit shall be deemed to constitute a representation and warranty by Holdings and Bidco on the date thereof as to the matters specified in paragraphs (a)</w:t>
      </w:r>
      <w:r>
        <w:rPr>
          <w:rFonts w:ascii="Times New Roman" w:hAnsi="Times New Roman"/>
          <w:sz w:val="20"/>
        </w:rPr>
        <w:t xml:space="preserve"> </w:t>
      </w:r>
      <w:r>
        <w:rPr>
          <w:rFonts w:ascii="Times New Roman;serif" w:hAnsi="Times New Roman;serif"/>
          <w:b w:val="false"/>
          <w:sz w:val="22"/>
        </w:rPr>
        <w:t xml:space="preserve">and </w:t>
      </w:r>
      <w:bookmarkStart w:id="860" w:name="docxtextref1377"/>
      <w:bookmarkEnd w:id="86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4.02</w:t>
      </w:r>
      <w:r>
        <w:rPr>
          <w:rFonts w:ascii="Times New Roman;serif" w:hAnsi="Times New Roman;serif"/>
          <w:b w:val="false"/>
          <w:sz w:val="22"/>
        </w:rPr>
        <w:t>.</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V</w:t>
      </w:r>
      <w:r>
        <w:rPr>
          <w:rFonts w:ascii="Times New Roman;serif" w:hAnsi="Times New Roman;serif"/>
          <w:b w:val="false"/>
          <w:caps/>
          <w:sz w:val="22"/>
          <w:u w:val="single"/>
        </w:rPr>
        <w:br/>
        <w:br/>
        <w:t>Affirmative Covenants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From and after the Effective Date and until the Termination Date, each of Holdings and Bidco covenants and agrees with the Lenders that: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5.01 </w:t>
      </w:r>
      <w:r>
        <w:rPr>
          <w:rFonts w:ascii="Times New Roman;serif" w:hAnsi="Times New Roman;serif"/>
          <w:b w:val="false"/>
          <w:sz w:val="22"/>
          <w:u w:val="single"/>
        </w:rPr>
        <w:t>Financial Statements and Other Information</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Bidco or a Borrower will furnish to the Administrative Agent, on behalf of each Lender:</w:t>
      </w:r>
    </w:p>
    <w:p>
      <w:pPr>
        <w:pStyle w:val="TextBody"/>
        <w:bidi w:val="0"/>
        <w:spacing w:before="0" w:after="240"/>
        <w:jc w:val="both"/>
        <w:rPr>
          <w:rFonts w:ascii="Times New Roman" w:hAnsi="Times New Roman"/>
          <w:sz w:val="20"/>
        </w:rPr>
      </w:pPr>
      <w:r>
        <w:rPr>
          <w:rFonts w:ascii="Times New Roman;serif" w:hAnsi="Times New Roman;serif"/>
          <w:b w:val="false"/>
          <w:sz w:val="22"/>
        </w:rPr>
        <w:t>(a) on or before the date that is one hundred and twenty five (125) days after the end of each fiscal year of Bidco (or, in the case of financial statements for the fiscal year ending December 31, 2019, on or before the date that is one hundred and fifty (150) days after the end of such fiscal year), the audited consolidated balance sheet and audited consolidated statements of operations and comprehensive loss and cash flows of Bidco and its Subsidiaries as of the end of and for such year, and related notes thereto, setting forth in each case in comparative form the figures for the previous fiscal year, all reported on by independent public accountants of recognized national standing (without a “going concern” or like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861" w:name="docxtextref1378"/>
      <w:bookmarkEnd w:id="861"/>
      <w:r>
        <w:rPr>
          <w:rFonts w:ascii="Times New Roman;serif" w:hAnsi="Times New Roman;serif"/>
          <w:b w:val="false"/>
          <w:sz w:val="22"/>
        </w:rPr>
        <w:t>qualification or exception and without any qualification or exception as to the scope of such audit (other than with respect to, or resulting from, (A)</w:t>
      </w:r>
      <w:r>
        <w:rPr>
          <w:rFonts w:ascii="Times New Roman" w:hAnsi="Times New Roman"/>
          <w:sz w:val="20"/>
        </w:rPr>
        <w:t xml:space="preserve"> </w:t>
      </w:r>
      <w:r>
        <w:rPr>
          <w:rFonts w:ascii="Times New Roman;serif" w:hAnsi="Times New Roman;serif"/>
          <w:b w:val="false"/>
          <w:sz w:val="22"/>
        </w:rPr>
        <w:t xml:space="preserve">an upcoming maturity date of any Indebtedness occurring within one year from the time such opinion is delivered, </w:t>
      </w:r>
      <w:bookmarkStart w:id="862" w:name="docxtextref1379"/>
      <w:bookmarkEnd w:id="86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actual failure to satisfy a financial maintenance covenant or any potential inability to satisfy a financial maintenance covenant on a future date or in a future period, </w:t>
      </w:r>
      <w:bookmarkStart w:id="863" w:name="docxtextref1380"/>
      <w:bookmarkEnd w:id="86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 civil or criminal investigative demand, subpoena or other request for information arising from any investigation or inquiry by or on behalf of any Governmental Authority or any claim, complaint, other form of accusation of a potential or actual charge or claim, litigation, investigation, arbitration or any other form of proceeding or inquiry arising from or relating to any of the foregoing or </w:t>
      </w:r>
      <w:bookmarkStart w:id="864" w:name="docxtextref1381"/>
      <w:bookmarkEnd w:id="864"/>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the activities, operations, financial results, assets or liabilities of any Unrestricted Subsidiary) to the effect that such consolidated financial statements present fairly in all material respects the financial condition as of the end of and for such year and results of operations and cash flows of Bidco (and/or its predecessor, as applicable) and its Subsidiaries on a consolidated basis in accordance with IFRS consistently applied;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on or before the date that is sixty (60) days after the end of each of the first three fiscal quarters of each fiscal year of Bidco (or, in the case of financial statements for the fiscal quarters ended September 30, 2019, March 31, 2020, June 30, 2020 and September 30, 2020, on or before the date that is ninety (90) days after the end of such fiscal quarter), unaudited consolidated balance sheet and unaudited consolidated statements of operations and comprehensive loss and cash flows of Bidco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Bidco (and/or its predecessor, as applicable) and its Subsidiaries on a consolidated basis in accordance with IFRS consistently applied, subject to normal year-end audit adjustments and the absence of footnotes;</w:t>
      </w:r>
    </w:p>
    <w:p>
      <w:pPr>
        <w:pStyle w:val="TextBody"/>
        <w:bidi w:val="0"/>
        <w:spacing w:before="0" w:after="240"/>
        <w:jc w:val="both"/>
        <w:rPr>
          <w:rFonts w:ascii="Times New Roman" w:hAnsi="Times New Roman"/>
          <w:sz w:val="20"/>
        </w:rPr>
      </w:pPr>
      <w:bookmarkStart w:id="865" w:name="docxtextref1382"/>
      <w:bookmarkEnd w:id="865"/>
      <w:r>
        <w:rPr>
          <w:rFonts w:ascii="Times New Roman;serif" w:hAnsi="Times New Roman;serif"/>
          <w:b w:val="false"/>
          <w:sz w:val="22"/>
        </w:rPr>
        <w:t>(c) simultaneously with the delivery of each set of consolidated financial statements referred to in clauses (a) and (b)</w:t>
      </w:r>
      <w:r>
        <w:rPr>
          <w:rFonts w:ascii="Times New Roman" w:hAnsi="Times New Roman"/>
          <w:sz w:val="20"/>
        </w:rPr>
        <w:t xml:space="preserve"> </w:t>
      </w:r>
      <w:r>
        <w:rPr>
          <w:rFonts w:ascii="Times New Roman;serif" w:hAnsi="Times New Roman;serif"/>
          <w:b w:val="false"/>
          <w:sz w:val="22"/>
        </w:rPr>
        <w:t>above, the related unaudited consolidating financial information reflecting adjustments necessary to eliminate the accounts of Unrestricted Subsidiaries (if any) from such consolidated financial statements;</w:t>
      </w:r>
    </w:p>
    <w:p>
      <w:pPr>
        <w:pStyle w:val="TextBody"/>
        <w:bidi w:val="0"/>
        <w:spacing w:before="0" w:after="240"/>
        <w:jc w:val="both"/>
        <w:rPr>
          <w:rFonts w:ascii="Times New Roman" w:hAnsi="Times New Roman"/>
          <w:sz w:val="20"/>
        </w:rPr>
      </w:pPr>
      <w:bookmarkStart w:id="866" w:name="docxtextref1385"/>
      <w:bookmarkEnd w:id="866"/>
      <w:r>
        <w:rPr>
          <w:rFonts w:ascii="Times New Roman;serif" w:hAnsi="Times New Roman;serif"/>
          <w:b w:val="false"/>
          <w:sz w:val="22"/>
        </w:rPr>
        <w:t>(d) not later than five Business Days after any delivery of financial statements under paragraph (a)</w:t>
      </w:r>
      <w:r>
        <w:rPr>
          <w:rFonts w:ascii="Times New Roman" w:hAnsi="Times New Roman"/>
          <w:sz w:val="20"/>
        </w:rPr>
        <w:t xml:space="preserve"> </w:t>
      </w:r>
      <w:r>
        <w:rPr>
          <w:rFonts w:ascii="Times New Roman;serif" w:hAnsi="Times New Roman;serif"/>
          <w:b w:val="false"/>
          <w:sz w:val="22"/>
        </w:rPr>
        <w:t xml:space="preserve">or </w:t>
      </w:r>
      <w:bookmarkStart w:id="867" w:name="docxtextref1388"/>
      <w:bookmarkEnd w:id="86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above, commencing with the financial statements delivered for the first full fiscal quarter after the Effective Date, a certificate of a Financial Officer </w:t>
      </w:r>
      <w:bookmarkStart w:id="868" w:name="docxtextref1389"/>
      <w:bookmarkEnd w:id="86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certifying as to whether a Default then exists and, if a Default does then exist, specifying the details thereof and any action taken or proposed to be taken with respect thereto, (ii) setting forth reasonably detailed calculations </w:t>
      </w:r>
      <w:bookmarkStart w:id="869" w:name="docxtextref1390"/>
      <w:bookmarkEnd w:id="869"/>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demonstrating compliance with the Financial Performance Covenant, if applicable, and </w:t>
      </w:r>
      <w:bookmarkStart w:id="870" w:name="docxtextref1391"/>
      <w:bookmarkEnd w:id="87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the case of financial statements delivered under paragraph </w:t>
      </w:r>
      <w:bookmarkStart w:id="871" w:name="docxtextref1386"/>
      <w:bookmarkEnd w:id="871"/>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above and, solely to the extent the Borrowers would be required to prepay the Term Borrowing pursuant to </w:t>
      </w:r>
      <w:r>
        <w:rPr>
          <w:rFonts w:ascii="Times New Roman;serif" w:hAnsi="Times New Roman;serif"/>
          <w:b w:val="false"/>
          <w:sz w:val="22"/>
          <w:u w:val="single"/>
        </w:rPr>
        <w:t>Section 2.10(d)</w:t>
      </w:r>
      <w:r>
        <w:rPr>
          <w:rFonts w:ascii="Times New Roman;serif" w:hAnsi="Times New Roman;serif"/>
          <w:b w:val="false"/>
          <w:sz w:val="22"/>
        </w:rPr>
        <w:t xml:space="preserve">, beginning with the financial statements for the fiscal year of Bidco ending December 31, 2020, of Excess Cash Flow for such fiscal year and (iii) in the case of financial statements delivered under paragraph </w:t>
      </w:r>
      <w:bookmarkStart w:id="872" w:name="docxtextref1387"/>
      <w:bookmarkEnd w:id="872"/>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above, setting forth a reasonably detailed calculation of the Net Proceeds received during the applicable period by or on behalf of Bidco or any of the Restricted Subsidiaries in respect of any event described in clause (a) of the definition of the term “Prepayment Event” and the portion of such Net Proceeds that has been invested or are intended to be reinvested in accordance with the proviso in </w:t>
      </w:r>
      <w:r>
        <w:rPr>
          <w:rFonts w:ascii="Times New Roman;serif" w:hAnsi="Times New Roman;serif"/>
          <w:b w:val="false"/>
          <w:sz w:val="22"/>
          <w:u w:val="single"/>
        </w:rPr>
        <w:t>Section 2.10(c)</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(e)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filed by Holdings, any Intermediate Parent, Bidco or any Restricted Subsidiary with the SEC or with any national securities exchange;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promptly following any request therefor, such other information regarding the operations, business affairs and financial condition of Holdings, any Intermediate Parent, Bidco or any Restricted Subsidiary, or compliance with the terms of any Loan Document, as the Administrative Agent on its own behalf or on behalf of any Lender may reasonably request in writing;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Bidco or a Borrower shall promptly conduct a quarterly conference call that the Lenders may attend to discuss the financial condition and results of operations of Bidco and its Subsidiaries for the most recently ended measurement period for which financial statements have been delivered pursuant to Sections 5.01(a) and (b), at a date and time to be determined by Bidco or a Borrower with reasonable advance notice to the Administrative Agent.</w:t>
      </w:r>
    </w:p>
    <w:p>
      <w:pPr>
        <w:pStyle w:val="TextBody"/>
        <w:bidi w:val="0"/>
        <w:spacing w:before="0" w:after="240"/>
        <w:jc w:val="both"/>
        <w:rPr>
          <w:rFonts w:ascii="Times New Roman" w:hAnsi="Times New Roman"/>
          <w:sz w:val="20"/>
        </w:rPr>
      </w:pPr>
      <w:bookmarkStart w:id="873" w:name="docxtextref1392"/>
      <w:bookmarkEnd w:id="873"/>
      <w:r>
        <w:rPr>
          <w:rFonts w:ascii="Times New Roman;serif" w:hAnsi="Times New Roman;serif"/>
          <w:b w:val="false"/>
          <w:sz w:val="22"/>
        </w:rPr>
        <w:t>Notwithstanding the foregoing, the obligations in paragraphs (a)</w:t>
      </w:r>
      <w:r>
        <w:rPr>
          <w:rFonts w:ascii="Times New Roman" w:hAnsi="Times New Roman"/>
          <w:sz w:val="20"/>
        </w:rPr>
        <w:t xml:space="preserve"> </w:t>
      </w:r>
      <w:r>
        <w:rPr>
          <w:rFonts w:ascii="Times New Roman;serif" w:hAnsi="Times New Roman;serif"/>
          <w:b w:val="false"/>
          <w:sz w:val="22"/>
        </w:rPr>
        <w:t xml:space="preserve">and </w:t>
      </w:r>
      <w:bookmarkStart w:id="874" w:name="docxtextref1396"/>
      <w:bookmarkEnd w:id="87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above may be satisfied with respect to financial information of Bidco and its Subsidiaries by furnishing </w:t>
      </w:r>
      <w:bookmarkStart w:id="875" w:name="docxtextref1397"/>
      <w:bookmarkEnd w:id="875"/>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Form </w:t>
      </w:r>
      <w:bookmarkStart w:id="876" w:name="docxtextref1394"/>
      <w:bookmarkEnd w:id="876"/>
      <w:r>
        <w:rPr>
          <w:rFonts w:ascii="Times New Roman;serif" w:hAnsi="Times New Roman;serif"/>
          <w:b w:val="false"/>
          <w:sz w:val="22"/>
        </w:rPr>
        <w:t xml:space="preserve">10-K or </w:t>
      </w:r>
      <w:bookmarkStart w:id="877" w:name="docxtextref1395"/>
      <w:bookmarkEnd w:id="877"/>
      <w:r>
        <w:rPr>
          <w:rFonts w:ascii="Times New Roman;serif" w:hAnsi="Times New Roman;serif"/>
          <w:b w:val="false"/>
          <w:sz w:val="22"/>
        </w:rPr>
        <w:t xml:space="preserve">10-Q (or the equivalent), as applicable, of Bidco (or a parent company thereof) filed with the SEC within the applicable time periods required by applicable law and regulations or </w:t>
      </w:r>
      <w:bookmarkStart w:id="878" w:name="docxtextref1398"/>
      <w:bookmarkEnd w:id="87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applicable financial statements of Holdings (or any direct or indirect parent of Holdings);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t>
      </w:r>
      <w:bookmarkStart w:id="879" w:name="docxtextref1399"/>
      <w:bookmarkEnd w:id="879"/>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to the extent such information relates to a parent of Bidco, such information is accompanied by consolidating information, which may be unaudited, that explains in reasonable detail the differences between the information relating to such parent, on the one hand, and the information relating to Bidco and its Subsidiaries on a standalone basis, on the other hand, and (ii) to the extent such information referred to in </w:t>
      </w:r>
      <w:bookmarkStart w:id="880" w:name="docxtextref1400"/>
      <w:bookmarkEnd w:id="880"/>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or </w:t>
      </w:r>
      <w:bookmarkStart w:id="881" w:name="docxtextref1401"/>
      <w:bookmarkEnd w:id="88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above is in lieu of information required to be provided under paragraph </w:t>
      </w:r>
      <w:bookmarkStart w:id="882" w:name="docxtextref1393"/>
      <w:bookmarkEnd w:id="882"/>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above, such materials are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w:t>
      </w:r>
      <w:bookmarkStart w:id="883" w:name="docxtextref1402"/>
      <w:bookmarkEnd w:id="88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an upcoming maturity date of any Indebtedness occurring within one year from the time such opinion is delivered, (ii) any actual failure to satisfy a financial maintenance covenant or any potential inability to satisfy a financial maintenance covenant on a future date or in a future period, (iii) a civil investigative demand, subpoena or similar request arising from any investigation by any Governmental Authority or any claim, litigation, investigation or proceeding arising from or relating to any of the foregoing) or (iv) the activities, operations, financial results, assets or liabilities of any Unrestricted Subsidiary).</w:t>
      </w:r>
    </w:p>
    <w:p>
      <w:pPr>
        <w:pStyle w:val="TextBody"/>
        <w:bidi w:val="0"/>
        <w:spacing w:before="0" w:after="240"/>
        <w:jc w:val="both"/>
        <w:rPr>
          <w:rFonts w:ascii="Times New Roman" w:hAnsi="Times New Roman"/>
          <w:sz w:val="20"/>
        </w:rPr>
      </w:pPr>
      <w:bookmarkStart w:id="884" w:name="docxtextref1405"/>
      <w:bookmarkEnd w:id="884"/>
      <w:r>
        <w:rPr>
          <w:rFonts w:ascii="Times New Roman;serif" w:hAnsi="Times New Roman;serif"/>
          <w:b w:val="false"/>
          <w:sz w:val="22"/>
        </w:rPr>
        <w:t xml:space="preserve">Documents required to be delivered pursuant to </w:t>
      </w:r>
      <w:r>
        <w:rPr>
          <w:rFonts w:ascii="Times New Roman;serif" w:hAnsi="Times New Roman;serif"/>
          <w:b w:val="false"/>
          <w:sz w:val="22"/>
          <w:u w:val="single"/>
        </w:rPr>
        <w:t>Section 5.01(a)</w:t>
      </w:r>
      <w:r>
        <w:rPr>
          <w:rFonts w:ascii="Times New Roman;serif" w:hAnsi="Times New Roman;serif"/>
          <w:b w:val="false"/>
          <w:sz w:val="22"/>
        </w:rPr>
        <w:t xml:space="preserve">, </w:t>
      </w:r>
      <w:r>
        <w:rPr>
          <w:rFonts w:ascii="Times New Roman;serif" w:hAnsi="Times New Roman;serif"/>
          <w:b w:val="false"/>
          <w:sz w:val="22"/>
          <w:u w:val="single"/>
        </w:rPr>
        <w:t>(b)</w:t>
      </w:r>
      <w:r>
        <w:rPr>
          <w:rFonts w:ascii="Times New Roman" w:hAnsi="Times New Roman"/>
          <w:sz w:val="20"/>
        </w:rPr>
        <w:t xml:space="preserve"> </w:t>
      </w:r>
      <w:r>
        <w:rPr>
          <w:rFonts w:ascii="Times New Roman;serif" w:hAnsi="Times New Roman;serif"/>
          <w:b w:val="false"/>
          <w:sz w:val="22"/>
        </w:rPr>
        <w:t xml:space="preserve">or </w:t>
      </w:r>
      <w:bookmarkStart w:id="885" w:name="docxtextref1406"/>
      <w:bookmarkEnd w:id="885"/>
      <w:r>
        <w:rPr>
          <w:rFonts w:ascii="Times New Roman;serif" w:hAnsi="Times New Roman;serif"/>
          <w:b w:val="false"/>
          <w:sz w:val="22"/>
          <w:u w:val="single"/>
        </w:rPr>
        <w:t>(e)</w:t>
      </w:r>
      <w:r>
        <w:rPr>
          <w:rFonts w:ascii="Times New Roman" w:hAnsi="Times New Roman"/>
          <w:sz w:val="20"/>
        </w:rPr>
        <w:t xml:space="preserve"> </w:t>
      </w:r>
      <w:r>
        <w:rPr>
          <w:rFonts w:ascii="Times New Roman;serif" w:hAnsi="Times New Roman;serif"/>
          <w:b w:val="false"/>
          <w:sz w:val="22"/>
        </w:rPr>
        <w:t xml:space="preserve">(to the extent any such documents are included in materials otherwise filed with the SEC) may be delivered electronically and if so delivered, shall be deemed to have been delivered on the date </w:t>
      </w:r>
      <w:bookmarkStart w:id="886" w:name="docxtextref1407"/>
      <w:bookmarkEnd w:id="88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on which Bidco or a Borrower posts such documents, or provides a link thereto on the Borrower’s website on the Internet at the website address listed on </w:t>
      </w:r>
      <w:bookmarkStart w:id="887" w:name="docxtextref1408"/>
      <w:bookmarkEnd w:id="887"/>
      <w:r>
        <w:rPr>
          <w:rFonts w:ascii="Times New Roman;serif" w:hAnsi="Times New Roman;serif"/>
          <w:b w:val="false"/>
          <w:sz w:val="22"/>
          <w:u w:val="single"/>
        </w:rPr>
        <w:t>Schedule 9.01</w:t>
      </w:r>
      <w:r>
        <w:rPr>
          <w:rFonts w:ascii="Times New Roman" w:hAnsi="Times New Roman"/>
          <w:sz w:val="20"/>
        </w:rPr>
        <w:t xml:space="preserve"> </w:t>
      </w:r>
      <w:r>
        <w:rPr>
          <w:rFonts w:ascii="Times New Roman;serif" w:hAnsi="Times New Roman;serif"/>
          <w:b w:val="false"/>
          <w:sz w:val="22"/>
        </w:rPr>
        <w:t xml:space="preserve">(or otherwise notified pursuant to </w:t>
      </w:r>
      <w:r>
        <w:rPr>
          <w:rFonts w:ascii="Times New Roman;serif" w:hAnsi="Times New Roman;serif"/>
          <w:b w:val="false"/>
          <w:sz w:val="22"/>
          <w:u w:val="single"/>
        </w:rPr>
        <w:t>Section 9.01(d)</w:t>
      </w:r>
      <w:r>
        <w:rPr>
          <w:rFonts w:ascii="Times New Roman;serif" w:hAnsi="Times New Roman;serif"/>
          <w:b w:val="false"/>
          <w:sz w:val="22"/>
        </w:rPr>
        <w:t>); or (ii) on which such documents are posted on Bidco’s or a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maintain paper copies of the documents referred to above, and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240"/>
        <w:jc w:val="both"/>
        <w:rPr>
          <w:rFonts w:ascii="Times New Roman" w:hAnsi="Times New Roman"/>
          <w:sz w:val="20"/>
        </w:rPr>
      </w:pPr>
      <w:bookmarkStart w:id="888" w:name="docxtextref1410"/>
      <w:bookmarkEnd w:id="888"/>
      <w:r>
        <w:rPr>
          <w:rFonts w:ascii="Times New Roman;serif" w:hAnsi="Times New Roman;serif"/>
          <w:b w:val="false"/>
          <w:sz w:val="22"/>
        </w:rPr>
        <w:t>Notwithstanding anything to the contrary herein, neither Bidco nor any Subsidiary shall be required to deliver, disclose, permit the inspection, examination or making of copies of or excerpts from, or any discussion of, any document, information, or other matter (i)</w:t>
      </w:r>
      <w:r>
        <w:rPr>
          <w:rFonts w:ascii="Times New Roman" w:hAnsi="Times New Roman"/>
          <w:sz w:val="20"/>
        </w:rPr>
        <w:t xml:space="preserve"> </w:t>
      </w:r>
      <w:r>
        <w:rPr>
          <w:rFonts w:ascii="Times New Roman;serif" w:hAnsi="Times New Roman;serif"/>
          <w:b w:val="false"/>
          <w:sz w:val="22"/>
        </w:rPr>
        <w:t>that constitutes non-financial trade secrets or non-financial proprietary information, (ii) in respect of which disclosure to the Administrative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-149-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889" w:name="docxtextref1411"/>
      <w:bookmarkEnd w:id="889"/>
      <w:r>
        <w:rPr>
          <w:rFonts w:ascii="Times New Roman;serif" w:hAnsi="Times New Roman;serif"/>
          <w:b w:val="false"/>
          <w:sz w:val="22"/>
        </w:rPr>
        <w:t xml:space="preserve">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w:t>
      </w:r>
      <w:r>
        <w:rPr>
          <w:rFonts w:ascii="Times New Roman;serif" w:hAnsi="Times New Roman;serif"/>
          <w:b w:val="false"/>
          <w:sz w:val="22"/>
          <w:u w:val="single"/>
        </w:rPr>
        <w:t>Section 5.01</w:t>
      </w:r>
      <w:r>
        <w:rPr>
          <w:rFonts w:ascii="Times New Roman;serif" w:hAnsi="Times New Roman;serif"/>
          <w:b w:val="false"/>
          <w:sz w:val="22"/>
        </w:rPr>
        <w:t>) to any third party or (v)</w:t>
      </w:r>
      <w:r>
        <w:rPr>
          <w:rFonts w:ascii="Times New Roman" w:hAnsi="Times New Roman"/>
          <w:sz w:val="20"/>
        </w:rPr>
        <w:t xml:space="preserve"> </w:t>
      </w:r>
      <w:r>
        <w:rPr>
          <w:rFonts w:ascii="Times New Roman;serif" w:hAnsi="Times New Roman;serif"/>
          <w:b w:val="false"/>
          <w:sz w:val="22"/>
        </w:rPr>
        <w:t xml:space="preserve">that relates to any investigation by any Governmental Authority to the extent </w:t>
      </w:r>
      <w:bookmarkStart w:id="890" w:name="docxtextref1412"/>
      <w:bookmarkEnd w:id="890"/>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such information is identifiable to a particular individual and Bidco in good faith determines such information should remain confidential or </w:t>
      </w:r>
      <w:bookmarkStart w:id="891" w:name="docxtextref1413"/>
      <w:bookmarkEnd w:id="891"/>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the information requested is not factual in nature.</w:t>
      </w:r>
    </w:p>
    <w:p>
      <w:pPr>
        <w:pStyle w:val="TextBody"/>
        <w:bidi w:val="0"/>
        <w:spacing w:before="0" w:after="240"/>
        <w:jc w:val="both"/>
        <w:rPr>
          <w:rFonts w:ascii="Times New Roman" w:hAnsi="Times New Roman"/>
          <w:sz w:val="20"/>
        </w:rPr>
      </w:pPr>
      <w:bookmarkStart w:id="892" w:name="docxtextref1416"/>
      <w:bookmarkEnd w:id="892"/>
      <w:r>
        <w:rPr>
          <w:rFonts w:ascii="Times New Roman;serif" w:hAnsi="Times New Roman;serif"/>
          <w:b w:val="false"/>
          <w:sz w:val="22"/>
        </w:rPr>
        <w:t>The Borrowers hereby acknowledge that (a)</w:t>
      </w:r>
      <w:r>
        <w:rPr>
          <w:rFonts w:ascii="Times New Roman" w:hAnsi="Times New Roman"/>
          <w:sz w:val="20"/>
        </w:rPr>
        <w:t xml:space="preserve"> </w:t>
      </w:r>
      <w:r>
        <w:rPr>
          <w:rFonts w:ascii="Times New Roman;serif" w:hAnsi="Times New Roman;serif"/>
          <w:b w:val="false"/>
          <w:sz w:val="22"/>
        </w:rPr>
        <w:t>the Administrative Agent and/or the Joint Lead Arrangers will make available to the Lenders and the Issuing Banks materials and/or information provided by or on behalf of the Borrowers hereunder (collectively, “</w:t>
      </w:r>
      <w:r>
        <w:rPr>
          <w:rFonts w:ascii="Times New Roman;serif" w:hAnsi="Times New Roman;serif"/>
          <w:b w:val="false"/>
          <w:sz w:val="22"/>
          <w:u w:val="single"/>
        </w:rPr>
        <w:t>Borrower Materials</w:t>
      </w:r>
      <w:r>
        <w:rPr>
          <w:rFonts w:ascii="Times New Roman" w:hAnsi="Times New Roman"/>
          <w:sz w:val="20"/>
        </w:rPr>
        <w:t>”</w:t>
      </w:r>
      <w:r>
        <w:rPr>
          <w:rFonts w:ascii="Times New Roman;serif" w:hAnsi="Times New Roman;serif"/>
          <w:b w:val="false"/>
          <w:sz w:val="22"/>
        </w:rPr>
        <w:t>) by posting the Borrower Materials on IntraLinks or another similar electronic system (the “</w:t>
      </w:r>
      <w:r>
        <w:rPr>
          <w:rFonts w:ascii="Times New Roman;serif" w:hAnsi="Times New Roman;serif"/>
          <w:b w:val="false"/>
          <w:sz w:val="22"/>
          <w:u w:val="single"/>
        </w:rPr>
        <w:t>Platform</w:t>
      </w:r>
      <w:r>
        <w:rPr>
          <w:rFonts w:ascii="Times New Roman" w:hAnsi="Times New Roman"/>
          <w:sz w:val="20"/>
        </w:rPr>
        <w:t>”</w:t>
      </w:r>
      <w:r>
        <w:rPr>
          <w:rFonts w:ascii="Times New Roman;serif" w:hAnsi="Times New Roman;serif"/>
          <w:b w:val="false"/>
          <w:sz w:val="22"/>
        </w:rPr>
        <w:t xml:space="preserve">) and </w:t>
      </w:r>
      <w:bookmarkStart w:id="893" w:name="docxtextref1417"/>
      <w:bookmarkEnd w:id="89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certain of the Lenders (each, a “</w:t>
      </w:r>
      <w:r>
        <w:rPr>
          <w:rFonts w:ascii="Times New Roman;serif" w:hAnsi="Times New Roman;serif"/>
          <w:b w:val="false"/>
          <w:sz w:val="22"/>
          <w:u w:val="single"/>
        </w:rPr>
        <w:t>Public Lender</w:t>
      </w:r>
      <w:r>
        <w:rPr>
          <w:rFonts w:ascii="Times New Roman" w:hAnsi="Times New Roman"/>
          <w:sz w:val="20"/>
        </w:rPr>
        <w:t>”</w:t>
      </w:r>
      <w:r>
        <w:rPr>
          <w:rFonts w:ascii="Times New Roman;serif" w:hAnsi="Times New Roman;serif"/>
          <w:b w:val="false"/>
          <w:sz w:val="22"/>
        </w:rPr>
        <w:t xml:space="preserve">) may have personnel who do not wish to receive Material Non-Public Information and who may be engaged in investment and other market-related activities with respect to the Borrowers’ or their Affiliates’ securities. The Borrowers hereby agree that they will use commercially reasonable efforts to identify that portion of the Borrower Materials that may be distributed to the Public Lenders and that </w:t>
      </w:r>
      <w:bookmarkStart w:id="894" w:name="docxtextref1418"/>
      <w:bookmarkEnd w:id="894"/>
      <w:r>
        <w:rPr>
          <w:rFonts w:ascii="Times New Roman;serif" w:hAnsi="Times New Roman;serif"/>
          <w:b w:val="false"/>
          <w:sz w:val="22"/>
        </w:rPr>
        <w:t>(w)</w:t>
      </w:r>
      <w:r>
        <w:rPr>
          <w:rFonts w:ascii="Times New Roman" w:hAnsi="Times New Roman"/>
          <w:sz w:val="20"/>
        </w:rPr>
        <w:t xml:space="preserve"> </w:t>
      </w:r>
      <w:r>
        <w:rPr>
          <w:rFonts w:ascii="Times New Roman;serif" w:hAnsi="Times New Roman;serif"/>
          <w:b w:val="false"/>
          <w:sz w:val="22"/>
        </w:rPr>
        <w:t xml:space="preserve">all such Borrower Materials shall be clearly and conspicuously marked “PUBLIC” which, at a minimum, shall mean that the word “PUBLIC” shall appear prominently on the first page thereof; </w:t>
      </w:r>
      <w:bookmarkStart w:id="895" w:name="docxtextref1419"/>
      <w:bookmarkEnd w:id="89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by marking Borrower Materials “PUBLIC,” the Borrowers shall be deemed to have authorized the Administrative Agent, the Joint Lead Arrangers, the Issuing Banks and the Lenders to treat such Borrower Materials as not containing any Material Non-Public Information (although it may be sensitive and proprietary)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to the extent such Borrower Materials constitute Information, they shall be treated as set forth in </w:t>
      </w:r>
      <w:r>
        <w:rPr>
          <w:rFonts w:ascii="Times New Roman;serif" w:hAnsi="Times New Roman;serif"/>
          <w:b w:val="false"/>
          <w:sz w:val="22"/>
          <w:u w:val="single"/>
        </w:rPr>
        <w:t>Section 9.12</w:t>
      </w:r>
      <w:r>
        <w:rPr>
          <w:rFonts w:ascii="Times New Roman;serif" w:hAnsi="Times New Roman;serif"/>
          <w:b w:val="false"/>
          <w:sz w:val="22"/>
        </w:rPr>
        <w:t xml:space="preserve">); </w:t>
      </w:r>
      <w:bookmarkStart w:id="896" w:name="docxtextref1420"/>
      <w:bookmarkEnd w:id="89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all Borrower Materials marked “PUBLIC” are permitted to be made available through a portion of the Platform designated “Public Side Information”; and </w:t>
      </w:r>
      <w:bookmarkStart w:id="897" w:name="docxtextref1421"/>
      <w:bookmarkEnd w:id="897"/>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the Administrative Agent and the Joint Lead Arrangers shall be entitled to treat any Borrower Materials that are not marked “PUBLIC” as being suitable only for posting on a portion of the Platform not designated “Public Side Information”;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Borrowers’ failure to comply with this sentence shall not constitute a Default or an Event of Default under this Agreement or the Loan Documents. Notwithstanding the foregoing, the Borrowers shall be under no obligation to mark any Borrower Materials as “PUBLIC”. Each Loan Party hereby acknowledges and agrees that, unless Bidco or a Borrower notifies the Administrative Agent in advance, all financial statements and certificates furnished pursuant to </w:t>
      </w:r>
      <w:r>
        <w:rPr>
          <w:rFonts w:ascii="Times New Roman;serif" w:hAnsi="Times New Roman;serif"/>
          <w:b w:val="false"/>
          <w:sz w:val="22"/>
          <w:u w:val="single"/>
        </w:rPr>
        <w:t>Sections 5.01(a)</w:t>
      </w:r>
      <w:r>
        <w:rPr>
          <w:rFonts w:ascii="Times New Roman;serif" w:hAnsi="Times New Roman;serif"/>
          <w:b w:val="false"/>
          <w:sz w:val="22"/>
        </w:rPr>
        <w:t xml:space="preserve">, </w:t>
      </w:r>
      <w:r>
        <w:rPr>
          <w:rFonts w:ascii="Times New Roman;serif" w:hAnsi="Times New Roman;serif"/>
          <w:b w:val="false"/>
          <w:sz w:val="22"/>
          <w:u w:val="single"/>
        </w:rPr>
        <w:t>5.01(b)</w:t>
      </w:r>
      <w:r>
        <w:rPr>
          <w:rFonts w:ascii="Times New Roman;serif" w:hAnsi="Times New Roman;serif"/>
          <w:b w:val="false"/>
          <w:sz w:val="22"/>
        </w:rPr>
        <w:t xml:space="preserve">, </w:t>
      </w:r>
      <w:r>
        <w:rPr>
          <w:rFonts w:ascii="Times New Roman;serif" w:hAnsi="Times New Roman;serif"/>
          <w:b w:val="false"/>
          <w:sz w:val="22"/>
          <w:u w:val="single"/>
        </w:rPr>
        <w:t>5.01(c)</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5.01(d)</w:t>
      </w:r>
      <w:r>
        <w:rPr>
          <w:rFonts w:ascii="Times New Roman" w:hAnsi="Times New Roman"/>
          <w:sz w:val="20"/>
        </w:rPr>
        <w:t xml:space="preserve"> </w:t>
      </w:r>
      <w:r>
        <w:rPr>
          <w:rFonts w:ascii="Times New Roman;serif" w:hAnsi="Times New Roman;serif"/>
          <w:b w:val="false"/>
          <w:sz w:val="22"/>
        </w:rPr>
        <w:t>above are hereby deemed to be suitable for distribution, and to be made available, to all Lenders and may be treated by the Administrative Agent and the Lenders as not containing any Material Non-Public Information.</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5.02 </w:t>
      </w:r>
      <w:r>
        <w:rPr>
          <w:rFonts w:ascii="Times New Roman;serif" w:hAnsi="Times New Roman;serif"/>
          <w:b w:val="false"/>
          <w:sz w:val="22"/>
          <w:u w:val="single"/>
        </w:rPr>
        <w:t>Notices of Material Events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Promptly after any Responsible Officer of Bidco or a Borrower obtains actual knowledge thereof, Holdings, Bidco or a Borrower will furnish to the Administrative Agent (for distribution to each Lender through the Administrative Agent) written notice of the following: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the occurrence of any Default;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to the extent permissible by Requirements of Law, the filing or commencement of any action, suit or proceeding by or before any arbitrator or Governmental Authority against or, to the knowledge of a Financial Officer or another executive officer of Holdings, Bidco or any Subsidiary, affecting Holdings, any Intermediate Parent, Bidco or any Subsidiary, or the receipt of a written notice of an Environmental Liability, in each case that would reasonably be expected to result in a Material Adverse Effect;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the occurrence of any ERISA Event with respect to a Plan sponsored by a Loan Party that would reasonably be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Each notice delivered under this </w:t>
      </w:r>
      <w:r>
        <w:rPr>
          <w:rFonts w:ascii="Times New Roman;serif" w:hAnsi="Times New Roman;serif"/>
          <w:b w:val="false"/>
          <w:sz w:val="22"/>
          <w:u w:val="single"/>
        </w:rPr>
        <w:t>Section 5.02</w:t>
      </w:r>
      <w:r>
        <w:rPr>
          <w:rFonts w:ascii="Times New Roman" w:hAnsi="Times New Roman"/>
          <w:sz w:val="20"/>
        </w:rPr>
        <w:t xml:space="preserve"> </w:t>
      </w:r>
      <w:r>
        <w:rPr>
          <w:rFonts w:ascii="Times New Roman;serif" w:hAnsi="Times New Roman;serif"/>
          <w:b w:val="false"/>
          <w:sz w:val="22"/>
        </w:rPr>
        <w:t>shall be accompanied by a written statement of a Responsible Officer of Holdings, Bidco or a Borrower setting forth the details of the event or development requiring such notice and any action taken or proposed to be taken with respect thereto.</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5.03 </w:t>
      </w:r>
      <w:r>
        <w:rPr>
          <w:rFonts w:ascii="Times New Roman;serif" w:hAnsi="Times New Roman;serif"/>
          <w:b w:val="false"/>
          <w:sz w:val="22"/>
          <w:u w:val="single"/>
        </w:rPr>
        <w:t>Information Regarding Collateral</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898" w:name="docxtextref1426"/>
      <w:bookmarkEnd w:id="898"/>
      <w:r>
        <w:rPr>
          <w:rFonts w:ascii="Times New Roman;serif" w:hAnsi="Times New Roman;serif"/>
          <w:b w:val="false"/>
          <w:sz w:val="22"/>
        </w:rPr>
        <w:t>(a) Holdings, Bidco or a Borrower will furnish to the Administrative Agent prompt (and in any event within thirty (30) days or such longer period as reasonably agreed to by the Administrative Agent) written notice of any change (i)</w:t>
      </w:r>
      <w:r>
        <w:rPr>
          <w:rFonts w:ascii="Times New Roman" w:hAnsi="Times New Roman"/>
          <w:sz w:val="20"/>
        </w:rPr>
        <w:t xml:space="preserve"> </w:t>
      </w:r>
      <w:r>
        <w:rPr>
          <w:rFonts w:ascii="Times New Roman;serif" w:hAnsi="Times New Roman;serif"/>
          <w:b w:val="false"/>
          <w:sz w:val="22"/>
        </w:rPr>
        <w:t>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in a jurisdiction where an organizational identification number is required to be included in a UCC financing statement for such jurisdiction.</w:t>
      </w:r>
    </w:p>
    <w:p>
      <w:pPr>
        <w:pStyle w:val="TextBody"/>
        <w:bidi w:val="0"/>
        <w:spacing w:before="0" w:after="240"/>
        <w:jc w:val="both"/>
        <w:rPr>
          <w:rFonts w:ascii="Times New Roman" w:hAnsi="Times New Roman"/>
          <w:sz w:val="20"/>
        </w:rPr>
      </w:pPr>
      <w:bookmarkStart w:id="899" w:name="docxtextref1435"/>
      <w:bookmarkEnd w:id="899"/>
      <w:r>
        <w:rPr>
          <w:rFonts w:ascii="Times New Roman;serif" w:hAnsi="Times New Roman;serif"/>
          <w:b w:val="false"/>
          <w:sz w:val="22"/>
        </w:rPr>
        <w:t xml:space="preserve">(b) Not later than five Business Days after financial statements are required to be delivered pursuant to </w:t>
      </w:r>
      <w:r>
        <w:rPr>
          <w:rFonts w:ascii="Times New Roman;serif" w:hAnsi="Times New Roman;serif"/>
          <w:b w:val="false"/>
          <w:sz w:val="22"/>
          <w:u w:val="single"/>
        </w:rPr>
        <w:t>Section 5.01(a)</w:t>
      </w:r>
      <w:r>
        <w:rPr>
          <w:rFonts w:ascii="Times New Roman;serif" w:hAnsi="Times New Roman;serif"/>
          <w:b w:val="false"/>
          <w:sz w:val="22"/>
        </w:rPr>
        <w:t>, Holdings, Bidco or a Borrower shall deliver to the Administrative Agent a certificate executed by a Responsible Officer of Holdings, Bidco or a Borrower (i)</w:t>
      </w:r>
      <w:r>
        <w:rPr>
          <w:rFonts w:ascii="Times New Roman" w:hAnsi="Times New Roman"/>
          <w:sz w:val="20"/>
        </w:rPr>
        <w:t xml:space="preserve"> </w:t>
      </w:r>
      <w:r>
        <w:rPr>
          <w:rFonts w:ascii="Times New Roman;serif" w:hAnsi="Times New Roman;serif"/>
          <w:b w:val="false"/>
          <w:sz w:val="22"/>
        </w:rPr>
        <w:t xml:space="preserve">setting forth the information required pursuant to Paragraphs </w:t>
      </w:r>
      <w:bookmarkStart w:id="900" w:name="docxtextref1430"/>
      <w:bookmarkEnd w:id="900"/>
      <w:r>
        <w:rPr>
          <w:rFonts w:ascii="Times New Roman;serif" w:hAnsi="Times New Roman;serif"/>
          <w:b w:val="false"/>
          <w:sz w:val="22"/>
        </w:rPr>
        <w:t xml:space="preserve">1, </w:t>
      </w:r>
      <w:bookmarkStart w:id="901" w:name="docxtextref1431"/>
      <w:bookmarkEnd w:id="901"/>
      <w:r>
        <w:rPr>
          <w:rFonts w:ascii="Times New Roman;serif" w:hAnsi="Times New Roman;serif"/>
          <w:b w:val="false"/>
          <w:sz w:val="22"/>
        </w:rPr>
        <w:t xml:space="preserve">2(a), </w:t>
      </w:r>
      <w:bookmarkStart w:id="902" w:name="docxtextref1432"/>
      <w:bookmarkEnd w:id="902"/>
      <w:r>
        <w:rPr>
          <w:rFonts w:ascii="Times New Roman;serif" w:hAnsi="Times New Roman;serif"/>
          <w:b w:val="false"/>
          <w:sz w:val="22"/>
        </w:rPr>
        <w:t xml:space="preserve">6, </w:t>
      </w:r>
      <w:bookmarkStart w:id="903" w:name="docxtextref1433"/>
      <w:bookmarkEnd w:id="903"/>
      <w:r>
        <w:rPr>
          <w:rFonts w:ascii="Times New Roman;serif" w:hAnsi="Times New Roman;serif"/>
          <w:b w:val="false"/>
          <w:sz w:val="22"/>
        </w:rPr>
        <w:t>7</w:t>
      </w:r>
      <w:r>
        <w:rPr>
          <w:rFonts w:ascii="Times New Roman" w:hAnsi="Times New Roman"/>
          <w:sz w:val="20"/>
        </w:rPr>
        <w:t xml:space="preserve"> </w:t>
      </w:r>
      <w:r>
        <w:rPr>
          <w:rFonts w:ascii="Times New Roman;serif" w:hAnsi="Times New Roman;serif"/>
          <w:b w:val="false"/>
          <w:sz w:val="22"/>
        </w:rPr>
        <w:t xml:space="preserve">and </w:t>
      </w:r>
      <w:bookmarkStart w:id="904" w:name="docxtextref1434"/>
      <w:bookmarkEnd w:id="904"/>
      <w:r>
        <w:rPr>
          <w:rFonts w:ascii="Times New Roman;serif" w:hAnsi="Times New Roman;serif"/>
          <w:b w:val="false"/>
          <w:sz w:val="22"/>
        </w:rPr>
        <w:t>8</w:t>
      </w:r>
      <w:r>
        <w:rPr>
          <w:rFonts w:ascii="Times New Roman" w:hAnsi="Times New Roman"/>
          <w:sz w:val="20"/>
        </w:rPr>
        <w:t xml:space="preserve"> </w:t>
      </w:r>
      <w:r>
        <w:rPr>
          <w:rFonts w:ascii="Times New Roman;serif" w:hAnsi="Times New Roman;serif"/>
          <w:b w:val="false"/>
          <w:sz w:val="22"/>
        </w:rPr>
        <w:t xml:space="preserve">of the Perfection Certificate (in a schedule, supplement or otherwise) or confirming that there has been no change in such information since the later of </w:t>
      </w:r>
      <w:bookmarkStart w:id="905" w:name="docxtextref1436"/>
      <w:bookmarkEnd w:id="90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the date of the Perfection Certificate delivered on the Effective Date or </w:t>
      </w:r>
      <w:bookmarkStart w:id="906" w:name="docxtextref1437"/>
      <w:bookmarkEnd w:id="90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the date of the most recent certificate delivered pursuant to this </w:t>
      </w:r>
      <w:r>
        <w:rPr>
          <w:rFonts w:ascii="Times New Roman;serif" w:hAnsi="Times New Roman;serif"/>
          <w:b w:val="false"/>
          <w:sz w:val="22"/>
          <w:u w:val="single"/>
        </w:rPr>
        <w:t>Section 5.03</w:t>
      </w:r>
      <w:r>
        <w:rPr>
          <w:rFonts w:ascii="Times New Roman;serif" w:hAnsi="Times New Roman;serif"/>
          <w:b w:val="false"/>
          <w:sz w:val="22"/>
        </w:rPr>
        <w:t xml:space="preserve">, (ii) identifying any Wholly Owned Restricted Subsidiary that has become, or ceased to be, a Material Subsidiary, a Guarantor Coverage Material Subsidiary or an Excluded Subsidiary during the most recently ended fiscal year and (iii) certifying that all notices required to be given prior to the date of such certificate by this </w:t>
      </w:r>
      <w:r>
        <w:rPr>
          <w:rFonts w:ascii="Times New Roman;serif" w:hAnsi="Times New Roman;serif"/>
          <w:b w:val="false"/>
          <w:sz w:val="22"/>
          <w:u w:val="single"/>
        </w:rPr>
        <w:t>Section 5.03</w:t>
      </w:r>
      <w:r>
        <w:rPr>
          <w:rFonts w:ascii="Times New Roman" w:hAnsi="Times New Roman"/>
          <w:sz w:val="20"/>
        </w:rPr>
        <w:t xml:space="preserve"> </w:t>
      </w:r>
      <w:r>
        <w:rPr>
          <w:rFonts w:ascii="Times New Roman;serif" w:hAnsi="Times New Roman;serif"/>
          <w:b w:val="false"/>
          <w:sz w:val="22"/>
        </w:rPr>
        <w:t>have been given.</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5.04 </w:t>
      </w:r>
      <w:r>
        <w:rPr>
          <w:rFonts w:ascii="Times New Roman;serif" w:hAnsi="Times New Roman;serif"/>
          <w:b w:val="false"/>
          <w:sz w:val="22"/>
          <w:u w:val="single"/>
        </w:rPr>
        <w:t>Existence; Conduct of Business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Each of Holdings and Bidco will, and will cause any Intermediate Parent and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Bidco) that the failure to do so would not reasonably be expected to have a Material Adverse Effect;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foregoing shall not prohibit any merger, amalgamation, consolidation, liquidation or dissolution permitted under </w:t>
      </w:r>
      <w:r>
        <w:rPr>
          <w:rFonts w:ascii="Times New Roman;serif" w:hAnsi="Times New Roman;serif"/>
          <w:b w:val="false"/>
          <w:sz w:val="22"/>
          <w:u w:val="single"/>
        </w:rPr>
        <w:t>Section 6.03</w:t>
      </w:r>
      <w:r>
        <w:rPr>
          <w:rFonts w:ascii="Times New Roman" w:hAnsi="Times New Roman"/>
          <w:sz w:val="20"/>
        </w:rPr>
        <w:t xml:space="preserve"> </w:t>
      </w:r>
      <w:r>
        <w:rPr>
          <w:rFonts w:ascii="Times New Roman;serif" w:hAnsi="Times New Roman;serif"/>
          <w:b w:val="false"/>
          <w:sz w:val="22"/>
        </w:rPr>
        <w:t xml:space="preserve">or any Asset Sale permitted by </w:t>
      </w:r>
      <w:r>
        <w:rPr>
          <w:rFonts w:ascii="Times New Roman;serif" w:hAnsi="Times New Roman;serif"/>
          <w:b w:val="false"/>
          <w:sz w:val="22"/>
          <w:u w:val="single"/>
        </w:rPr>
        <w:t>Section 6.04</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5.05 </w:t>
      </w:r>
      <w:r>
        <w:rPr>
          <w:rFonts w:ascii="Times New Roman;serif" w:hAnsi="Times New Roman;serif"/>
          <w:b w:val="false"/>
          <w:sz w:val="22"/>
          <w:u w:val="single"/>
        </w:rPr>
        <w:t>Payment of Taxes, Etc.</w:t>
      </w:r>
    </w:p>
    <w:p>
      <w:pPr>
        <w:pStyle w:val="TextBody"/>
        <w:bidi w:val="0"/>
        <w:spacing w:before="0" w:after="240"/>
        <w:jc w:val="both"/>
        <w:rPr>
          <w:rFonts w:ascii="Times New Roman" w:hAnsi="Times New Roman"/>
          <w:sz w:val="20"/>
        </w:rPr>
      </w:pPr>
      <w:bookmarkStart w:id="907" w:name="docxtextref1441"/>
      <w:bookmarkEnd w:id="907"/>
      <w:r>
        <w:rPr>
          <w:rFonts w:ascii="Times New Roman;serif" w:hAnsi="Times New Roman;serif"/>
          <w:b w:val="false"/>
          <w:sz w:val="22"/>
        </w:rPr>
        <w:t>Each of Holdings and Bidco will, and will cause any Intermediate Parent and each Restricted Subsidiary to, pay all Taxes (whether or not shown on a Tax return) imposed upon it or its income or properties or in respect of its property or assets, before the same shall become delinquent or in default, except where (a)</w:t>
      </w:r>
      <w:r>
        <w:rPr>
          <w:rFonts w:ascii="Times New Roman" w:hAnsi="Times New Roman"/>
          <w:sz w:val="20"/>
        </w:rPr>
        <w:t xml:space="preserve"> </w:t>
      </w:r>
      <w:r>
        <w:rPr>
          <w:rFonts w:ascii="Times New Roman;serif" w:hAnsi="Times New Roman;serif"/>
          <w:b w:val="false"/>
          <w:sz w:val="22"/>
        </w:rPr>
        <w:t xml:space="preserve">the same are being contested in good faith by an appropriate proceeding diligently conducted by Holdings, any Intermediate Parent, Bidco or any of its Subsidiaries and Holdings, Bidco or such Subsidiary, as the case may be, has set aside on its books adequate reserves therefor to the extent required by and in accordance with IFRS and applicable local standards, or </w:t>
      </w:r>
      <w:bookmarkStart w:id="908" w:name="docxtextref1442"/>
      <w:bookmarkEnd w:id="90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the failure to make payment would not reasonably be expected, individually or in the aggregate, to result in a Material Adverse Effect.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5.06 </w:t>
      </w:r>
      <w:r>
        <w:rPr>
          <w:rFonts w:ascii="Times New Roman;serif" w:hAnsi="Times New Roman;serif"/>
          <w:b w:val="false"/>
          <w:sz w:val="22"/>
          <w:u w:val="single"/>
        </w:rPr>
        <w:t>Maintenance of Properties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of Holdings and Bidco will, and will cause any Intermediate Parent and each Restricted Subsidiary to, keep and maintain all tangible property material to the conduct of its business in good working order and condition (subject to casualty, condemnation and ordinary wear and tear), which shall include, in the case of the Satellites (other than any Satellites yet to be launched), the provision of tracking, telemetry, control and monitoring of the Satellites in their designated orbital positions in accordance with prudent and diligent standards in the commercial satellite industry, in each case, except where the failure to do so would not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5.07 </w:t>
      </w:r>
      <w:r>
        <w:rPr>
          <w:rFonts w:ascii="Times New Roman;serif" w:hAnsi="Times New Roman;serif"/>
          <w:b w:val="false"/>
          <w:sz w:val="22"/>
          <w:u w:val="single"/>
        </w:rPr>
        <w:t>Insurance</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09" w:name="docxtextref1443"/>
      <w:bookmarkEnd w:id="909"/>
      <w:r>
        <w:rPr>
          <w:rFonts w:ascii="Times New Roman;serif" w:hAnsi="Times New Roman;serif"/>
          <w:b w:val="false"/>
          <w:sz w:val="22"/>
        </w:rPr>
        <w:t>Each of Holdings and Bidco will, and will cause any Intermediate Parent and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Collateral Agent, information presented in reasonable detail as to the insurance so carried. Bidco shall cause each such general liability policy of insurance (other than directors and officers policies, workers’ compensation policies and business interruption insurance) in excess of $10,000,000 and except, in the case of any Foreign Subsidiary where it is not customary to do so in the relevant jurisdiction, to (i)</w:t>
      </w:r>
      <w:r>
        <w:rPr>
          <w:rFonts w:ascii="Times New Roman" w:hAnsi="Times New Roman"/>
          <w:sz w:val="20"/>
        </w:rPr>
        <w:t xml:space="preserve"> </w:t>
      </w:r>
      <w:r>
        <w:rPr>
          <w:rFonts w:ascii="Times New Roman;serif" w:hAnsi="Times New Roman;serif"/>
          <w:b w:val="false"/>
          <w:sz w:val="22"/>
        </w:rPr>
        <w:t>in the case of each liability insurance policy, name the Collateral Agent, on behalf of the Secured Parties, as an additional insured thereunder as its interests may appear and (ii) in the case of each property insurance policy, contain a lenders loss payable clause and mortgagee endorsement, as applicable, that names the Collateral Agent, on behalf of the Secured Parties, as the lender loss payee and mortgagee, as applicable, thereunder.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5.08 </w:t>
      </w:r>
      <w:r>
        <w:rPr>
          <w:rFonts w:ascii="Times New Roman;serif" w:hAnsi="Times New Roman;serif"/>
          <w:b w:val="false"/>
          <w:sz w:val="22"/>
          <w:u w:val="single"/>
        </w:rPr>
        <w:t>Books and Records; Inspection and Audit Rights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10" w:name="docxtextref1445"/>
      <w:bookmarkEnd w:id="910"/>
      <w:r>
        <w:rPr>
          <w:rFonts w:ascii="Times New Roman;serif" w:hAnsi="Times New Roman;serif"/>
          <w:b w:val="false"/>
          <w:sz w:val="22"/>
        </w:rPr>
        <w:t xml:space="preserve">Each of Holdings and Bidco will, and will cause any Intermediate Parent and each of the Restricted Subsidiaries to, maintain proper books of record and account in which entries that are full, true and correct in all material respects and are in conformity with IFRS (or applicable local standards) consistently applied shall be made of all material financial transactions and matters involving the assets and business of Holdings, any Intermediate Parent, Bidco or the Restricted Subsidiaries, as the case may be. Each of Holdings and Bidco will, and will cause any Intermediate Parent and each Restricted Subsidiary to, permit any representatives designated by the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 xml:space="preserve">such representatives shall use commercially reasonable efforts to avoid interruption of the normal business operations of Bidco and its Subsidiaries and (ii) excluding any such visits and inspections during the continuation of an Event of Default, only the Administrative Agent on behalf of the Lenders may exercise visitation and inspection rights of the Administrative Agent and the Lenders under this </w:t>
      </w:r>
      <w:r>
        <w:rPr>
          <w:rFonts w:ascii="Times New Roman;serif" w:hAnsi="Times New Roman;serif"/>
          <w:b w:val="false"/>
          <w:sz w:val="22"/>
          <w:u w:val="single"/>
        </w:rPr>
        <w:t>Section 5.08</w:t>
      </w:r>
      <w:r>
        <w:rPr>
          <w:rFonts w:ascii="Times New Roman" w:hAnsi="Times New Roman"/>
          <w:sz w:val="20"/>
        </w:rPr>
        <w:t xml:space="preserve"> </w:t>
      </w:r>
      <w:r>
        <w:rPr>
          <w:rFonts w:ascii="Times New Roman;serif" w:hAnsi="Times New Roman;serif"/>
          <w:b w:val="false"/>
          <w:sz w:val="22"/>
        </w:rPr>
        <w:t xml:space="preserve">and the Administrative Agent shall not exercise such rights more often than one time during any calendar year absent the existence of an Event of Default and such time shall be at the Borrowers’ expense;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w:t>
      </w:r>
      <w:bookmarkStart w:id="911" w:name="docxtextref1446"/>
      <w:bookmarkEnd w:id="911"/>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when an Event of Default exists, the Administrative Agent (or any of its representatives or independent contractors) may do any of the foregoing at the expense of the Borrowers at any time during normal business hours and upon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12" w:name="docxtextref1447"/>
      <w:bookmarkEnd w:id="912"/>
      <w:r>
        <w:rPr>
          <w:rFonts w:ascii="Times New Roman;serif" w:hAnsi="Times New Roman;serif"/>
          <w:b w:val="false"/>
          <w:sz w:val="22"/>
        </w:rPr>
        <w:t>reasonable advance notice and (b)</w:t>
      </w:r>
      <w:r>
        <w:rPr>
          <w:rFonts w:ascii="Times New Roman" w:hAnsi="Times New Roman"/>
          <w:sz w:val="20"/>
        </w:rPr>
        <w:t xml:space="preserve"> </w:t>
      </w:r>
      <w:r>
        <w:rPr>
          <w:rFonts w:ascii="Times New Roman;serif" w:hAnsi="Times New Roman;serif"/>
          <w:b w:val="false"/>
          <w:sz w:val="22"/>
        </w:rPr>
        <w:t>the Administrative Agent and the Lenders shall give Holdings and Bidco the opportunity to participate in any discussions with Holdings’ or Bidco’s independent public accountants.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5.09 </w:t>
      </w:r>
      <w:r>
        <w:rPr>
          <w:rFonts w:ascii="Times New Roman;serif" w:hAnsi="Times New Roman;serif"/>
          <w:b w:val="false"/>
          <w:sz w:val="22"/>
          <w:u w:val="single"/>
        </w:rPr>
        <w:t>Compliance with Laws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of Holdings and Bidco will, and will cause any Intermediate Parent and each Subsidiary to, comply with all Requirements of Law (including ERISA and other applicable pension laws, Environmental Laws and the USA PATRIOT Act) with respect to it, its property and operations, except where the failure to do so, individually or in the aggregate, would not reasonably be expected to result in a Material Adverse Effect.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5.10 </w:t>
      </w:r>
      <w:r>
        <w:rPr>
          <w:rFonts w:ascii="Times New Roman;serif" w:hAnsi="Times New Roman;serif"/>
          <w:b w:val="false"/>
          <w:sz w:val="22"/>
          <w:u w:val="single"/>
        </w:rPr>
        <w:t>Use of Proceeds and Letters of Credit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Bidco and the Borrowers will use the proceeds of the Term Loans, the Revolving Loans, the Swingline Loans and the Letters of Credit solely in accordance with </w:t>
      </w:r>
      <w:r>
        <w:rPr>
          <w:rFonts w:ascii="Times New Roman;serif" w:hAnsi="Times New Roman;serif"/>
          <w:b w:val="false"/>
          <w:sz w:val="22"/>
          <w:u w:val="single"/>
        </w:rPr>
        <w:t>Section 3.17</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5.11 </w:t>
      </w:r>
      <w:r>
        <w:rPr>
          <w:rFonts w:ascii="Times New Roman;serif" w:hAnsi="Times New Roman;serif"/>
          <w:b w:val="false"/>
          <w:sz w:val="22"/>
          <w:u w:val="single"/>
        </w:rPr>
        <w:t>Additional Subsidiaries; Guarantor Coverage Test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13" w:name="docxtextref1450"/>
      <w:bookmarkEnd w:id="913"/>
      <w:r>
        <w:rPr>
          <w:rFonts w:ascii="Times New Roman;serif" w:hAnsi="Times New Roman;serif"/>
          <w:b w:val="false"/>
          <w:sz w:val="22"/>
        </w:rPr>
        <w:t xml:space="preserve">(a) If (i) any additional Domestic Restricted Subsidiary that is not an Excluded Subsidiary or Intermediate Parent is formed or acquired after the Effective Date, (ii) any Domestic Restricted Subsidiary ceases to be an Excluded Subsidiary (other than any Immaterial Subsidiary that becomes a Material Subsidiary, which shall be subject to </w:t>
      </w:r>
      <w:r>
        <w:rPr>
          <w:rFonts w:ascii="Times New Roman;serif" w:hAnsi="Times New Roman;serif"/>
          <w:b w:val="false"/>
          <w:sz w:val="22"/>
          <w:u w:val="single"/>
        </w:rPr>
        <w:t>Section 5.11(b)</w:t>
      </w:r>
      <w:r>
        <w:rPr>
          <w:rFonts w:ascii="Times New Roman;serif" w:hAnsi="Times New Roman;serif"/>
          <w:b w:val="false"/>
          <w:sz w:val="22"/>
        </w:rPr>
        <w:t>) or (iii) Bidco, at its option, elects to cause a Domestic Subsidiary that is otherwise an Excluded Subsidiary, or to the extent reasonably acceptable to the Administrative Agent, a Foreign Subsidiary that is otherwise an Excluded Subsidiary (including any Subsidiary that is not a Wholly Owned Subsidiary or any consolidated Affiliate in which Bidco and its Subsidiaries own no Equity Interest) to become a Subsidiary Loan Party (such Subsidiary Loan Party, a “</w:t>
      </w:r>
      <w:r>
        <w:rPr>
          <w:rFonts w:ascii="Times New Roman;serif" w:hAnsi="Times New Roman;serif"/>
          <w:b w:val="false"/>
          <w:sz w:val="22"/>
          <w:u w:val="single"/>
        </w:rPr>
        <w:t>Borrower-Designated Guarantor</w:t>
      </w:r>
      <w:r>
        <w:rPr>
          <w:rFonts w:ascii="Times New Roman" w:hAnsi="Times New Roman"/>
          <w:sz w:val="20"/>
        </w:rPr>
        <w:t>”</w:t>
      </w:r>
      <w:r>
        <w:rPr>
          <w:rFonts w:ascii="Times New Roman;serif" w:hAnsi="Times New Roman;serif"/>
          <w:b w:val="false"/>
          <w:sz w:val="22"/>
        </w:rPr>
        <w:t>), then Holdings, Bidco or a Borrower will, within 30 days (or such longer period as may be agreed to by the Administrative Agent in its reasonable discretion) after (x)</w:t>
      </w:r>
      <w:r>
        <w:rPr>
          <w:rFonts w:ascii="Times New Roman" w:hAnsi="Times New Roman"/>
          <w:sz w:val="20"/>
        </w:rPr>
        <w:t xml:space="preserve"> </w:t>
      </w:r>
      <w:r>
        <w:rPr>
          <w:rFonts w:ascii="Times New Roman;serif" w:hAnsi="Times New Roman;serif"/>
          <w:b w:val="false"/>
          <w:sz w:val="22"/>
        </w:rPr>
        <w:t xml:space="preserve">such newly formed or acquired Restricted Subsidiary or any Intermediate Parent is formed or acquired, </w:t>
      </w:r>
      <w:bookmarkStart w:id="914" w:name="docxtextref1451"/>
      <w:bookmarkEnd w:id="91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such Restricted Subsidiary ceases to be an Excluded Subsidiary or </w:t>
      </w:r>
      <w:bookmarkStart w:id="915" w:name="docxtextref1452"/>
      <w:bookmarkEnd w:id="915"/>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Bidco has made such election, notify the Administrative Agent thereof, and will cause such Restricted Subsidiary (unless such Restricted Subsidiary is an Excluded Subsidiary) or any Intermediate Parent to satisfy the Collateral and Guarantee Requirement with respect to such Restricted Subsidiary or any Intermediate Parent and with respect to any Equity Interest in or Indebtedness of such Restricted Subsidiary or any Intermediate Parent owned by or on behalf of any Loan Party within 30 days (or 60 days in the case of a Borrower-Designated Guarantor that is a Foreign Subsidiary) after such notice (or such longer period as the Administrative Agent shall reasonably agree), Bidco shall deliver to the Administrative Agent a completed Perfection Certificate (or supplement thereof) with respect to such Domestic Restricted Subsidiary or any Intermediate Parent signed by a Responsible Officer, together with all attachments contemplated thereby concurrently with the satisfaction of the Collateral and Guarantee Requirement with respect to such Restricted Subsidiary or any Intermediate Parent.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Within 45 days (or such longer period as otherwise provided in this Agreement or as the Administrative Agent may reasonably agree) after Holdings, Bidco or a Borrower identifies any new Material Subsidiary that is a Domestic Subsidiary pursuant to </w:t>
      </w:r>
      <w:r>
        <w:rPr>
          <w:rFonts w:ascii="Times New Roman;serif" w:hAnsi="Times New Roman;serif"/>
          <w:b w:val="false"/>
          <w:sz w:val="22"/>
          <w:u w:val="single"/>
        </w:rPr>
        <w:t>Section 5.03(b)</w:t>
      </w:r>
      <w:r>
        <w:rPr>
          <w:rFonts w:ascii="Times New Roman;serif" w:hAnsi="Times New Roman;serif"/>
          <w:b w:val="false"/>
          <w:sz w:val="22"/>
        </w:rPr>
        <w:t xml:space="preserve">, all actions (if any) required to be taken with respect to such Subsidiary in order to satisfy the Collateral and Guarantee Requirement shall have been taken with respect to such Subsidiary, to the extent not already satisfied pursuant to </w:t>
      </w:r>
      <w:r>
        <w:rPr>
          <w:rFonts w:ascii="Times New Roman;serif" w:hAnsi="Times New Roman;serif"/>
          <w:b w:val="false"/>
          <w:sz w:val="22"/>
          <w:u w:val="single"/>
        </w:rPr>
        <w:t>Section 5.11(a)</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Bidco shall ensure that, subject to the Agreed Security Principles, the Guarantor Coverage Test is satisfied on:</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the date which is 150 days after (and excluding) the Effective Date (or such later date as the Administrative Agent may reasonably agree), by reference to the financial statements that are required to be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or, if no such statements have been delivered, the most recent audited consolidated financial statements of the Company (or, at the option of Bidco, such other financial statements for the most recently completed Test Period prior to such test date for which Bidco has sufficient available information to be able to determine the Guarantor Coverage Test);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thereafter, on the date on which the financial statements that are required to be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are required to be delivered to the Administrative Agent in respect of each fiscal year ending after the date on which the Guarantor Coverage Test is required to be satisfied in accordance with paragraph (i) above, by reference to such financial statements.</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If, in accordance with the provisions of paragraph (c)(ii) above, the Guarantor Coverage Test is not satisfied on any test date referred to in paragraph (c)(ii) above:</w:t>
      </w:r>
    </w:p>
    <w:p>
      <w:pPr>
        <w:pStyle w:val="TextBody"/>
        <w:bidi w:val="0"/>
        <w:spacing w:before="0" w:after="240"/>
        <w:jc w:val="both"/>
        <w:rPr>
          <w:rFonts w:ascii="Times New Roman" w:hAnsi="Times New Roman"/>
          <w:sz w:val="20"/>
        </w:rPr>
      </w:pPr>
      <w:r>
        <w:rPr>
          <w:rFonts w:ascii="Times New Roman;serif" w:hAnsi="Times New Roman;serif"/>
          <w:b w:val="false"/>
          <w:sz w:val="22"/>
        </w:rPr>
        <w:t>(i) Bidco shall ensure that within 150 days of such test date (or such later date as the Administrative Agent may reasonably agree), such other Restricted Subsidiaries of Bidco (as Bidco may elect in its sole discretion) shall, subject to and on terms consistent with the Agreed Security Principles, accede as Guarantors to ensure that the Guarantor Coverage Test is satisfied (calculated as if such Guarantors had been Guarantors at such test date); and</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if Bidco has satisfied its obligations under paragraph (i) above within such 150 days of such test date (or such later date as the Administrative Agent may reasonably agree), no Default, Event of Default or other breach of the Loan Documents shall arise in respect 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Bidco shall ensure that, subject to and on terms consistent with the Agreed Security Principles: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each Restricted Subsidiary that is a Guarantor Coverage Material Subsidiary at the Effective Date and that has not ceased to be a Guarantor Coverage Material Subsidiary at the date referenced in paragraph (c)(i) above, tested by reference to the financial statements that are required to be delivered pursuant to </w:t>
      </w:r>
      <w:r>
        <w:rPr>
          <w:rFonts w:ascii="Times New Roman;serif" w:hAnsi="Times New Roman;serif"/>
          <w:b w:val="false"/>
          <w:sz w:val="22"/>
          <w:u w:val="single"/>
        </w:rPr>
        <w:t xml:space="preserve">Section 5.01(a) </w:t>
      </w:r>
      <w:r>
        <w:rPr>
          <w:rFonts w:ascii="Times New Roman;serif" w:hAnsi="Times New Roman;serif"/>
          <w:b w:val="false"/>
          <w:sz w:val="22"/>
        </w:rPr>
        <w:t xml:space="preserve">or, if no such statements have been delivered, the most recent audited consolidated financial statements of the Company (or, at the option of Bidco, such other financial statements for the most recently completed Test Period) shall have acceded as a Guarantor within the time period described for satisfaction of the Guarantor Coverage Test in paragraph (c)(i) above and taken all actions (if any) required to be taken with respect to such Subsidiary in order to satisfy the Collateral and Guarantee Requirement, to the extent not already satisfied pursuant to </w:t>
      </w:r>
      <w:r>
        <w:rPr>
          <w:rFonts w:ascii="Times New Roman;serif" w:hAnsi="Times New Roman;serif"/>
          <w:b w:val="false"/>
          <w:sz w:val="22"/>
          <w:u w:val="single"/>
        </w:rPr>
        <w:t>Section 5.11(a)</w:t>
      </w:r>
      <w:r>
        <w:rPr>
          <w:rFonts w:ascii="Times New Roman;serif" w:hAnsi="Times New Roman;serif"/>
          <w:b w:val="false"/>
          <w:sz w:val="22"/>
        </w:rPr>
        <w:t>;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each Restricted Subsidiary that becomes a Guarantor Coverage Material Subsidiary after the Effective Date (by reference to the most recent financial statements that are required to be delivered pursuant to </w:t>
      </w:r>
      <w:r>
        <w:rPr>
          <w:rFonts w:ascii="Times New Roman;serif" w:hAnsi="Times New Roman;serif"/>
          <w:b w:val="false"/>
          <w:sz w:val="22"/>
          <w:u w:val="single"/>
        </w:rPr>
        <w:t>Section 5.01(a)</w:t>
      </w:r>
      <w:r>
        <w:rPr>
          <w:rFonts w:ascii="Times New Roman;serif" w:hAnsi="Times New Roman;serif"/>
          <w:b w:val="false"/>
          <w:sz w:val="22"/>
        </w:rPr>
        <w:t xml:space="preserve">) will accede as a Guarantor within 150 days of the date on which such financial statements are required to be delivered to the Administrative Agent in accordance with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such later date as the Administrative Agent may reasonably agree) and take all actions (if any) required to be taken with respect to such Subsidiary in order to satisfy the Collateral and Guarantee Requirement, to the extent not already satisfied pursuant to </w:t>
      </w:r>
      <w:r>
        <w:rPr>
          <w:rFonts w:ascii="Times New Roman;serif" w:hAnsi="Times New Roman;serif"/>
          <w:b w:val="false"/>
          <w:sz w:val="22"/>
          <w:u w:val="single"/>
        </w:rPr>
        <w:t>Section 5.11(a)</w:t>
      </w:r>
      <w:r>
        <w:rPr>
          <w:rFonts w:ascii="Times New Roman;serif" w:hAnsi="Times New Roman;serif"/>
          <w:b w:val="false"/>
          <w:sz w:val="22"/>
        </w:rPr>
        <w: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5.12 </w:t>
      </w:r>
      <w:r>
        <w:rPr>
          <w:rFonts w:ascii="Times New Roman;serif" w:hAnsi="Times New Roman;serif"/>
          <w:b w:val="false"/>
          <w:sz w:val="22"/>
          <w:u w:val="single"/>
        </w:rPr>
        <w:t>Further Assurances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16" w:name="docxtextref1456"/>
      <w:bookmarkEnd w:id="916"/>
      <w:r>
        <w:rPr>
          <w:rFonts w:ascii="Times New Roman;serif" w:hAnsi="Times New Roman;serif"/>
          <w:b w:val="false"/>
          <w:sz w:val="22"/>
        </w:rPr>
        <w:t>(a) Subject to (i)</w:t>
      </w:r>
      <w:r>
        <w:rPr>
          <w:rFonts w:ascii="Times New Roman" w:hAnsi="Times New Roman"/>
          <w:sz w:val="20"/>
        </w:rPr>
        <w:t xml:space="preserve"> </w:t>
      </w:r>
      <w:r>
        <w:rPr>
          <w:rFonts w:ascii="Times New Roman;serif" w:hAnsi="Times New Roman;serif"/>
          <w:b w:val="false"/>
          <w:sz w:val="22"/>
        </w:rPr>
        <w:t>the last paragraph of the definition of “Collateral and Guarantee Requirement” and (ii) in the case of Non-U.S. Loan Parties, the Agreed Security Principles, each of Holdings and Bidco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w:t>
      </w:r>
    </w:p>
    <w:p>
      <w:pPr>
        <w:pStyle w:val="TextBody"/>
        <w:bidi w:val="0"/>
        <w:spacing w:before="0" w:after="240"/>
        <w:jc w:val="both"/>
        <w:rPr>
          <w:rFonts w:ascii="Times New Roman" w:hAnsi="Times New Roman"/>
          <w:sz w:val="20"/>
        </w:rPr>
      </w:pPr>
      <w:bookmarkStart w:id="917" w:name="docxtextref1458"/>
      <w:bookmarkEnd w:id="917"/>
      <w:r>
        <w:rPr>
          <w:rFonts w:ascii="Times New Roman;serif" w:hAnsi="Times New Roman;serif"/>
          <w:b w:val="false"/>
          <w:sz w:val="22"/>
        </w:rPr>
        <w:t xml:space="preserve">(b) If, after the Effective Date, any material assets (other than Excluded Assets), are acquired by any Loan Party or are held by any Subsidiary on or after the time it becomes a Loan Party pursuant to </w:t>
      </w:r>
      <w:r>
        <w:rPr>
          <w:rFonts w:ascii="Times New Roman;serif" w:hAnsi="Times New Roman;serif"/>
          <w:b w:val="false"/>
          <w:sz w:val="22"/>
          <w:u w:val="single"/>
        </w:rPr>
        <w:t>Section 5.11</w:t>
      </w:r>
      <w:r>
        <w:rPr>
          <w:rFonts w:ascii="Times New Roman" w:hAnsi="Times New Roman"/>
          <w:sz w:val="20"/>
        </w:rPr>
        <w:t xml:space="preserve"> </w:t>
      </w:r>
      <w:r>
        <w:rPr>
          <w:rFonts w:ascii="Times New Roman;serif" w:hAnsi="Times New Roman;serif"/>
          <w:b w:val="false"/>
          <w:sz w:val="22"/>
        </w:rPr>
        <w:t>(other than assets constituting Collateral under a Security Document that become subject to the Lien created by such Security Document upon acquisition thereof or constituting Excluded Assets), Bidco will notify the Administrative Agent thereof, and, if requested by the Administrative Agent, Bidco will cause such assets to be subjected to a Lien securing the Secured Obligations and will take and cause the other U.S. Loan Parties to take, such actions as shall be necessary and reasonably requested by the Administrative Agent to grant and perfect such Liens, including actions described in paragraph (a)</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5.12</w:t>
      </w:r>
      <w:r>
        <w:rPr>
          <w:rFonts w:ascii="Times New Roman" w:hAnsi="Times New Roman"/>
          <w:sz w:val="20"/>
        </w:rPr>
        <w:t xml:space="preserve"> </w:t>
      </w:r>
      <w:r>
        <w:rPr>
          <w:rFonts w:ascii="Times New Roman;serif" w:hAnsi="Times New Roman;serif"/>
          <w:b w:val="false"/>
          <w:sz w:val="22"/>
        </w:rPr>
        <w:t>and as required pursuant to the “Collateral and Guarantee Requirement,” all at the expense of the Loan Parties and subject to the last paragraph of the definition of the term “Collateral and Guarantee Requirement.”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5.13 </w:t>
      </w:r>
      <w:r>
        <w:rPr>
          <w:rFonts w:ascii="Times New Roman;serif" w:hAnsi="Times New Roman;serif"/>
          <w:b w:val="false"/>
          <w:sz w:val="22"/>
          <w:u w:val="single"/>
        </w:rPr>
        <w:t>Designation of Subsidiaries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18" w:name="docxtextref1459"/>
      <w:bookmarkEnd w:id="918"/>
      <w:r>
        <w:rPr>
          <w:rFonts w:ascii="Times New Roman;serif" w:hAnsi="Times New Roman;serif"/>
          <w:b w:val="false"/>
          <w:sz w:val="22"/>
        </w:rPr>
        <w:t xml:space="preserve">Bidco may at any time after the Effective Date designate any Restricted Subsidiary (other than any Borrower) as an Unrestricted Subsidiary or any Unrestricted Subsidiary as a Restricted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immediately after such designation on a Pro Forma Basis, no Event of Default shall have occurred and be continuing. The designation of any Subsidiary as an Unrestricted Subsidiary after the Effective Date shall constitute an Investment by Bidco therein at the date of designation in an amount equal to the fair market value of Bidco’s or its Subsidiary’s (as applicable) investment therein. The designation of any Unrestricted Subsidiary as a Restricted Subsidiary shall constitute (i)</w:t>
      </w:r>
      <w:r>
        <w:rPr>
          <w:rFonts w:ascii="Times New Roman" w:hAnsi="Times New Roman"/>
          <w:sz w:val="20"/>
        </w:rPr>
        <w:t xml:space="preserve"> </w:t>
      </w:r>
      <w:r>
        <w:rPr>
          <w:rFonts w:ascii="Times New Roman;serif" w:hAnsi="Times New Roman;serif"/>
          <w:b w:val="false"/>
          <w:sz w:val="22"/>
        </w:rPr>
        <w:t>the incurrence at the time of designation of any Investment, Indebtedness or Liens of such Subsidiary existing at such time and (ii) a return on any Investment by Bidco in Unrestricted Subsidiaries pursuant to the preceding sentence in an amount equal to the fair market value at the date of such designation of Bidco’s or its Subsidiary’s (as applicable) Investment in such Subsidiary.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5.14 </w:t>
      </w:r>
      <w:r>
        <w:rPr>
          <w:rFonts w:ascii="Times New Roman;serif" w:hAnsi="Times New Roman;serif"/>
          <w:b w:val="false"/>
          <w:sz w:val="22"/>
          <w:u w:val="single"/>
        </w:rPr>
        <w:t>Certain Post-Closing Obligations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19" w:name="docxtextref1460"/>
      <w:bookmarkEnd w:id="919"/>
      <w:r>
        <w:rPr>
          <w:rFonts w:ascii="Times New Roman;serif" w:hAnsi="Times New Roman;serif"/>
          <w:b w:val="false"/>
          <w:sz w:val="22"/>
        </w:rPr>
        <w:t xml:space="preserve">As promptly as practicable, and in any event within the time periods after the Effective Date specified in </w:t>
      </w:r>
      <w:r>
        <w:rPr>
          <w:rFonts w:ascii="Times New Roman;serif" w:hAnsi="Times New Roman;serif"/>
          <w:b w:val="false"/>
          <w:sz w:val="22"/>
          <w:u w:val="single"/>
        </w:rPr>
        <w:t>Schedule 5.14</w:t>
      </w:r>
      <w:r>
        <w:rPr>
          <w:rFonts w:ascii="Times New Roman" w:hAnsi="Times New Roman"/>
          <w:sz w:val="20"/>
        </w:rPr>
        <w:t xml:space="preserve"> </w:t>
      </w:r>
      <w:r>
        <w:rPr>
          <w:rFonts w:ascii="Times New Roman;serif" w:hAnsi="Times New Roman;serif"/>
          <w:b w:val="false"/>
          <w:sz w:val="22"/>
        </w:rPr>
        <w:t xml:space="preserve">or such later date as the Administrative Agent reasonably agrees to in writing, including to reasonably accommodate circumstances unforeseen on the Effective Date, Holdings, Bidco and each other Loan Party shall deliver the documents or take the actions specified on </w:t>
      </w:r>
      <w:bookmarkStart w:id="920" w:name="docxtextref1461"/>
      <w:bookmarkEnd w:id="920"/>
      <w:r>
        <w:rPr>
          <w:rFonts w:ascii="Times New Roman;serif" w:hAnsi="Times New Roman;serif"/>
          <w:b w:val="false"/>
          <w:sz w:val="22"/>
          <w:u w:val="single"/>
        </w:rPr>
        <w:t>Schedule 5.14</w:t>
      </w:r>
      <w:r>
        <w:rPr>
          <w:rFonts w:ascii="Times New Roman" w:hAnsi="Times New Roman"/>
          <w:sz w:val="20"/>
        </w:rPr>
        <w:t xml:space="preserve"> </w:t>
      </w:r>
      <w:r>
        <w:rPr>
          <w:rFonts w:ascii="Times New Roman;serif" w:hAnsi="Times New Roman;serif"/>
          <w:b w:val="false"/>
          <w:sz w:val="22"/>
        </w:rPr>
        <w:t>that would have been required to be delivered or taken on the Effective Date, in each case except to the extent otherwise agreed by the Administrative Agent pursuant to its authority as set forth in the definition of the term “Collateral and Guarantee Requirement.”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5.15 </w:t>
      </w:r>
      <w:r>
        <w:rPr>
          <w:rFonts w:ascii="Times New Roman;serif" w:hAnsi="Times New Roman;serif"/>
          <w:b w:val="false"/>
          <w:sz w:val="22"/>
          <w:u w:val="single"/>
        </w:rPr>
        <w:t>Maintenance of Rating of Bidco and the Facilities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21" w:name="docxtextref1462"/>
      <w:bookmarkEnd w:id="921"/>
      <w:r>
        <w:rPr>
          <w:rFonts w:ascii="Times New Roman;serif" w:hAnsi="Times New Roman;serif"/>
          <w:b w:val="false"/>
          <w:sz w:val="22"/>
        </w:rPr>
        <w:t>The Loan Parties shall use commercially reasonable efforts to maintain (i)</w:t>
      </w:r>
      <w:r>
        <w:rPr>
          <w:rFonts w:ascii="Times New Roman" w:hAnsi="Times New Roman"/>
          <w:sz w:val="20"/>
        </w:rPr>
        <w:t xml:space="preserve"> </w:t>
      </w:r>
      <w:r>
        <w:rPr>
          <w:rFonts w:ascii="Times New Roman;serif" w:hAnsi="Times New Roman;serif"/>
          <w:b w:val="false"/>
          <w:sz w:val="22"/>
        </w:rPr>
        <w:t>a public corporate credit rating (but not any particular rating) from S&amp;P and a public corporate family rating (but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 any particular rating) from Moody’s, in each case in respect of Bidco and (ii) a public rating (but not any particular rating) in respect of the Loans from each of S&amp;P and Moody’s.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5.16 </w:t>
      </w:r>
      <w:r>
        <w:rPr>
          <w:rFonts w:ascii="Times New Roman;serif" w:hAnsi="Times New Roman;serif"/>
          <w:b w:val="false"/>
          <w:sz w:val="22"/>
          <w:u w:val="single"/>
        </w:rPr>
        <w:t>Lines of Business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Bidco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pStyle w:val="TextBody"/>
        <w:bidi w:val="0"/>
        <w:spacing w:before="0" w:after="240"/>
        <w:jc w:val="both"/>
        <w:rPr>
          <w:rFonts w:ascii="Times New Roman" w:hAnsi="Times New Roman"/>
          <w:sz w:val="20"/>
        </w:rPr>
      </w:pPr>
      <w:bookmarkStart w:id="922" w:name="docxtextref1471"/>
      <w:bookmarkEnd w:id="922"/>
      <w:r>
        <w:rPr>
          <w:rFonts w:ascii="Times New Roman;serif" w:hAnsi="Times New Roman;serif"/>
          <w:b w:val="false"/>
          <w:caps/>
          <w:sz w:val="22"/>
        </w:rPr>
        <w:t xml:space="preserve">Section 5.17 </w:t>
      </w:r>
      <w:r>
        <w:rPr>
          <w:rFonts w:ascii="Times New Roman;serif" w:hAnsi="Times New Roman;serif"/>
          <w:b w:val="false"/>
          <w:sz w:val="22"/>
          <w:u w:val="single"/>
        </w:rPr>
        <w:t>Transactions with Affiliates.</w:t>
      </w:r>
      <w:r>
        <w:rPr>
          <w:rFonts w:ascii="Times New Roman" w:hAnsi="Times New Roman"/>
          <w:sz w:val="20"/>
        </w:rPr>
        <w:t xml:space="preserve"> </w:t>
      </w:r>
      <w:r>
        <w:rPr>
          <w:rFonts w:ascii="Times New Roman;serif" w:hAnsi="Times New Roman;serif"/>
          <w:b w:val="false"/>
          <w:sz w:val="22"/>
        </w:rPr>
        <w:t xml:space="preserve">Bidco will conduct, and cause each of the Restricted Subsidiaries to conduct, all transactions with any of its Affiliates (other than Bidco and the Restricted Subsidiaries (including any entity that becomes a Restricted Subsidiary as a result of such transaction) involving aggregate payments or consideration in excess of the greater of $75,000,000 and 10% of Consolidated EBITDA for the most recently ended Test Period, calculated on a Pro Forma Basis, at the time of such Affiliate transaction, for any individual transaction or series of related transactions, on terms substantially as favorable to Bidco or such Restricted Subsidiary as would be obtainable by such Person at the time in a comparable arm’s-length transaction with a Person other than an Affiliate;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foregoing restrictions shall not apply to: (i)</w:t>
      </w:r>
      <w:r>
        <w:rPr>
          <w:rFonts w:ascii="Times New Roman" w:hAnsi="Times New Roman"/>
          <w:sz w:val="20"/>
        </w:rPr>
        <w:t xml:space="preserve"> </w:t>
      </w:r>
      <w:r>
        <w:rPr>
          <w:rFonts w:ascii="Times New Roman;serif" w:hAnsi="Times New Roman;serif"/>
          <w:b w:val="false"/>
          <w:sz w:val="22"/>
        </w:rPr>
        <w:t xml:space="preserve">any merger, amalgamation or consolidation with any direct or indirect parent of Bidco;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parent entity shall have no material liabilities and no material assets other than cash, Cash Equivalents and the Equity Interests of Bidco and such merger, amalgamation or consolidation is otherwise consummated in compliance with this Agreement, (ii) the payment of fees and expenses related to the Transactions, (iii)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w:t>
      </w:r>
      <w:r>
        <w:rPr>
          <w:rFonts w:ascii="Times New Roman;serif" w:hAnsi="Times New Roman;serif"/>
          <w:b w:val="false"/>
          <w:sz w:val="22"/>
          <w:u w:val="single"/>
        </w:rPr>
        <w:t>Section 6.05(b)(xv)(H)</w:t>
      </w:r>
      <w:r>
        <w:rPr>
          <w:rFonts w:ascii="Times New Roman;serif" w:hAnsi="Times New Roman;serif"/>
          <w:b w:val="false"/>
          <w:sz w:val="22"/>
        </w:rPr>
        <w:t xml:space="preserve">, (iv) issuances of Equity Interests of Bidco to the extent otherwise permitted by this Agreement, </w:t>
      </w:r>
      <w:bookmarkStart w:id="923" w:name="docxtextref1472"/>
      <w:bookmarkEnd w:id="923"/>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employment and severance arrangements between Bidco and the Restricted Subsidiaries and their respective officers and employees in the ordinary course of business or otherwise in connection with the Transactions (including loans and advances pursuant to clause </w:t>
      </w:r>
      <w:bookmarkStart w:id="924" w:name="docxtextref1470"/>
      <w:bookmarkEnd w:id="924"/>
      <w:r>
        <w:rPr>
          <w:rFonts w:ascii="Times New Roman;serif" w:hAnsi="Times New Roman;serif"/>
          <w:b w:val="false"/>
          <w:sz w:val="22"/>
        </w:rPr>
        <w:t>(16)</w:t>
      </w:r>
      <w:r>
        <w:rPr>
          <w:rFonts w:ascii="Times New Roman" w:hAnsi="Times New Roman"/>
          <w:sz w:val="20"/>
        </w:rPr>
        <w:t xml:space="preserve"> </w:t>
      </w:r>
      <w:r>
        <w:rPr>
          <w:rFonts w:ascii="Times New Roman;serif" w:hAnsi="Times New Roman;serif"/>
          <w:b w:val="false"/>
          <w:sz w:val="22"/>
        </w:rPr>
        <w:t xml:space="preserve">of the definition of “Permitted Investments”), (vi) payments by Bidco and the Restricted Subsidiaries in respect of any Tax relief or pursuant to any tax sharing agreement or arrangement among Bidco and the Restricted Subsidiaries and other Persons with which Bidco or any of its Restricted Subsidiaries is required or permitted to file a consolidated, combined or unitary tax return or with which Bidco or any Restricted Subsidiary is a part of a group for tax purposes, (vii) the payment of customary fees and reasonable out-of-pocket costs to, and indemnities provided on behalf of, members of the Board of Directors, officers and employees of Holdings (or any direct or indirect parent thereof), any Intermediate Parent, Bidco and the Restricted Subsidiaries in the ordinary course of business to the extent attributable to the ownership or operation of Bidco and the Restricted Subsidiaries, (viii) transactions pursuant to the Tax Structure Memorandum and/or permitted agreements in existence or contemplated on the Effective Date and set forth on </w:t>
      </w:r>
      <w:bookmarkStart w:id="925" w:name="docxtextref1476"/>
      <w:bookmarkEnd w:id="925"/>
      <w:r>
        <w:rPr>
          <w:rFonts w:ascii="Times New Roman;serif" w:hAnsi="Times New Roman;serif"/>
          <w:b w:val="false"/>
          <w:sz w:val="22"/>
          <w:u w:val="single"/>
        </w:rPr>
        <w:t>Schedule 5.17</w:t>
      </w:r>
      <w:r>
        <w:rPr>
          <w:rFonts w:ascii="Times New Roman" w:hAnsi="Times New Roman"/>
          <w:sz w:val="20"/>
        </w:rPr>
        <w:t xml:space="preserve"> </w:t>
      </w:r>
      <w:r>
        <w:rPr>
          <w:rFonts w:ascii="Times New Roman;serif" w:hAnsi="Times New Roman;serif"/>
          <w:b w:val="false"/>
          <w:sz w:val="22"/>
        </w:rPr>
        <w:t xml:space="preserve">or any amendment thereto to the extent such an amendment is not adverse to the Lenders in any material respect, (ix) payments to or from, and transactions with, any joint venture in the ordinary course of business (including, without limitation, any cash management activities related thereto), </w:t>
      </w:r>
      <w:bookmarkStart w:id="926" w:name="docxtextref1473"/>
      <w:bookmarkEnd w:id="92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transactions with customers, clients, suppliers, contractors, joint venture partners or purchasers or sellers of goods or services that are Affiliates, in each case in the ordinary course of business and which are fair to Bidco and the Restricted Subsidiaries, in the reasonable determination of Bidco, or are on terms at least as favorable as might reasonably have been obtained at such time from an unaffiliated party, (xi) sales of accounts receivable, or participations therein, or Receivables Assets or related assets in connection with or any Receivables Facility, (xii) payments made in connection with the Transactions, (xiii) customary payments by Bidco and the Restricted Subsidiaries, directly or indirectly, to the Investors made for any financial advisory, consulting, financing, underwriting or placement services or in respect of other investment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27" w:name="docxtextref1474"/>
      <w:bookmarkEnd w:id="927"/>
      <w:r>
        <w:rPr>
          <w:rFonts w:ascii="Times New Roman;serif" w:hAnsi="Times New Roman;serif"/>
          <w:b w:val="false"/>
          <w:sz w:val="22"/>
        </w:rPr>
        <w:t>banking activities (including in connection with acquisitions, divestitures or financings), which payments are approved by the majority of the members of the board of directors or a majority of the disinterested members of the Board of Directors of Bidco or such other Restricted Subsidiary in good faith and (xiv) any other (A)</w:t>
      </w:r>
      <w:r>
        <w:rPr>
          <w:rFonts w:ascii="Times New Roman" w:hAnsi="Times New Roman"/>
          <w:sz w:val="20"/>
        </w:rPr>
        <w:t xml:space="preserve"> </w:t>
      </w:r>
      <w:r>
        <w:rPr>
          <w:rFonts w:ascii="Times New Roman;serif" w:hAnsi="Times New Roman;serif"/>
          <w:b w:val="false"/>
          <w:sz w:val="22"/>
        </w:rPr>
        <w:t xml:space="preserve">Indebtedness permitted under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and Liens permitted under </w:t>
      </w:r>
      <w:r>
        <w:rPr>
          <w:rFonts w:ascii="Times New Roman;serif" w:hAnsi="Times New Roman;serif"/>
          <w:b w:val="false"/>
          <w:sz w:val="22"/>
          <w:u w:val="single"/>
        </w:rPr>
        <w:t>Section 6.02</w:t>
      </w:r>
      <w:r>
        <w:rPr>
          <w:rFonts w:ascii="Times New Roman;serif" w:hAnsi="Times New Roman;serif"/>
          <w:b w:val="false"/>
          <w:sz w:val="22"/>
        </w:rPr>
        <w:t xml:space="preserve">; provided that such Indebtedness and Liens are on terms which are fair and reasonable to Bidco and its Subsidiaries as determined by the majority of disinterested members of the board of directors of Bidco or such other Subsidiary and </w:t>
      </w:r>
      <w:bookmarkStart w:id="928" w:name="docxtextref1475"/>
      <w:bookmarkEnd w:id="92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transactions permitted under </w:t>
      </w:r>
      <w:r>
        <w:rPr>
          <w:rFonts w:ascii="Times New Roman;serif" w:hAnsi="Times New Roman;serif"/>
          <w:b w:val="false"/>
          <w:sz w:val="22"/>
          <w:u w:val="single"/>
        </w:rPr>
        <w:t>Section 6.03</w:t>
      </w:r>
      <w:r>
        <w:rPr>
          <w:rFonts w:ascii="Times New Roman" w:hAnsi="Times New Roman"/>
          <w:sz w:val="20"/>
        </w:rPr>
        <w:t xml:space="preserve"> </w:t>
      </w:r>
      <w:r>
        <w:rPr>
          <w:rFonts w:ascii="Times New Roman;serif" w:hAnsi="Times New Roman;serif"/>
          <w:b w:val="false"/>
          <w:sz w:val="22"/>
        </w:rPr>
        <w:t xml:space="preserve">and Restricted Payments permitted under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(other than pursuant to </w:t>
      </w:r>
      <w:r>
        <w:rPr>
          <w:rFonts w:ascii="Times New Roman;serif" w:hAnsi="Times New Roman;serif"/>
          <w:b w:val="false"/>
          <w:sz w:val="22"/>
          <w:u w:val="single"/>
        </w:rPr>
        <w:t>Section 6.05(b)(xv)(J)</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5.18 </w:t>
      </w:r>
      <w:r>
        <w:rPr>
          <w:rFonts w:ascii="Times New Roman;serif" w:hAnsi="Times New Roman;serif"/>
          <w:b w:val="false"/>
          <w:sz w:val="22"/>
          <w:u w:val="single"/>
        </w:rPr>
        <w:t>Refinancing</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Bidco and its Restricted Subsidiaries shall consummate the Refinancing on or prior to the Target Debt Refinancing Outside Date.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5.19 </w:t>
      </w:r>
      <w:r>
        <w:rPr>
          <w:rFonts w:ascii="Times New Roman;serif" w:hAnsi="Times New Roman;serif"/>
          <w:b w:val="false"/>
          <w:sz w:val="22"/>
          <w:u w:val="single"/>
        </w:rPr>
        <w:t>Acquisition Undertakings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Bidco and its Restricted Subsidiaries shall, subject always to the Companies Act 2006 and any applicable listing rules, (i) within 60 days after the Scheme Effective Date (or such later date as the Administrative Agent may reasonably agree), procure that such action as is necessary is taken to procure that trading in the shares in Company on the Main Market of the London Stock Exchange is cancelled and (ii) as soon as reasonably practicable thereafter, procure that the Company is re-registered as a private limited company.</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VI</w:t>
        <w:br/>
        <w:br/>
      </w:r>
      <w:r>
        <w:rPr>
          <w:rFonts w:ascii="Times New Roman;serif" w:hAnsi="Times New Roman;serif"/>
          <w:b w:val="false"/>
          <w:caps/>
          <w:sz w:val="22"/>
          <w:u w:val="single"/>
        </w:rPr>
        <w:t>Negative Covenants.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From and after the Effective Date and until the Termination Date, each of Holdings (with respect to </w:t>
      </w:r>
      <w:r>
        <w:rPr>
          <w:rFonts w:ascii="Times New Roman;serif" w:hAnsi="Times New Roman;serif"/>
          <w:b w:val="false"/>
          <w:sz w:val="22"/>
          <w:u w:val="single"/>
        </w:rPr>
        <w:t>Sections 6.03(b)</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(c)</w:t>
      </w:r>
      <w:r>
        <w:rPr>
          <w:rFonts w:ascii="Times New Roman" w:hAnsi="Times New Roman"/>
          <w:sz w:val="20"/>
        </w:rPr>
        <w:t xml:space="preserve"> </w:t>
      </w:r>
      <w:r>
        <w:rPr>
          <w:rFonts w:ascii="Times New Roman;serif" w:hAnsi="Times New Roman;serif"/>
          <w:b w:val="false"/>
          <w:sz w:val="22"/>
        </w:rPr>
        <w:t>only) and Bidco covenants and agrees with the Lenders that: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6.01 </w:t>
      </w:r>
      <w:r>
        <w:rPr>
          <w:rFonts w:ascii="Times New Roman;serif" w:hAnsi="Times New Roman;serif"/>
          <w:b w:val="false"/>
          <w:sz w:val="22"/>
          <w:u w:val="single"/>
        </w:rPr>
        <w:t>Indebtedness; Certain Equity Securities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29" w:name="docxtextref1481"/>
      <w:bookmarkEnd w:id="929"/>
      <w:r>
        <w:rPr>
          <w:rFonts w:ascii="Times New Roman;serif" w:hAnsi="Times New Roman;serif"/>
          <w:b w:val="false"/>
          <w:sz w:val="22"/>
        </w:rPr>
        <w:t>(a) Bidco shall not, and shall not permit any of its Restricted Subsidiaries to create, incur, issue, assume, guarantee or otherwise become liable, contingently or otherwise (collectively, “</w:t>
      </w:r>
      <w:r>
        <w:rPr>
          <w:rFonts w:ascii="Times New Roman;serif" w:hAnsi="Times New Roman;serif"/>
          <w:b w:val="false"/>
          <w:sz w:val="22"/>
          <w:u w:val="single"/>
        </w:rPr>
        <w:t>incur</w:t>
      </w:r>
      <w:r>
        <w:rPr>
          <w:rFonts w:ascii="Times New Roman" w:hAnsi="Times New Roman"/>
          <w:sz w:val="20"/>
        </w:rPr>
        <w:t xml:space="preserve">” </w:t>
      </w:r>
      <w:r>
        <w:rPr>
          <w:rFonts w:ascii="Times New Roman;serif" w:hAnsi="Times New Roman;serif"/>
          <w:b w:val="false"/>
          <w:sz w:val="22"/>
        </w:rPr>
        <w:t>and collectively, an “</w:t>
      </w:r>
      <w:r>
        <w:rPr>
          <w:rFonts w:ascii="Times New Roman;serif" w:hAnsi="Times New Roman;serif"/>
          <w:b w:val="false"/>
          <w:sz w:val="22"/>
          <w:u w:val="single"/>
        </w:rPr>
        <w:t>incurrence</w:t>
      </w:r>
      <w:r>
        <w:rPr>
          <w:rFonts w:ascii="Times New Roman" w:hAnsi="Times New Roman"/>
          <w:sz w:val="20"/>
        </w:rPr>
        <w:t>”</w:t>
      </w:r>
      <w:r>
        <w:rPr>
          <w:rFonts w:ascii="Times New Roman;serif" w:hAnsi="Times New Roman;serif"/>
          <w:b w:val="false"/>
          <w:sz w:val="22"/>
        </w:rPr>
        <w:t xml:space="preserve">) with respect to any Indebtedness (including Acquired Indebtedness) and Bidco shall not issue any shares of Disqualified Equity Interests and shall not permit any Restricted Subsidiary to issue any shares of Disqualified Equity Interests or Preferred Stock;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Bidco may incur Indebtedness (including Acquired Indebtedness) or issue shares of Disqualified Equity Interests, and any of its Restricted Subsidiaries may incur Indebtedness (including Acquired Indebtedness), issue shares of Disqualified Equity Interests and issue Preferred Stock that is, in each case, secured by a Lien on the Collateral that is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with the Lien securing the Secured Obligations, secured by a Lien on the Collateral that is junior to the Lien securing the Secured Obligations, or that is unsecured or secured by assets that are not Collateral to the extent that (1)</w:t>
      </w:r>
      <w:r>
        <w:rPr>
          <w:rFonts w:ascii="Times New Roman" w:hAnsi="Times New Roman"/>
          <w:sz w:val="20"/>
        </w:rPr>
        <w:t xml:space="preserve"> </w:t>
      </w:r>
      <w:r>
        <w:rPr>
          <w:rFonts w:ascii="Times New Roman;serif" w:hAnsi="Times New Roman;serif"/>
          <w:b w:val="false"/>
          <w:sz w:val="22"/>
        </w:rPr>
        <w:t xml:space="preserve">if such Indebtedness, Disqualified Equity Interests or Preferred Stock is secured by a Lien on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the Liens on the Collateral securing the Secured Obligations, the Senior Secured First Lien Net Leverage Ratio of Bidco and the Restricted Subsidiaries (including for the purposes of such calculation any Disqualified Equity Interests or Preferred Stock that is secured by a Lien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the Liens on the Collateral securing the Secured Obligations), after giving effect to the incurrence of such Indebtedness, Disqualified Equity Interests or Preferred Stock, as applicable, and the use of proceeds thereof, on a Pro Forma Basis would not exceed </w:t>
      </w:r>
      <w:bookmarkStart w:id="930" w:name="docxtextref1483"/>
      <w:bookmarkEnd w:id="930"/>
      <w:r>
        <w:rPr>
          <w:rFonts w:ascii="Times New Roman;serif" w:hAnsi="Times New Roman;serif"/>
          <w:b w:val="false"/>
          <w:sz w:val="22"/>
        </w:rPr>
        <w:t xml:space="preserve">5.10 to 1.00 , </w:t>
      </w:r>
      <w:bookmarkStart w:id="931" w:name="docxtextref1482"/>
      <w:bookmarkEnd w:id="931"/>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if such Indebtedness, Disqualified Equity Interests or Preferred Stock is secured by a Lien on the Collateral on a junior priority basis with the Liens on the Collateral securing the Secured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32" w:name="docxtextref1485"/>
      <w:bookmarkEnd w:id="932"/>
      <w:r>
        <w:rPr>
          <w:rFonts w:ascii="Times New Roman;serif" w:hAnsi="Times New Roman;serif"/>
          <w:b w:val="false"/>
          <w:sz w:val="22"/>
        </w:rPr>
        <w:t xml:space="preserve">Obligations, the Senior Secured Net Leverage Ratio of Bidco and the Restricted Subsidiaries (including for the purposes of such calculation any Disqualified Equity Interests or Preferred Stock that is secured by a Lien on a junior basis to the Liens on the Collateral securing the Secured Obligations), after giving effect to the incurrence of such Indebtedness, Disqualified Equity Interests or Preferred Stock, as applicable, and the use of proceeds thereof, on a Pro Forma Basis would not exceed 5.10 to 1.00 and (3) if such Indebtedness, Disqualified Equity Interests or Preferred Stock is unsecured or is secured by assets that do not become Collateral, either </w:t>
      </w:r>
      <w:bookmarkStart w:id="933" w:name="docxtextref1502"/>
      <w:bookmarkEnd w:id="933"/>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Total Net Leverage Ratio of Bidco and the Restricted Subsidiaries (including for the purposes of such calculation any Disqualified Equity Interests or Preferred Stock that is unsecured or secured by assets that are not Collateral), after giving effect to the incurrence of such Indebtedness, Disqualified Equity Interests or Preferred Stock, as applicable, and the use of proceeds thereof, on a Pro Forma Basis would not exceed 5.10 to 1.00 or </w:t>
      </w:r>
      <w:bookmarkStart w:id="934" w:name="docxtextref1506"/>
      <w:bookmarkEnd w:id="934"/>
      <w:r>
        <w:rPr>
          <w:rFonts w:ascii="Times New Roman;serif" w:hAnsi="Times New Roman;serif"/>
          <w:b w:val="false"/>
          <w:sz w:val="22"/>
        </w:rPr>
        <w:t>(</w:t>
      </w:r>
      <w:bookmarkStart w:id="935" w:name="docxtextref1507"/>
      <w:bookmarkEnd w:id="93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Interest Coverage Ratio of Bidco and the Restricted Subsidiaries, after giving effect to the incurrence of such Indebtedness, Disqualified Equity Interests or Preferred Stock, as applicable, and the use of proceeds thereof, on a Pro Forma Basis, would be at least 2.00 to 1.00; </w:t>
      </w:r>
      <w:r>
        <w:rPr>
          <w:rFonts w:ascii="Times New Roman;serif" w:hAnsi="Times New Roman;serif"/>
          <w:b w:val="false"/>
          <w:sz w:val="22"/>
          <w:u w:val="single"/>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u w:val="single"/>
        </w:rPr>
        <w:t>further</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on a Pro Forma Basis, together with any amounts incurred or issued, as applicable, and outstanding by Restricted Subsidiaries that are not Guarantors pursuant to clauses (xi)(b)(x) and (xvi) of </w:t>
      </w:r>
      <w:r>
        <w:rPr>
          <w:rFonts w:ascii="Times New Roman;serif" w:hAnsi="Times New Roman;serif"/>
          <w:b w:val="false"/>
          <w:sz w:val="22"/>
          <w:u w:val="single"/>
        </w:rPr>
        <w:t>Section 6.01(b)</w:t>
      </w:r>
      <w:r>
        <w:rPr>
          <w:rFonts w:ascii="Times New Roman;serif" w:hAnsi="Times New Roman;serif"/>
          <w:b w:val="false"/>
          <w:sz w:val="22"/>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pursuant to this paragraph shall be incurred or issued, as applicable, by Restricted Subsidiaries that are not Guarantors;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 w:hAnsi="Times New Roman"/>
          <w:sz w:val="20"/>
        </w:rPr>
        <w:t xml:space="preserve"> </w:t>
      </w:r>
      <w:r>
        <w:rPr>
          <w:rFonts w:ascii="Times New Roman;serif" w:hAnsi="Times New Roman;serif"/>
          <w:b w:val="false"/>
          <w:sz w:val="22"/>
        </w:rPr>
        <w:t xml:space="preserve">that the foregoing limitation shall not apply to Indebtedness of any Person that becomes a Restricted Subsidiary in connection with a Permitted Acquisition or any other Investment not prohibited by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provisions of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hereof shall not apply to:</w:t>
      </w:r>
    </w:p>
    <w:p>
      <w:pPr>
        <w:pStyle w:val="TextBody"/>
        <w:bidi w:val="0"/>
        <w:spacing w:before="0" w:after="240"/>
        <w:jc w:val="both"/>
        <w:rPr>
          <w:rFonts w:ascii="Times New Roman" w:hAnsi="Times New Roman"/>
          <w:sz w:val="20"/>
        </w:rPr>
      </w:pPr>
      <w:bookmarkStart w:id="936" w:name="docxtextref1514"/>
      <w:bookmarkEnd w:id="936"/>
      <w:r>
        <w:rPr>
          <w:rFonts w:ascii="Times New Roman;serif" w:hAnsi="Times New Roman;serif"/>
          <w:b w:val="false"/>
          <w:sz w:val="22"/>
        </w:rPr>
        <w:t xml:space="preserve">(i) Indebtedness of Bidco and any of the Restricted Subsidiaries under the Loan Documents (including any Indebtedness incurred pursuant to </w:t>
      </w:r>
      <w:r>
        <w:rPr>
          <w:rFonts w:ascii="Times New Roman;serif" w:hAnsi="Times New Roman;serif"/>
          <w:b w:val="false"/>
          <w:sz w:val="22"/>
          <w:u w:val="single"/>
        </w:rPr>
        <w:t>Section 2.19</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2.20</w:t>
      </w:r>
      <w:r>
        <w:rPr>
          <w:rFonts w:ascii="Times New Roman;serif" w:hAnsi="Times New Roman;serif"/>
          <w:b w:val="false"/>
          <w:sz w:val="22"/>
        </w:rPr>
        <w:t>) and any Credit Agreement Refinancing Indebtedness in respect thereof that is subject to the Required Additional Debt Terms;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Indebtedness of Bidco and its Restricted Subsidiaries in existence on the Effective Date (other than Indebtedness described in clause (i) of this </w:t>
      </w:r>
      <w:r>
        <w:rPr>
          <w:rFonts w:ascii="Times New Roman;serif" w:hAnsi="Times New Roman;serif"/>
          <w:b w:val="false"/>
          <w:sz w:val="22"/>
          <w:u w:val="single"/>
        </w:rPr>
        <w:t>Section 6.01(b)</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(iii) Indebtedness (including Capitalized Lease Obligations), Disqualified Equity Interests and Preferred Stock incurred by Bidco or any of its Restricted Subsidiaries, to finance the purchase, lease or improvement of property (real or personal), equipment or other assets that, in each case, are used or useful in a Similar Business, whether through the direct purchase of assets or the Equity Interests of any Person owning such assets;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at the time of any such incurrence of Indebtedness, Disqualified Equity Interests or Preferred Stock (and after giving </w:t>
      </w:r>
      <w:r>
        <w:rPr>
          <w:rFonts w:ascii="Times New Roman;serif" w:hAnsi="Times New Roman;serif"/>
          <w:b w:val="false"/>
          <w:sz w:val="22"/>
          <w:u w:val="single"/>
        </w:rPr>
        <w:t>Pro Forma Eff</w:t>
      </w:r>
      <w:r>
        <w:rPr>
          <w:rFonts w:ascii="Times New Roman;serif" w:hAnsi="Times New Roman;serif"/>
          <w:b w:val="false"/>
          <w:sz w:val="22"/>
        </w:rPr>
        <w:t>ect thereto), the aggregate amount of Indebtedness, Disqualified Equity Interests and Preferred Stock incurred pursuant to this clause (iii), when aggregated with the outstanding amount of Refinancing Indebtedness in respect of Indebtedness, Disqualified Equity Interests and Preferred Stock initially incurred in reliance on this clause (iii), does not exceed the greater of $300,000,000 and 40% of Consolidated EBITDA for the most recently ended Test Period, calculated on a Pro Forma Basis;</w:t>
      </w:r>
    </w:p>
    <w:p>
      <w:pPr>
        <w:pStyle w:val="TextBody"/>
        <w:bidi w:val="0"/>
        <w:spacing w:before="0" w:after="240"/>
        <w:jc w:val="both"/>
        <w:rPr>
          <w:rFonts w:ascii="Times New Roman" w:hAnsi="Times New Roman"/>
          <w:sz w:val="20"/>
        </w:rPr>
      </w:pPr>
      <w:r>
        <w:rPr>
          <w:rFonts w:ascii="Times New Roman;serif" w:hAnsi="Times New Roman;serif"/>
          <w:b w:val="false"/>
          <w:sz w:val="22"/>
        </w:rPr>
        <w:t>(iv) Indebtedness incurred by Bidco or any of its Restricted Subsidiaries constituting reimbursement obligations with respect to letters of credit, bank guarantees, banker’s acceptances,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the Acquisition, any acquisition or other investment or any disposition, in each case, not prohibited hereunder;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 Indebtedness of Bidco owing to a Restricted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any such Indebtedness owing to a Restricted Subsidiary that is not a Loan Party is expressly subordinated in right of payment to the Secured Obligations (but only to the extent permitted by applicable law and not giving rise to adverse tax consequences);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serif" w:hAnsi="Times New Roman;serif"/>
          <w:b w:val="false"/>
          <w:sz w:val="22"/>
        </w:rPr>
        <w:t>, that any subsequent issuance or transfer of any Equity Interests or any other event that results in any such Restricted Subsidiary ceasing to be a Restricted Subsidiary or any other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(vii) Indebtedness of a Restricted Subsidiary owing to Bidco or another Restricted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a Loan Party incurs such Indebtedness owing to a Restricted Subsidiary that is not a Loan Party, such Indebtedness is expressly subordinated in right of payment to the Secured Obligations (but only to the extent permitted by applicable law and not giving rise to adverse tax consequences);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serif" w:hAnsi="Times New Roman;serif"/>
          <w:b w:val="false"/>
          <w:sz w:val="22"/>
        </w:rPr>
        <w:t>, that any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(vii);</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(viii) shares of Preferred Stock of a Restricted Subsidiary issued to Bidco or another Restricted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subsequent issuance or transfer of any Equity Interests or any other event which results in any such Restricted Subsidiary ceasing to be a Restricted Subsidiary or any other subsequent transfer of any such shares of Preferred Stock (except to Bidco or another of its Restricted Subsidiaries) shall be deemed in each case to be an issuance of such shares of Preferred Stock not permitted by this clause (viii);</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(ix) Hedging Obligations incurred not for speculative purposes;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 obligations in respect of self-insurance and obligations in respect of performance, bid, appeal and surety bonds, performance and completion guarantees, statutory, export or import indemnities, customs and completion guarantees (not for borrowed money) and similar obligations provided by Bidco or any of its Restricted Subsidiaries or obligations in respect of letters of credit, bank guarantees or similar instruments related thereto, in each case, in the ordinary course of business or consistent with past practice;</w:t>
      </w:r>
    </w:p>
    <w:p>
      <w:pPr>
        <w:pStyle w:val="TextBody"/>
        <w:bidi w:val="0"/>
        <w:spacing w:before="0" w:after="240"/>
        <w:jc w:val="both"/>
        <w:rPr>
          <w:rFonts w:ascii="Times New Roman" w:hAnsi="Times New Roman"/>
          <w:sz w:val="20"/>
        </w:rPr>
      </w:pPr>
      <w:bookmarkStart w:id="937" w:name="docxtextref1528"/>
      <w:bookmarkEnd w:id="937"/>
      <w:r>
        <w:rPr>
          <w:rFonts w:ascii="Times New Roman;serif" w:hAnsi="Times New Roman;serif"/>
          <w:b w:val="false"/>
          <w:sz w:val="22"/>
        </w:rPr>
        <w:t>(xi) (a) Indebtedness, Disqualified Equity Interests or Preferred Stock of Bidco or any Restricted Subsidiary equal to 200.0% of the net cash proceeds received by Bidco since immediately after the Effective Date from the issue or sale of Equity Interests of Bidco or cash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-159-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38" w:name="docxtextref1527"/>
      <w:bookmarkEnd w:id="938"/>
      <w:r>
        <w:rPr>
          <w:rFonts w:ascii="Times New Roman;serif" w:hAnsi="Times New Roman;serif"/>
          <w:b w:val="false"/>
          <w:sz w:val="22"/>
        </w:rPr>
        <w:t xml:space="preserve">contributed to the capital of Bidco or any Restricted Subsidiary (in each case, other than Excluded Contributions or proceeds of Disqualified Equity Interests or sales of Equity Interests to Bidco or any of its Subsidiaries) as determined in accordance with clauses (A)(2) and (A)(3) of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 xml:space="preserve">hereof to the extent such net cash proceeds or cash have not been applied pursuant to such clauses to make Restricted Payments or to make other Investments, payments or exchanges pursuant to </w:t>
      </w:r>
      <w:r>
        <w:rPr>
          <w:rFonts w:ascii="Times New Roman;serif" w:hAnsi="Times New Roman;serif"/>
          <w:b w:val="false"/>
          <w:sz w:val="22"/>
          <w:u w:val="single"/>
        </w:rPr>
        <w:t>Section 6.05(b)</w:t>
      </w:r>
      <w:r>
        <w:rPr>
          <w:rFonts w:ascii="Times New Roman" w:hAnsi="Times New Roman"/>
          <w:sz w:val="20"/>
        </w:rPr>
        <w:t xml:space="preserve"> </w:t>
      </w:r>
      <w:r>
        <w:rPr>
          <w:rFonts w:ascii="Times New Roman;serif" w:hAnsi="Times New Roman;serif"/>
          <w:b w:val="false"/>
          <w:sz w:val="22"/>
        </w:rPr>
        <w:t>hereof or to make Permitted Investments (other than Permitted Investments specified in clauses (1)</w:t>
      </w:r>
      <w:r>
        <w:rPr>
          <w:rFonts w:ascii="Times New Roman" w:hAnsi="Times New Roman"/>
          <w:sz w:val="20"/>
        </w:rPr>
        <w:t xml:space="preserve"> </w:t>
      </w:r>
      <w:r>
        <w:rPr>
          <w:rFonts w:ascii="Times New Roman;serif" w:hAnsi="Times New Roman;serif"/>
          <w:b w:val="false"/>
          <w:sz w:val="22"/>
        </w:rPr>
        <w:t xml:space="preserve">and (3) of the definition thereof) and </w:t>
      </w:r>
      <w:bookmarkStart w:id="939" w:name="docxtextref1529"/>
      <w:bookmarkEnd w:id="93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Indebtedness, Disqualified Equity Interests or Preferred Stock of Bidco or any Restricted Subsidiary not otherwise permitted hereunder in an aggregate principal amount or liquidation preference, which when aggregated with the principal amount and liquidation preference of all other Indebtedness, Disqualified Equity Interests and Preferred Stock then outstanding and incurred pursuant to this clause (xi)(b) and the outstanding amount of Indebtedness, Disqualified Equity Interests or Preferred Stock of Bidco or any Restricted Subsidiary which serves to refinance any Indebtedness, Disqualified Equity Interests or Preferred Stock incurred as permitted under this clause (xi)(b) or any Indebtedness, Disqualified Equity Interests or Preferred Stock issued to so refund or refinance such Indebtedness, Disqualified Equity Interests or Preferred Stock, does not, at the time of any such incurrence of Indebtedness (and after giving Pro Forma Effect thereto), exceed the sum of </w:t>
      </w:r>
      <w:bookmarkStart w:id="940" w:name="docxtextref1530"/>
      <w:bookmarkEnd w:id="940"/>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the greater of $450,000,000 and 60% of Consolidated EBITDA for the most recently ended Test Period, calculated on a Pro Forma Basis;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available amounts under this clause (xi)(b)(x) may be used to incur Incremental Facilities or Incremental Equivalent Debt in reliance on the General Debt Basket Reallocated Amount and such usage shall be deemed to be a utilization of the basket under this Section 6.01(b)(xi)(b), and </w:t>
      </w:r>
      <w:bookmarkStart w:id="941" w:name="docxtextref1531"/>
      <w:bookmarkEnd w:id="941"/>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an additional amount of Indebtedness in lieu of Restricted Payments permitted under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(it being understood that such Indebtedness shall be deemed a Restricted Payment for purposes of compliance with </w:t>
      </w:r>
      <w:r>
        <w:rPr>
          <w:rFonts w:ascii="Times New Roman;serif" w:hAnsi="Times New Roman;serif"/>
          <w:b w:val="false"/>
          <w:sz w:val="22"/>
          <w:u w:val="single"/>
        </w:rPr>
        <w:t>Section 6.05</w:t>
      </w:r>
      <w:r>
        <w:rPr>
          <w:rFonts w:ascii="Times New Roman;serif" w:hAnsi="Times New Roman;serif"/>
          <w:b w:val="false"/>
          <w:sz w:val="22"/>
        </w:rPr>
        <w:t xml:space="preserve">) (it being understood that any Indebtedness, Disqualified Equity Interests or Preferred Stock incurred pursuant to this clause (xi)(b) shall cease to be deemed incurred or outstanding for purposes of this clause (xi)(b) but shall be deemed incurred for the purposes of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hereof from and after the first date on which Bidco or such Restricted Subsidiary could have incurred such Indebtedness, Disqualified Equity Interests or Preferred Stock under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hereof without reliance on this clause (xi)(b));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Indebtedness, Disqualified Equity Interests or Preferred Stock incurred pursuant to this clause (xi)(b) may be secured by a Lien on the Collateral that is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with the Lien securing the Secured Obligations, secured by a Lien on the Collateral that is junior to the Lien securing the Secured Obligations, or may be unsecured or secured by assets that are not Collateral to the extent that such Lien is permitted under </w:t>
      </w:r>
      <w:r>
        <w:rPr>
          <w:rFonts w:ascii="Times New Roman;serif" w:hAnsi="Times New Roman;serif"/>
          <w:b w:val="false"/>
          <w:sz w:val="22"/>
          <w:u w:val="single"/>
        </w:rPr>
        <w:t>Section 6.02</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u w:val="single"/>
        </w:rPr>
        <w:t>further</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on a </w:t>
      </w:r>
      <w:r>
        <w:rPr>
          <w:rFonts w:ascii="Times New Roman;serif" w:hAnsi="Times New Roman;serif"/>
          <w:b w:val="false"/>
          <w:sz w:val="22"/>
          <w:u w:val="single"/>
        </w:rPr>
        <w:t>Pro Forma Basis</w:t>
      </w:r>
      <w:r>
        <w:rPr>
          <w:rFonts w:ascii="Times New Roman;serif" w:hAnsi="Times New Roman;serif"/>
          <w:b w:val="false"/>
          <w:sz w:val="22"/>
        </w:rPr>
        <w:t xml:space="preserve">, together with any amounts incurred or issued, as applicable, and outstanding by Restricted Subsidiaries that are not Guarantors pursuant to </w:t>
      </w:r>
      <w:r>
        <w:rPr>
          <w:rFonts w:ascii="Times New Roman;serif" w:hAnsi="Times New Roman;serif"/>
          <w:b w:val="false"/>
          <w:sz w:val="22"/>
          <w:u w:val="single"/>
        </w:rPr>
        <w:t>Section 6.01(a)</w:t>
      </w:r>
      <w:r>
        <w:rPr>
          <w:rFonts w:ascii="Times New Roman;serif" w:hAnsi="Times New Roman;serif"/>
          <w:b w:val="false"/>
          <w:sz w:val="22"/>
        </w:rPr>
        <w:t xml:space="preserve">, this clause (xi)(b)(x) of this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and clause (xvi) of this </w:t>
      </w:r>
      <w:r>
        <w:rPr>
          <w:rFonts w:ascii="Times New Roman;serif" w:hAnsi="Times New Roman;serif"/>
          <w:b w:val="false"/>
          <w:sz w:val="22"/>
          <w:u w:val="single"/>
        </w:rPr>
        <w:t>Section 6.01(b)</w:t>
      </w:r>
      <w:r>
        <w:rPr>
          <w:rFonts w:ascii="Times New Roman;serif" w:hAnsi="Times New Roman;serif"/>
          <w:b w:val="false"/>
          <w:sz w:val="22"/>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 w:hAnsi="Times New Roman"/>
          <w:sz w:val="20"/>
        </w:rPr>
        <w:t xml:space="preserve"> </w:t>
      </w:r>
      <w:r>
        <w:rPr>
          <w:rFonts w:ascii="Times New Roman;serif" w:hAnsi="Times New Roman;serif"/>
          <w:b w:val="false"/>
          <w:sz w:val="22"/>
        </w:rPr>
        <w:t xml:space="preserve">that the foregoing limitation shall not apply to Indebtedness of any Person that becomes a Restricted Subsidiary in connection with a Permitted Acquisition or any other Investment not prohibited by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w:t>
      </w:r>
    </w:p>
    <w:p>
      <w:pPr>
        <w:pStyle w:val="TextBody"/>
        <w:bidi w:val="0"/>
        <w:spacing w:before="0" w:after="240"/>
        <w:jc w:val="both"/>
        <w:rPr>
          <w:rFonts w:ascii="Times New Roman" w:hAnsi="Times New Roman"/>
          <w:sz w:val="20"/>
        </w:rPr>
      </w:pPr>
      <w:r>
        <w:rPr>
          <w:rFonts w:ascii="Times New Roman;serif" w:hAnsi="Times New Roman;serif"/>
          <w:b w:val="false"/>
          <w:sz w:val="22"/>
        </w:rPr>
        <w:t>(xii) the incurrence by Bidco or any Restricted Subsidiary of Indebtedness or issuance by Bidco or any Restricted Subsidiary, of Bidco of Indebtedness, Disqualified Equity Interests or Preferred Stock of Bidco or any Restricted Subsidiary which serves to refund, refinance, replace,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renew, extend or defease (collectively, “refinance” and “refinances,” with “refinanced” and “refinancing” having a correlative meaning) any Indebtedness incurred or Disqualified Equity Interests or Preferred Stock issued as permitted under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hereof and clauses (ii), (iii) and (xi) of this </w:t>
      </w:r>
      <w:r>
        <w:rPr>
          <w:rFonts w:ascii="Times New Roman;serif" w:hAnsi="Times New Roman;serif"/>
          <w:b w:val="false"/>
          <w:sz w:val="22"/>
          <w:u w:val="single"/>
        </w:rPr>
        <w:t>Section 6.01(b)</w:t>
      </w:r>
      <w:r>
        <w:rPr>
          <w:rFonts w:ascii="Times New Roman;serif" w:hAnsi="Times New Roman;serif"/>
          <w:b w:val="false"/>
          <w:sz w:val="22"/>
        </w:rPr>
        <w:t xml:space="preserve">, this clause (xii) and clauses (xvi), (xix), (xxix), (xxx) or (xxxi) of this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or any Indebtedness incurred or Disqualified Equity Interests or Preferred Stock issued to so extend, replace, refund, refinance, renew or defease such Indebtedness, Disqualified Equity Interests or Preferred Stock including additional Indebtedness, Disqualified Equity Interests or Preferred Stock incurred to pay premiums (including reasonable tender premiums), defeasance costs and fees in connection therewith (the “</w:t>
      </w:r>
      <w:r>
        <w:rPr>
          <w:rFonts w:ascii="Times New Roman;serif" w:hAnsi="Times New Roman;serif"/>
          <w:b w:val="false"/>
          <w:sz w:val="22"/>
          <w:u w:val="single"/>
        </w:rPr>
        <w:t>Refinancing Indebtedness</w:t>
      </w:r>
      <w:r>
        <w:rPr>
          <w:rFonts w:ascii="Times New Roman" w:hAnsi="Times New Roman"/>
          <w:sz w:val="20"/>
        </w:rPr>
        <w:t>”</w:t>
      </w:r>
      <w:r>
        <w:rPr>
          <w:rFonts w:ascii="Times New Roman;serif" w:hAnsi="Times New Roman;serif"/>
          <w:b w:val="false"/>
          <w:sz w:val="22"/>
        </w:rPr>
        <w:t xml:space="preserve">) prior to its respective maturity;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such Refinancing Indebtedness: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except in the case of any Designated Earlier Maturing Debt, has a Weighted Average Life to Maturity at the time such Refinancing Indebtedness is incurred which is not less than the remaining Weighted Average Life to Maturity of the Indebtedness, Disqualified Equity Interests or Preferred Stock being extended, replaced, refunded, refinanced, renewed or defeased,</w:t>
      </w:r>
    </w:p>
    <w:p>
      <w:pPr>
        <w:pStyle w:val="TextBody"/>
        <w:bidi w:val="0"/>
        <w:spacing w:before="0" w:after="240"/>
        <w:jc w:val="both"/>
        <w:rPr>
          <w:rFonts w:ascii="Times New Roman" w:hAnsi="Times New Roman"/>
          <w:sz w:val="20"/>
        </w:rPr>
      </w:pPr>
      <w:bookmarkStart w:id="942" w:name="docxtextref1535"/>
      <w:bookmarkEnd w:id="942"/>
      <w:r>
        <w:rPr>
          <w:rFonts w:ascii="Times New Roman;serif" w:hAnsi="Times New Roman;serif"/>
          <w:b w:val="false"/>
          <w:sz w:val="22"/>
        </w:rPr>
        <w:t>(B) to the extent such Refinancing Indebtedness extends, replaces, refunds, refinances, renews or defeases (i)</w:t>
      </w:r>
      <w:r>
        <w:rPr>
          <w:rFonts w:ascii="Times New Roman" w:hAnsi="Times New Roman"/>
          <w:sz w:val="20"/>
        </w:rPr>
        <w:t xml:space="preserve"> </w:t>
      </w:r>
      <w:r>
        <w:rPr>
          <w:rFonts w:ascii="Times New Roman;serif" w:hAnsi="Times New Roman;serif"/>
          <w:b w:val="false"/>
          <w:sz w:val="22"/>
        </w:rPr>
        <w:t>Indebtedness subordinated in right of payment to the Loan Document Obligations, such Refinancing Indebtedness is subordinated in right of payment to the Loan Document Obligations at least to the same extent as the Indebtedness being extended, replaced, refunded, refinanced, renewed or defeased, (ii) Disqualified Equity Interests or Preferred Stock, such Refinancing Indebtedness must be Disqualified Equity Interests or Preferred Stock, respectively,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shall not include: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(1) Indebtedness, Disqualified Equity Interests or Preferred Stock of a Subsidiary of Bidco that is not a Guarantor that refinances Indebtedness, Disqualified Equity Interests or Preferred Stock of Bidco or a Borrower;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(2) Indebtedness, Disqualified Equity Interests or Preferred Stock of a Subsidiary of Bidco that is not a Guarantor that refinances Indebtedness, Disqualified Equity Interests or Preferred Stock of a Guarantor;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(3) Indebtedness, Disqualified Equity Interests or Preferred Stock of Bidco or a Restricted Subsidiary that refinances Indebtedness, Disqualified Equity Interests or Preferred Stock of an Unrestricted Subsidiary; and</w:t>
      </w:r>
    </w:p>
    <w:p>
      <w:pPr>
        <w:pStyle w:val="TextBody"/>
        <w:bidi w:val="0"/>
        <w:spacing w:before="0" w:after="240"/>
        <w:jc w:val="both"/>
        <w:rPr>
          <w:rFonts w:ascii="Times New Roman" w:hAnsi="Times New Roman"/>
          <w:sz w:val="20"/>
        </w:rPr>
      </w:pP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subclause (A) of this clause (xii) shall not apply to any refunding or refinancing of any outstanding Secured Indebtedness;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(xiii) Indebtedness in respect of Cash Management Obligations, Bank Products provided by banks or other financial institutions to Bidco and its Restricted Subsidiaries in the ordinary course of business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(xiv) Indebtedness of Bidco or any of its Restricted Subsidiaries supported by a letter of credit issued pursuant to credit facilities, in a principal amount not in excess of the stated amount of such letter of credit;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 any guarantee by Bidco or a Restricted Subsidiary of Indebtedness or other obligations of any Restricted Subsidiary so long as the incurrence of such Indebtedness incurred by such Restricted Subsidiary is permitted under the terms of this Agreement or any guarantee by a Restricted Subsidiary of Indebtedness or other obligations of Bidco so long as the incurrence of such Indebtedness incurred by Bidco is permitted under the terms of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(xvi) Indebtedness, Disqualified Equity Interests or Preferred Stock of a Restricted Subsidiary incurred to finance or assumed in connection with an acquisition; provided that, at the time of any such incurrence of Indebtedness, Disqualified Equity Interests or Preferred Stock (and after giving </w:t>
      </w:r>
      <w:r>
        <w:rPr>
          <w:rFonts w:ascii="Times New Roman;serif" w:hAnsi="Times New Roman;serif"/>
          <w:b w:val="false"/>
          <w:sz w:val="22"/>
          <w:u w:val="single"/>
        </w:rPr>
        <w:t>Pro</w:t>
      </w:r>
      <w:r>
        <w:rPr>
          <w:rFonts w:ascii="Times New Roman" w:hAnsi="Times New Roman"/>
          <w:sz w:val="20"/>
        </w:rPr>
        <w:t xml:space="preserve"> </w:t>
      </w:r>
      <w:r>
        <w:rPr>
          <w:rFonts w:ascii="Times New Roman;serif" w:hAnsi="Times New Roman;serif"/>
          <w:b w:val="false"/>
          <w:sz w:val="22"/>
          <w:u w:val="single"/>
        </w:rPr>
        <w:t>Forma</w:t>
      </w:r>
      <w:r>
        <w:rPr>
          <w:rFonts w:ascii="Times New Roman" w:hAnsi="Times New Roman"/>
          <w:sz w:val="20"/>
        </w:rPr>
        <w:t xml:space="preserve"> </w:t>
      </w:r>
      <w:r>
        <w:rPr>
          <w:rFonts w:ascii="Times New Roman;serif" w:hAnsi="Times New Roman;serif"/>
          <w:b w:val="false"/>
          <w:sz w:val="22"/>
          <w:u w:val="single"/>
        </w:rPr>
        <w:t>Effect</w:t>
      </w:r>
      <w:r>
        <w:rPr>
          <w:rFonts w:ascii="Times New Roman" w:hAnsi="Times New Roman"/>
          <w:sz w:val="20"/>
        </w:rPr>
        <w:t xml:space="preserve"> </w:t>
      </w:r>
      <w:r>
        <w:rPr>
          <w:rFonts w:ascii="Times New Roman;serif" w:hAnsi="Times New Roman;serif"/>
          <w:b w:val="false"/>
          <w:sz w:val="22"/>
        </w:rPr>
        <w:t xml:space="preserve">thereto), the aggregate amount of such Indebtedness, Disqualified Equity Interests or Preferred Stock incurred under this clause (xvi), when aggregated with the outstanding amount of Indebtedness, Disqualified Equity Interests or Preferred Stock of Bidco or any Restricted Subsidiary which serves to refinance any Indebtedness, Disqualified Equity Interests or Preferred Stock incurred as permitted under this clause (xvi) or any Indebtedness, Disqualified Equity Interests or Preferred Stock issued to so refund or refinance such Indebtedness, Disqualified Equity Interests or Preferred Stock, does not exceed the greater of $150,000,000 and 20% of Consolidated EBITDA for the most recently ended Test Period, calculated on a Pro Forma Basis, in the aggregate (it being understood that any Indebtedness, Disqualified Equity Interests or Preferred Stock incurred pursuant to this clause (xvi) shall cease to be deemed incurred or outstanding for purposes of this clause (xvi) but shall be deemed incurred for the purposes of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hereof from and after the first date on which such Restricted Subsidiary could have incurred such Indebtedness, Disqualified Equity Interests or Preferred Stock under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hereof without reliance on this clause (xvi)); </w:t>
      </w:r>
      <w:r>
        <w:rPr>
          <w:rFonts w:ascii="Times New Roman;serif" w:hAnsi="Times New Roman;serif"/>
          <w:b w:val="false"/>
          <w:sz w:val="22"/>
          <w:u w:val="single"/>
        </w:rPr>
        <w:t>provided</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u w:val="single"/>
        </w:rPr>
        <w:t>further</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on a Pro Forma Basis, together with any amounts incurred or issued, as applicable, and outstanding by Restricted Subsidiaries that are not Guarantors pursuant to </w:t>
      </w:r>
      <w:r>
        <w:rPr>
          <w:rFonts w:ascii="Times New Roman;serif" w:hAnsi="Times New Roman;serif"/>
          <w:b w:val="false"/>
          <w:sz w:val="22"/>
          <w:u w:val="single"/>
        </w:rPr>
        <w:t>Section 6.01(a)</w:t>
      </w:r>
      <w:r>
        <w:rPr>
          <w:rFonts w:ascii="Times New Roman;serif" w:hAnsi="Times New Roman;serif"/>
          <w:b w:val="false"/>
          <w:sz w:val="22"/>
        </w:rPr>
        <w:t xml:space="preserve">, clause (xi)(b)(x) of this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and this clause (xvi) of this </w:t>
      </w:r>
      <w:r>
        <w:rPr>
          <w:rFonts w:ascii="Times New Roman;serif" w:hAnsi="Times New Roman;serif"/>
          <w:b w:val="false"/>
          <w:sz w:val="22"/>
          <w:u w:val="single"/>
        </w:rPr>
        <w:t>Section 6.01(b)</w:t>
      </w:r>
      <w:r>
        <w:rPr>
          <w:rFonts w:ascii="Times New Roman;serif" w:hAnsi="Times New Roman;serif"/>
          <w:b w:val="false"/>
          <w:sz w:val="22"/>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 w:hAnsi="Times New Roman"/>
          <w:sz w:val="20"/>
        </w:rPr>
        <w:t xml:space="preserve"> </w:t>
      </w:r>
      <w:r>
        <w:rPr>
          <w:rFonts w:ascii="Times New Roman;serif" w:hAnsi="Times New Roman;serif"/>
          <w:b w:val="false"/>
          <w:sz w:val="22"/>
        </w:rPr>
        <w:t xml:space="preserve">that the foregoing limitation shall not apply to Indebtedness of any Person that becomes a Restricted Subsidiary in connection with a Permitted Acquisition or any other Investment not prohibited by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w:t>
      </w:r>
    </w:p>
    <w:p>
      <w:pPr>
        <w:pStyle w:val="TextBody"/>
        <w:bidi w:val="0"/>
        <w:spacing w:before="0" w:after="240"/>
        <w:jc w:val="both"/>
        <w:rPr>
          <w:rFonts w:ascii="Times New Roman" w:hAnsi="Times New Roman"/>
          <w:sz w:val="20"/>
        </w:rPr>
      </w:pPr>
      <w:bookmarkStart w:id="943" w:name="docxtextref1542"/>
      <w:bookmarkEnd w:id="943"/>
      <w:r>
        <w:rPr>
          <w:rFonts w:ascii="Times New Roman;serif" w:hAnsi="Times New Roman;serif"/>
          <w:b w:val="false"/>
          <w:sz w:val="22"/>
        </w:rPr>
        <w:t>(xvii) Indebtedness of Bidco or any of its Restricted Subsidiaries consisting of (i)</w:t>
      </w:r>
      <w:r>
        <w:rPr>
          <w:rFonts w:ascii="Times New Roman" w:hAnsi="Times New Roman"/>
          <w:sz w:val="20"/>
        </w:rPr>
        <w:t xml:space="preserve"> </w:t>
      </w:r>
      <w:r>
        <w:rPr>
          <w:rFonts w:ascii="Times New Roman;serif" w:hAnsi="Times New Roman;serif"/>
          <w:b w:val="false"/>
          <w:sz w:val="22"/>
        </w:rPr>
        <w:t>the financing of insurance premiums or (ii) take-or-pay obligations contained in supply arrangements;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(xviii) Indebtedness consisting of Indebtedness issued by Bidco or any of its Restricted Subsidiaries to current or former officers, directors and employees thereof, their respective estates, spouses or former spouses, in each case to finance the purchase or redemption of Equity Interests of Bidco or any direct or indirect parent company of Bidco to the extent described in </w:t>
      </w:r>
      <w:r>
        <w:rPr>
          <w:rFonts w:ascii="Times New Roman;serif" w:hAnsi="Times New Roman;serif"/>
          <w:b w:val="false"/>
          <w:sz w:val="22"/>
          <w:u w:val="single"/>
        </w:rPr>
        <w:t>Section 6.05(b)</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(xix) Indebtedness of any Restricted Subsidiary that is not a Guarantor;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at the time of any such incurrence of Indebtedness (and after giving </w:t>
      </w:r>
      <w:r>
        <w:rPr>
          <w:rFonts w:ascii="Times New Roman;serif" w:hAnsi="Times New Roman;serif"/>
          <w:b w:val="false"/>
          <w:sz w:val="22"/>
          <w:u w:val="single"/>
        </w:rPr>
        <w:t>Pro Forma Eff</w:t>
      </w:r>
      <w:r>
        <w:rPr>
          <w:rFonts w:ascii="Times New Roman;serif" w:hAnsi="Times New Roman;serif"/>
          <w:b w:val="false"/>
          <w:sz w:val="22"/>
        </w:rPr>
        <w:t xml:space="preserve">ect thereto), the aggregate amount of Indebtedness incurred under this clause (xix), when aggregated with the outstanding amount of Indebtedness of any Restricted Subsidiary that is not a Guarantor which serves to refinance any Indebtedness incurred as permitted under this clause (xix) or any Indebtedness issued to so refund or refinance such Indebtedness, does not exceed the greater of $112,500,000 and 15% of Consolidated EBITDA for the most recently ended Test Period, calculated on a Pro Forma Basis, in the aggregate (it being understood that any Indebtedness incurred pursuant to this clause (xix) shall cease to be deemed incurred or outstanding for purposes of this clause (xix) but shall be deemed incurred for the purposes of the first paragraph of this covenant from and after the first date on which Bidco or such Restricted Subsidiary could have incurred such Indebtedness under the first paragraph of this covenant without reliance on this clause (xix));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the foregoing limitation shall not apply to Indebtedness of any Person that becomes a Restricted Subsidiary in connection with an Investment not prohibited this Agreement (or of any Person not previously a Restricted Subsidiary that is merged or consolidated with or into Bidco or a Restricted Subsidiary) if such Indebtedness is outstanding prior to such Person becoming a Restricted Subsidiary and to the extent such Indebtedness is not incurred in contemplation of such Investment;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 Indebtedness representing deferred compensation or stock-based compensation owed to employees of direct or indirect parent companies of Bidco, Bidco or the Restricted Subsidiaries incurred in the ordinary course of business or consistent with past practice or in connection with the Transactions, any Investment or any acquisition (by merger, consolidation, amalgamation or otherwise);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(xxi) Settlement Indebtedness;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(xxii) customer deposits and advance payments received in the ordinary course of business or consistent with past practice from customers for the purchase of goods or services;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(xxiii)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w:t>
      </w:r>
    </w:p>
    <w:p>
      <w:pPr>
        <w:pStyle w:val="TextBody"/>
        <w:bidi w:val="0"/>
        <w:spacing w:before="0" w:after="240"/>
        <w:jc w:val="both"/>
        <w:rPr>
          <w:rFonts w:ascii="Times New Roman" w:hAnsi="Times New Roman"/>
          <w:sz w:val="20"/>
        </w:rPr>
      </w:pPr>
      <w:bookmarkStart w:id="944" w:name="docxtextref1544"/>
      <w:bookmarkEnd w:id="944"/>
      <w:r>
        <w:rPr>
          <w:rFonts w:ascii="Times New Roman;serif" w:hAnsi="Times New Roman;serif"/>
          <w:b w:val="false"/>
          <w:sz w:val="22"/>
        </w:rPr>
        <w:t>(xxiv) additional Indebtedness of Bidco or any of its Restricted Subsidiaries in an aggregate principal amount not to exceed the Available Amount that is not otherwise applied pursuant to clause (34)</w:t>
      </w:r>
      <w:r>
        <w:rPr>
          <w:rFonts w:ascii="Times New Roman" w:hAnsi="Times New Roman"/>
          <w:sz w:val="20"/>
        </w:rPr>
        <w:t xml:space="preserve"> </w:t>
      </w:r>
      <w:r>
        <w:rPr>
          <w:rFonts w:ascii="Times New Roman;serif" w:hAnsi="Times New Roman;serif"/>
          <w:b w:val="false"/>
          <w:sz w:val="22"/>
        </w:rPr>
        <w:t xml:space="preserve">of the definition of “Permitted Liens” and </w:t>
      </w:r>
      <w:bookmarkStart w:id="945" w:name="docxtextref1545"/>
      <w:bookmarkEnd w:id="945"/>
      <w:r>
        <w:rPr>
          <w:rFonts w:ascii="Times New Roman;serif" w:hAnsi="Times New Roman;serif"/>
          <w:b w:val="false"/>
          <w:sz w:val="22"/>
          <w:u w:val="single"/>
        </w:rPr>
        <w:t>Section 6.05(a)(A)</w:t>
      </w:r>
      <w:r>
        <w:rPr>
          <w:rFonts w:ascii="Times New Roman" w:hAnsi="Times New Roman"/>
          <w:sz w:val="20"/>
        </w:rPr>
        <w:t xml:space="preserve"> </w:t>
      </w:r>
      <w:r>
        <w:rPr>
          <w:rFonts w:ascii="Times New Roman;serif" w:hAnsi="Times New Roman;serif"/>
          <w:b w:val="false"/>
          <w:sz w:val="22"/>
        </w:rPr>
        <w:t>as in effect immediately prior to the incurrence of such Indebtedness (and after giving Pro Forma Effect thereto);</w:t>
      </w:r>
    </w:p>
    <w:p>
      <w:pPr>
        <w:pStyle w:val="TextBody"/>
        <w:bidi w:val="0"/>
        <w:spacing w:before="0" w:after="240"/>
        <w:jc w:val="both"/>
        <w:rPr>
          <w:rFonts w:ascii="Times New Roman" w:hAnsi="Times New Roman"/>
          <w:sz w:val="20"/>
        </w:rPr>
      </w:pPr>
      <w:bookmarkStart w:id="946" w:name="docxtextref1547"/>
      <w:bookmarkEnd w:id="946"/>
      <w:r>
        <w:rPr>
          <w:rFonts w:ascii="Times New Roman;serif" w:hAnsi="Times New Roman;serif"/>
          <w:b w:val="false"/>
          <w:sz w:val="22"/>
        </w:rPr>
        <w:t>(xxv) additional Indebtedness of Bidco or any of its Restricted Subsidiaries in an aggregate principal amount that does not exceed the amount of Excluded Contributions made since the Effective Date that is not otherwise applied pursuant to clause (35)</w:t>
      </w:r>
      <w:r>
        <w:rPr>
          <w:rFonts w:ascii="Times New Roman" w:hAnsi="Times New Roman"/>
          <w:sz w:val="20"/>
        </w:rPr>
        <w:t xml:space="preserve"> </w:t>
      </w:r>
      <w:r>
        <w:rPr>
          <w:rFonts w:ascii="Times New Roman;serif" w:hAnsi="Times New Roman;serif"/>
          <w:b w:val="false"/>
          <w:sz w:val="22"/>
        </w:rPr>
        <w:t xml:space="preserve">of the definition of “Permitted Liens” and </w:t>
      </w:r>
      <w:r>
        <w:rPr>
          <w:rFonts w:ascii="Times New Roman;serif" w:hAnsi="Times New Roman;serif"/>
          <w:b w:val="false"/>
          <w:sz w:val="22"/>
          <w:u w:val="single"/>
        </w:rPr>
        <w:t>Section 6.05(b)(x)</w:t>
      </w:r>
      <w:r>
        <w:rPr>
          <w:rFonts w:ascii="Times New Roman" w:hAnsi="Times New Roman"/>
          <w:sz w:val="20"/>
        </w:rPr>
        <w:t xml:space="preserve"> </w:t>
      </w:r>
      <w:r>
        <w:rPr>
          <w:rFonts w:ascii="Times New Roman;serif" w:hAnsi="Times New Roman;serif"/>
          <w:b w:val="false"/>
          <w:sz w:val="22"/>
        </w:rPr>
        <w:t>as in effect immediately prior to the incurrence of such Indebtedness (and after giving Pro Forma Effect thereto);</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(xxvi) (a) Indebtedness of Bidco, any Borrower or any Subsidiary Loan Party issued in lieu of Incremental Facilities consisting of one or more series of loans (including bridge facilities), bonds, notes or debentures (and any Registered Equivalent Notes issued in exchange therefor) that are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or junior basis with the Secured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47" w:name="docxtextref1550"/>
      <w:bookmarkEnd w:id="947"/>
      <w:r>
        <w:rPr>
          <w:rFonts w:ascii="Times New Roman;serif" w:hAnsi="Times New Roman;serif"/>
          <w:b w:val="false"/>
          <w:sz w:val="22"/>
        </w:rPr>
        <w:t>Obligations or unsecured or that are subordinated (the “</w:t>
      </w:r>
      <w:r>
        <w:rPr>
          <w:rFonts w:ascii="Times New Roman;serif" w:hAnsi="Times New Roman;serif"/>
          <w:b w:val="false"/>
          <w:sz w:val="22"/>
          <w:u w:val="single"/>
        </w:rPr>
        <w:t>Incremental Equivalent Debt</w:t>
      </w:r>
      <w:r>
        <w:rPr>
          <w:rFonts w:ascii="Times New Roman" w:hAnsi="Times New Roman"/>
          <w:sz w:val="20"/>
        </w:rPr>
        <w:t>”</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 xml:space="preserve">the aggregate principal amount of all such Indebtedness incurred pursuant to this clause shall not exceed at the time of incurrence the Incremental Cap at such time and </w:t>
      </w:r>
      <w:bookmarkStart w:id="948" w:name="docxtextref1551"/>
      <w:bookmarkEnd w:id="948"/>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such Indebtedness complies with the Required Additional Debt Terms and </w:t>
      </w:r>
      <w:bookmarkStart w:id="949" w:name="docxtextref1552"/>
      <w:bookmarkEnd w:id="94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Refinancing Indebtedness in respect of Indebtedness incurred pursuant to the foregoing subclause (a);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if such Incremental Equivalent Debt is</w:t>
      </w:r>
      <w:bookmarkStart w:id="950" w:name="docxtextref1553"/>
      <w:bookmarkEnd w:id="950"/>
      <w:r>
        <w:rPr>
          <w:rFonts w:ascii="Times New Roman" w:hAnsi="Times New Roman"/>
          <w:sz w:val="20"/>
        </w:rPr>
        <w:t xml:space="preserve"> </w:t>
      </w:r>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broadly syndicated to banks and other institutional investors, (ii) a term loan that is equal in right of payment to the Loan Document Obligations and is secured by the Collateral on a </w:t>
      </w:r>
      <w:r>
        <w:rPr>
          <w:rFonts w:ascii="Times New Roman;serif" w:hAnsi="Times New Roman;serif"/>
          <w:b w:val="false"/>
          <w:sz w:val="22"/>
          <w:u w:val="single"/>
        </w:rPr>
        <w:t>pari</w:t>
      </w:r>
      <w:r>
        <w:rPr>
          <w:rFonts w:ascii="Times New Roman" w:hAnsi="Times New Roman"/>
          <w:sz w:val="20"/>
        </w:rPr>
        <w:t xml:space="preserve"> </w:t>
      </w:r>
      <w:r>
        <w:rPr>
          <w:rFonts w:ascii="Times New Roman;serif" w:hAnsi="Times New Roman;serif"/>
          <w:b w:val="false"/>
          <w:sz w:val="22"/>
          <w:u w:val="single"/>
        </w:rPr>
        <w:t>passu</w:t>
      </w:r>
      <w:r>
        <w:rPr>
          <w:rFonts w:ascii="Times New Roman" w:hAnsi="Times New Roman"/>
          <w:sz w:val="20"/>
        </w:rPr>
        <w:t xml:space="preserve"> </w:t>
      </w:r>
      <w:r>
        <w:rPr>
          <w:rFonts w:ascii="Times New Roman;serif" w:hAnsi="Times New Roman;serif"/>
          <w:b w:val="false"/>
          <w:sz w:val="22"/>
        </w:rPr>
        <w:t xml:space="preserve">basis with the Secured Obligations, and (iii) denominated in dollars, </w:t>
      </w:r>
      <w:r>
        <w:rPr>
          <w:rFonts w:ascii="Times New Roman;serif" w:hAnsi="Times New Roman;serif"/>
          <w:b w:val="false"/>
          <w:sz w:val="22"/>
          <w:u w:val="single"/>
        </w:rPr>
        <w:t>then</w:t>
      </w:r>
      <w:r>
        <w:rPr>
          <w:rFonts w:ascii="Times New Roman" w:hAnsi="Times New Roman"/>
          <w:sz w:val="20"/>
        </w:rPr>
        <w:t xml:space="preserve"> </w:t>
      </w:r>
      <w:r>
        <w:rPr>
          <w:rFonts w:ascii="Times New Roman;serif" w:hAnsi="Times New Roman;serif"/>
          <w:b w:val="false"/>
          <w:sz w:val="22"/>
        </w:rPr>
        <w:t xml:space="preserve">the Initial Term Loans shall be subject to the “most favored nation” pricing adjustment (if applicable) set forth in the proviso to </w:t>
      </w:r>
      <w:r>
        <w:rPr>
          <w:rFonts w:ascii="Times New Roman;serif" w:hAnsi="Times New Roman;serif"/>
          <w:b w:val="false"/>
          <w:sz w:val="22"/>
          <w:u w:val="single"/>
        </w:rPr>
        <w:t>Section 2.19(b)</w:t>
      </w:r>
      <w:r>
        <w:rPr>
          <w:rFonts w:ascii="Times New Roman" w:hAnsi="Times New Roman"/>
          <w:sz w:val="20"/>
        </w:rPr>
        <w:t xml:space="preserve"> </w:t>
      </w:r>
      <w:r>
        <w:rPr>
          <w:rFonts w:ascii="Times New Roman;serif" w:hAnsi="Times New Roman;serif"/>
          <w:b w:val="false"/>
          <w:sz w:val="22"/>
        </w:rPr>
        <w:t>as if such Incremental Equivalent Debt was an Incremental Term Facility incurred hereunder;</w:t>
      </w:r>
    </w:p>
    <w:p>
      <w:pPr>
        <w:pStyle w:val="TextBody"/>
        <w:bidi w:val="0"/>
        <w:spacing w:before="0" w:after="240"/>
        <w:jc w:val="both"/>
        <w:rPr>
          <w:rFonts w:ascii="Times New Roman" w:hAnsi="Times New Roman"/>
          <w:sz w:val="20"/>
        </w:rPr>
      </w:pPr>
      <w:bookmarkStart w:id="951" w:name="docxtextref1556"/>
      <w:bookmarkEnd w:id="951"/>
      <w:r>
        <w:rPr>
          <w:rFonts w:ascii="Times New Roman;serif" w:hAnsi="Times New Roman;serif"/>
          <w:b w:val="false"/>
          <w:sz w:val="22"/>
        </w:rPr>
        <w:t xml:space="preserve">(xxvii) Indebtedness to a customer to finance the acquisition of any equipment necessary to perform services for such customer;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terms of such Indebtedness are consistent with those entered into with respect to similar Indebtedness prior to the Effective Date, including that (1)</w:t>
      </w:r>
      <w:r>
        <w:rPr>
          <w:rFonts w:ascii="Times New Roman" w:hAnsi="Times New Roman"/>
          <w:sz w:val="20"/>
        </w:rPr>
        <w:t xml:space="preserve"> </w:t>
      </w:r>
      <w:r>
        <w:rPr>
          <w:rFonts w:ascii="Times New Roman;serif" w:hAnsi="Times New Roman;serif"/>
          <w:b w:val="false"/>
          <w:sz w:val="22"/>
        </w:rPr>
        <w:t xml:space="preserve">the repayment of such Indebtedness is conditional upon such customer ordering a specific amount of goods or services and (2) such Indebtedness does not bear interest or provide for </w:t>
      </w:r>
      <w:bookmarkStart w:id="952" w:name="docxtextref1555"/>
      <w:bookmarkEnd w:id="952"/>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amortization or maturity;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(xxviii) Indebtedness of Bidco or any of its Restricted Subsidiaries arising pursuant to any Permitted Intercompany Activities, any Permitted Tax Restructuring and related transactions;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(xxix) to the extent constituting Indebtedness, obligations under or in respect of Receivables Facilities;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at the time of any such incurrence of Indebtedness (and after giving Pro Forma Effect thereto), the aggregate amount of Indebtedness pursuant to this clause (xxix), when aggregated with the outstanding amount of Indebtedness incurred in reliance on clause (xxx) and the outstanding amount of Refinancing Indebtedness in respect of Indebtedness initially incurred in reliance on this clause (xxix) or clause (xxx), does not exceed $400,000,000;</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(xxx) Indebtedness incurred in connection with any Sale and Lease-Back Transaction;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at the time of any such incurrence of Indebtedness (and after giving Pro Forma Effect thereto), the aggregate amount of Indebtedness pursuant to this clause (xxx), when aggregated with the outstanding amount of Indebtedness incurred in reliance on clause (xxix) and the outstanding amount of Refinancing Indebtedness in respect of Indebtedness initially incurred in reliance on this clause (xxx) or clause (xxix), does not exceed $400,000,000;</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(xxxi) Indebtedness under the Senior Secured Notes and any Refinancing Indebtedness in respect thereof;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(xxxii) all premiums (if any), interest (including post-petition interest), fees, expenses, charges and additional or contingent interest on obligations described in clauses (i) through (xxxi) above.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For purposes of determining compliance with this </w:t>
      </w:r>
      <w:r>
        <w:rPr>
          <w:rFonts w:ascii="Times New Roman;serif" w:hAnsi="Times New Roman;serif"/>
          <w:b w:val="false"/>
          <w:sz w:val="22"/>
          <w:u w:val="single"/>
        </w:rPr>
        <w:t>Section 6.01</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in the event that an item of Indebtedness, Disqualified Equity Interests or Preferred Stock (or any portion thereof) meets the criteria of more than one of the categories of permitted Indebtedness, Disqualified Equity Interests or Preferred Stock described in clauses (i) through (xxxii)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hereof or is entitled to be incurred pursuant to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hereof, Bidco, in its sole discretion, shall classify or reclassify such item of Indebtedness, Disqualified Equity Interests or Preferred Stock (or any portion thereof) and shall only be required to include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the amount and type of such Indebtedness, Disqualified Equity Interests or Preferred Stock in one of the above clauses or in </w:t>
      </w:r>
      <w:r>
        <w:rPr>
          <w:rFonts w:ascii="Times New Roman;serif" w:hAnsi="Times New Roman;serif"/>
          <w:b w:val="false"/>
          <w:sz w:val="22"/>
          <w:u w:val="single"/>
        </w:rPr>
        <w:t>Section 6.01(a)</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 all Indebtedness under this Agreement incurred on or after the Effective Date shall be deemed to have been incurred pursuant to </w:t>
      </w:r>
      <w:r>
        <w:rPr>
          <w:rFonts w:ascii="Times New Roman;serif" w:hAnsi="Times New Roman;serif"/>
          <w:b w:val="false"/>
          <w:sz w:val="22"/>
          <w:u w:val="single"/>
        </w:rPr>
        <w:t>Section 6.01(b)(i)</w:t>
      </w:r>
      <w:r>
        <w:rPr>
          <w:rFonts w:ascii="Times New Roman" w:hAnsi="Times New Roman"/>
          <w:sz w:val="20"/>
        </w:rPr>
        <w:t xml:space="preserve"> </w:t>
      </w:r>
      <w:r>
        <w:rPr>
          <w:rFonts w:ascii="Times New Roman;serif" w:hAnsi="Times New Roman;serif"/>
          <w:b w:val="false"/>
          <w:sz w:val="22"/>
        </w:rPr>
        <w:t xml:space="preserve">and (B) that all Indebtedness represented by the Senior Secured Notes incurred on the Effective Date and all Guarantees of the foregoing will be deemed to have been incurred pursuant to </w:t>
      </w:r>
      <w:r>
        <w:rPr>
          <w:rFonts w:ascii="Times New Roman;serif" w:hAnsi="Times New Roman;serif"/>
          <w:b w:val="false"/>
          <w:sz w:val="22"/>
          <w:u w:val="single"/>
        </w:rPr>
        <w:t>Section 6.01(b)(xxxi)</w:t>
      </w:r>
      <w:r>
        <w:rPr>
          <w:rFonts w:ascii="Times New Roman;serif" w:hAnsi="Times New Roman;serif"/>
          <w:b w:val="false"/>
          <w:sz w:val="22"/>
        </w:rPr>
        <w:t xml:space="preserve">, and the Borrower shall not be permitted to reclassify all or any portion of Indebtedness incurred pursuant to </w:t>
      </w:r>
      <w:r>
        <w:rPr>
          <w:rFonts w:ascii="Times New Roman;serif" w:hAnsi="Times New Roman;serif"/>
          <w:b w:val="false"/>
          <w:sz w:val="22"/>
          <w:u w:val="single"/>
        </w:rPr>
        <w:t>Section 6.01(b)(i)</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6.01(b)(xxxi)</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at the time of incurrence or reclassification, Bidco shall be entitled to divide and classify or reclassify an item of Indebtedness in more than one of the types of Indebtedness described in </w:t>
      </w:r>
      <w:r>
        <w:rPr>
          <w:rFonts w:ascii="Times New Roman;serif" w:hAnsi="Times New Roman;serif"/>
          <w:b w:val="false"/>
          <w:sz w:val="22"/>
          <w:u w:val="single"/>
        </w:rPr>
        <w:t>Sections 6.01(a)</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6.01(b)</w:t>
      </w:r>
      <w:r>
        <w:rPr>
          <w:rFonts w:ascii="Times New Roman" w:hAnsi="Times New Roman"/>
          <w:sz w:val="20"/>
        </w:rPr>
        <w:t xml:space="preserve"> </w:t>
      </w:r>
      <w:r>
        <w:rPr>
          <w:rFonts w:ascii="Times New Roman;serif" w:hAnsi="Times New Roman;serif"/>
          <w:b w:val="false"/>
          <w:sz w:val="22"/>
        </w:rPr>
        <w:t xml:space="preserve">hereof (it being understood that any Indebtedness incurred pursuant to one of the clauses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shall cease to be deemed incurred or outstanding for purposes of such clause but shall be deemed incurred for the purposes of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from and after the first date on which Bidco or its Restricted Subsidiaries could have incurred such Indebtedness under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without reliance on such clause of </w:t>
      </w:r>
      <w:r>
        <w:rPr>
          <w:rFonts w:ascii="Times New Roman;serif" w:hAnsi="Times New Roman;serif"/>
          <w:b w:val="false"/>
          <w:sz w:val="22"/>
          <w:u w:val="single"/>
        </w:rPr>
        <w:t>Section 6.01(b)</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(iii) in the event that Bidco or a Restricted Subsidiary enters into or increases commitments under a credit facility, the Interest Coverage Ratio, the Senior Secured First Lien Net Leverage Ratio, the Senior Secured Net Leverage Ratio or the Total Net Leverage Ratio, as applicable, for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Interest Coverage Ratio, Senior Secured First Lien Net Leverage Ratio, the Senior Secured Net Leverage Ratio or the Total Net Leverage Ratio, as applicable, test is satisfied with respect thereto at such time, any borrowing or reborrowing thereunder (and the issuance and creation of letters of credit and bankers’ acceptances thereunder) shall be permitted under this covenant irrespective of the Interest Coverage Ratio, Senior Secured First Lien Net Leverage Ratio, the Senior Secured Net Leverage Ratio or the Total Net Leverage Ratio, as applicable, at the time of any borrowing or reborrowing thereunder (or the issuance or creation of letters of credit or bankers’ acceptances thereunder) (the committed amount permitted to be borrowed or reborrowed (and the issuance and creation of letters of credit and bankers’ acceptances) on a date pursuant to the operation of this paragraph shall be the “</w:t>
      </w:r>
      <w:r>
        <w:rPr>
          <w:rFonts w:ascii="Times New Roman;serif" w:hAnsi="Times New Roman;serif"/>
          <w:b w:val="false"/>
          <w:sz w:val="22"/>
          <w:u w:val="single"/>
        </w:rPr>
        <w:t>Reserved Indebtedness Amount</w:t>
      </w:r>
      <w:r>
        <w:rPr>
          <w:rFonts w:ascii="Times New Roman" w:hAnsi="Times New Roman"/>
          <w:sz w:val="20"/>
        </w:rPr>
        <w:t xml:space="preserve">” </w:t>
      </w:r>
      <w:r>
        <w:rPr>
          <w:rFonts w:ascii="Times New Roman;serif" w:hAnsi="Times New Roman;serif"/>
          <w:b w:val="false"/>
          <w:sz w:val="22"/>
        </w:rPr>
        <w:t>as of such date for purposes of the Interest Coverage Ratio, Senior Secured First Lien Net Leverage Ratio, the Senior Secured Net Leverage Ratio or the Total Net Leverage Ratio, as applicable);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(iv) accrual of interest or dividends, the accretion of accreted value, the accretion or amortization of original issue discount and the payment of interest or dividends in the form of additional Indebtedness, Disqualified Equity Interests or Preferred Stock, as the case may be, of the same class shall not be deemed to be an incurrence or issuance of Indebtedness, Disqualified Equity Interests or Preferred Stock for purposes of this </w:t>
      </w:r>
      <w:r>
        <w:rPr>
          <w:rFonts w:ascii="Times New Roman;serif" w:hAnsi="Times New Roman;serif"/>
          <w:b w:val="false"/>
          <w:sz w:val="22"/>
          <w:u w:val="single"/>
        </w:rPr>
        <w:t>Section 6.01</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53" w:name="docxtextref1564"/>
      <w:bookmarkEnd w:id="953"/>
      <w:r>
        <w:rPr>
          <w:rFonts w:ascii="Times New Roman;serif" w:hAnsi="Times New Roman;serif"/>
          <w:b w:val="false"/>
          <w:sz w:val="22"/>
        </w:rPr>
        <w:t>does not exceed (i)</w:t>
      </w:r>
      <w:r>
        <w:rPr>
          <w:rFonts w:ascii="Times New Roman" w:hAnsi="Times New Roman"/>
          <w:sz w:val="20"/>
        </w:rPr>
        <w:t xml:space="preserve"> </w:t>
      </w:r>
      <w:r>
        <w:rPr>
          <w:rFonts w:ascii="Times New Roman;serif" w:hAnsi="Times New Roman;serif"/>
          <w:b w:val="false"/>
          <w:sz w:val="22"/>
        </w:rPr>
        <w:t xml:space="preserve">the principal amount of such Indebtedness being refinanced </w:t>
      </w:r>
      <w:r>
        <w:rPr>
          <w:rFonts w:ascii="Times New Roman;serif" w:hAnsi="Times New Roman;serif"/>
          <w:b w:val="false"/>
          <w:sz w:val="22"/>
          <w:u w:val="single"/>
        </w:rPr>
        <w:t>plus</w:t>
      </w:r>
      <w:r>
        <w:rPr>
          <w:rFonts w:ascii="Times New Roman" w:hAnsi="Times New Roman"/>
          <w:sz w:val="20"/>
        </w:rPr>
        <w:t xml:space="preserve"> </w:t>
      </w:r>
      <w:r>
        <w:rPr>
          <w:rFonts w:ascii="Times New Roman;serif" w:hAnsi="Times New Roman;serif"/>
          <w:b w:val="false"/>
          <w:sz w:val="22"/>
        </w:rPr>
        <w:t>(ii) the aggregate amount of fees, underwriting discounts, premiums and other costs and expenses incurred in connection with such refinancing.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(vii) in the case of any refinancing of any Indebtedness permitted under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and clause (ii), (iii), (xi)(a), (xii), (xvi) or (xix)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hereof or any portion thereof, the amount of Indebtedness being incurred to finance the aggregate amount of accrued and unpaid interest, dividends, premiums (including tender premiums), defeasance costs and fees and expenses (including original issue discount, upfront fees or similar fees) in connection with such refinancing shall not be deemed to be an incurrence or issuance of Indebtedness for purposes of this covenant, and the principal amount of any Disqualified Equity Interests of Bidco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(viii) notwithstanding anything in this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to the contrary, in the case of any Indebtedness incurred to refinance Indebtedness initially incurred in reliance on clause (iii), (xi)(b), or (xix)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hereof, measured by reference to a percentage of Consolidated EBITDA at the time of incurrence, and such refinancing would cause the percentage of Consolidated EBITDA restriction to be exceeded if calculated based on the percentage of Consolidated EBITDA on the date of such refinancing, such percentage of Consolidated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and fees and expenses (including original issue discount, upfront fees or similar fees) in connection with such refinancing;</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(ix) Guarantees of, or obligations in respect of letters of credit, bankers’ acceptances or other similar instruments relating to, Indebtedness that is otherwise included in the determination of a particular amount of Indebtedness shall not be included; and</w:t>
      </w:r>
    </w:p>
    <w:p>
      <w:pPr>
        <w:pStyle w:val="TextBody"/>
        <w:bidi w:val="0"/>
        <w:spacing w:before="0" w:after="240"/>
        <w:jc w:val="both"/>
        <w:rPr>
          <w:rFonts w:ascii="Times New Roman" w:hAnsi="Times New Roman"/>
          <w:sz w:val="20"/>
        </w:rPr>
      </w:pPr>
      <w:bookmarkStart w:id="954" w:name="docxtextref1570"/>
      <w:bookmarkEnd w:id="954"/>
      <w:r>
        <w:rPr>
          <w:rFonts w:ascii="Times New Roman;serif" w:hAnsi="Times New Roman;serif"/>
          <w:b w:val="false"/>
          <w:sz w:val="22"/>
        </w:rPr>
        <w:t>(x) pursuant to this Agreement (x)</w:t>
      </w:r>
      <w:r>
        <w:rPr>
          <w:rFonts w:ascii="Times New Roman" w:hAnsi="Times New Roman"/>
          <w:sz w:val="20"/>
        </w:rPr>
        <w:t xml:space="preserve"> </w:t>
      </w:r>
      <w:r>
        <w:rPr>
          <w:rFonts w:ascii="Times New Roman;serif" w:hAnsi="Times New Roman;serif"/>
          <w:b w:val="false"/>
          <w:sz w:val="22"/>
        </w:rPr>
        <w:t xml:space="preserve">unsecured Indebtedness shall not be treated as subordinated or junior to Secured Indebtedness merely because it is unsecured and </w:t>
      </w:r>
      <w:bookmarkStart w:id="955" w:name="docxtextref1571"/>
      <w:bookmarkEnd w:id="955"/>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Indebtedness shall not be treated as subordinated or junior to any other Indebtedness merely because it has a junior priority with respect to the same collateral or is secured by different collateral or because it is guaranteed by different obligors.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6.02 </w:t>
      </w:r>
      <w:r>
        <w:rPr>
          <w:rFonts w:ascii="Times New Roman;serif" w:hAnsi="Times New Roman;serif"/>
          <w:b w:val="false"/>
          <w:sz w:val="22"/>
          <w:u w:val="single"/>
        </w:rPr>
        <w:t>Liens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(a) Bidco shall not, and shall not permit any Borrower or any Guarantor to create, incur, assume or permit to exist any Lien (except Permitted Liens) (each, a “</w:t>
      </w:r>
      <w:r>
        <w:rPr>
          <w:rFonts w:ascii="Times New Roman;serif" w:hAnsi="Times New Roman;serif"/>
          <w:b w:val="false"/>
          <w:sz w:val="22"/>
          <w:u w:val="single"/>
        </w:rPr>
        <w:t>Subject Lien</w:t>
      </w:r>
      <w:r>
        <w:rPr>
          <w:rFonts w:ascii="Times New Roman" w:hAnsi="Times New Roman"/>
          <w:sz w:val="20"/>
        </w:rPr>
        <w:t>”</w:t>
      </w:r>
      <w:r>
        <w:rPr>
          <w:rFonts w:ascii="Times New Roman;serif" w:hAnsi="Times New Roman;serif"/>
          <w:b w:val="false"/>
          <w:sz w:val="22"/>
        </w:rPr>
        <w:t>) that secures obligations under any Indebtedness or any related Guarantee on any asset or property of Bidco, any Borrower or any Guarantor, unless: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in the case of Subject Liens on any Collateral, (A) if the obligations secured by such Subject Lien are expressly junior to the Secured Obligations or (B) such Subject Lien is a Permitted Lien; or</w:t>
      </w:r>
    </w:p>
    <w:p>
      <w:pPr>
        <w:pStyle w:val="TextBody"/>
        <w:bidi w:val="0"/>
        <w:spacing w:before="0" w:after="240"/>
        <w:jc w:val="both"/>
        <w:rPr>
          <w:rFonts w:ascii="Times New Roman" w:hAnsi="Times New Roman"/>
          <w:sz w:val="20"/>
        </w:rPr>
      </w:pPr>
      <w:bookmarkStart w:id="956" w:name="docxtextref1572"/>
      <w:bookmarkEnd w:id="956"/>
      <w:r>
        <w:rPr>
          <w:rFonts w:ascii="Times New Roman;serif" w:hAnsi="Times New Roman;serif"/>
          <w:b w:val="false"/>
          <w:sz w:val="22"/>
        </w:rPr>
        <w:t>(ii) in the case of any Subject Lien on assets or property not constituting Collateral, any Subject Lien if (A)</w:t>
      </w:r>
      <w:r>
        <w:rPr>
          <w:rFonts w:ascii="Times New Roman" w:hAnsi="Times New Roman"/>
          <w:sz w:val="20"/>
        </w:rPr>
        <w:t xml:space="preserve"> </w:t>
      </w:r>
      <w:r>
        <w:rPr>
          <w:rFonts w:ascii="Times New Roman;serif" w:hAnsi="Times New Roman;serif"/>
          <w:b w:val="false"/>
          <w:sz w:val="22"/>
        </w:rPr>
        <w:t xml:space="preserve">the Secured Obligations are equally and ratably secured with (or on a senior basis to, in the case such Subject Lien that secures any Subordinated Indebtedness) the obligations secured by such Subject Lien until such time as such obligations are no longer secured by such Subject Lien or </w:t>
      </w:r>
      <w:bookmarkStart w:id="957" w:name="docxtextref1573"/>
      <w:bookmarkEnd w:id="95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such Subject Lien is a Permitted Lien.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Any Lien created for the benefit of the Secured Parties pursuant to the preceding paragraph shall be automatically and unconditionally released and discharged upon the release and discharge of the Subject Lien that gave rise to the obligation to so secure the Secured Obligations.</w:t>
      </w:r>
    </w:p>
    <w:p>
      <w:pPr>
        <w:pStyle w:val="TextBody"/>
        <w:bidi w:val="0"/>
        <w:spacing w:before="0" w:after="240"/>
        <w:jc w:val="both"/>
        <w:rPr>
          <w:rFonts w:ascii="Times New Roman" w:hAnsi="Times New Roman"/>
          <w:sz w:val="20"/>
        </w:rPr>
      </w:pPr>
      <w:r>
        <w:rPr>
          <w:rFonts w:ascii="Times New Roman;serif" w:hAnsi="Times New Roman;serif"/>
          <w:b w:val="false"/>
          <w:sz w:val="22"/>
        </w:rPr>
        <w:t>(c) With respect to any Lien securing Indebtedness that was permitted to secure such Indebtedness at the time of the incurrence of such Indebtedness, such Lien shall also be permitted to secure any Increased Amount of such Indebtedness. The “</w:t>
      </w:r>
      <w:r>
        <w:rPr>
          <w:rFonts w:ascii="Times New Roman;serif" w:hAnsi="Times New Roman;serif"/>
          <w:b w:val="false"/>
          <w:sz w:val="22"/>
          <w:u w:val="single"/>
        </w:rPr>
        <w:t>Increased Amount</w:t>
      </w:r>
      <w:r>
        <w:rPr>
          <w:rFonts w:ascii="Times New Roman" w:hAnsi="Times New Roman"/>
          <w:sz w:val="20"/>
        </w:rPr>
        <w:t xml:space="preserve">” </w:t>
      </w:r>
      <w:r>
        <w:rPr>
          <w:rFonts w:ascii="Times New Roman;serif" w:hAnsi="Times New Roman;serif"/>
          <w:b w:val="false"/>
          <w:sz w:val="22"/>
        </w:rPr>
        <w:t>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6.03 </w:t>
      </w:r>
      <w:r>
        <w:rPr>
          <w:rFonts w:ascii="Times New Roman;serif" w:hAnsi="Times New Roman;serif"/>
          <w:b w:val="false"/>
          <w:sz w:val="22"/>
          <w:u w:val="single"/>
        </w:rPr>
        <w:t>Fundamental Changes; Holdings Covenant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Bidco will not, and will not permit any other Restricted Subsidiary to, merge into or consolidate with any other Person, or permit any other Person to merge into or consolidate with it, or liquidate or dissolve (which, for the avoidance of doubt, shall not restrict Bidco or any Restricted Subsidiary from changing its organizational form), except that:</w:t>
      </w:r>
    </w:p>
    <w:p>
      <w:pPr>
        <w:pStyle w:val="TextBody"/>
        <w:bidi w:val="0"/>
        <w:spacing w:before="0" w:after="240"/>
        <w:jc w:val="both"/>
        <w:rPr>
          <w:rFonts w:ascii="Times New Roman" w:hAnsi="Times New Roman"/>
          <w:sz w:val="20"/>
        </w:rPr>
      </w:pPr>
      <w:bookmarkStart w:id="958" w:name="docxtextref1577"/>
      <w:bookmarkEnd w:id="958"/>
      <w:r>
        <w:rPr>
          <w:rFonts w:ascii="Times New Roman;serif" w:hAnsi="Times New Roman;serif"/>
          <w:b w:val="false"/>
          <w:sz w:val="22"/>
        </w:rPr>
        <w:t>(i) any Restricted Subsidiary other than a Borrower may merge or consolidate with (A)</w:t>
      </w:r>
      <w:r>
        <w:rPr>
          <w:rFonts w:ascii="Times New Roman" w:hAnsi="Times New Roman"/>
          <w:sz w:val="20"/>
        </w:rPr>
        <w:t xml:space="preserve"> </w:t>
      </w:r>
      <w:r>
        <w:rPr>
          <w:rFonts w:ascii="Times New Roman;serif" w:hAnsi="Times New Roman;serif"/>
          <w:b w:val="false"/>
          <w:sz w:val="22"/>
        </w:rPr>
        <w:t xml:space="preserve">Bidco or a Borrower;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Bidco or such Borrower shall be the continuing or surviving Person, or </w:t>
      </w:r>
      <w:bookmarkStart w:id="959" w:name="docxtextref1578"/>
      <w:bookmarkEnd w:id="95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one or more Restricted Subsidiaries other than a Borrower;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when any Subsidiary Loan Party is merging or consolidating with another Restricted Subsidiary other than a Borrower </w:t>
      </w:r>
      <w:bookmarkStart w:id="960" w:name="docxtextref1575"/>
      <w:bookmarkEnd w:id="960"/>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the continuing or surviving Person shall be a Subsidiary Loan Party or </w:t>
      </w:r>
      <w:bookmarkStart w:id="961" w:name="docxtextref1576"/>
      <w:bookmarkEnd w:id="961"/>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if the continuing or surviving Person is not a Subsidiary Loan Party, the acquisition of such Subsidiary Loan Party by such surviving Restricted Subsidiary is otherwise permitted under </w:t>
      </w:r>
      <w:r>
        <w:rPr>
          <w:rFonts w:ascii="Times New Roman;serif" w:hAnsi="Times New Roman;serif"/>
          <w:b w:val="false"/>
          <w:sz w:val="22"/>
          <w:u w:val="single"/>
        </w:rPr>
        <w:t>Section 6.05</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62" w:name="docxtextref1579"/>
      <w:bookmarkEnd w:id="962"/>
      <w:r>
        <w:rPr>
          <w:rFonts w:ascii="Times New Roman;serif" w:hAnsi="Times New Roman;serif"/>
          <w:b w:val="false"/>
          <w:sz w:val="22"/>
        </w:rPr>
        <w:t>(ii) (A) any Restricted Subsidiary that is not a Loan Party may merge or consolidate with or into any other Restricted Subsidiary that is not a Loan Party and (B)</w:t>
      </w:r>
      <w:r>
        <w:rPr>
          <w:rFonts w:ascii="Times New Roman" w:hAnsi="Times New Roman"/>
          <w:sz w:val="20"/>
        </w:rPr>
        <w:t xml:space="preserve"> </w:t>
      </w:r>
      <w:r>
        <w:rPr>
          <w:rFonts w:ascii="Times New Roman;serif" w:hAnsi="Times New Roman;serif"/>
          <w:b w:val="false"/>
          <w:sz w:val="22"/>
        </w:rPr>
        <w:t>any Restricted Subsidiary other than a Borrower may liquidate or dissolve or change its legal form if Bidco determines in good faith that such action is in the best interests of Bidco and the Restricted Subsidiaries and is not materially disadvantageous to the Lenders;</w:t>
      </w:r>
    </w:p>
    <w:p>
      <w:pPr>
        <w:pStyle w:val="TextBody"/>
        <w:bidi w:val="0"/>
        <w:spacing w:before="0" w:after="240"/>
        <w:jc w:val="both"/>
        <w:rPr>
          <w:rFonts w:ascii="Times New Roman" w:hAnsi="Times New Roman"/>
          <w:sz w:val="20"/>
        </w:rPr>
      </w:pPr>
      <w:bookmarkStart w:id="963" w:name="docxtextref1582"/>
      <w:bookmarkEnd w:id="963"/>
      <w:r>
        <w:rPr>
          <w:rFonts w:ascii="Times New Roman;serif" w:hAnsi="Times New Roman;serif"/>
          <w:b w:val="false"/>
          <w:sz w:val="22"/>
        </w:rPr>
        <w:t xml:space="preserve">(iii) any Restricted Subsidiary other than a Borrower may make a disposition of all or substantially all of its assets (upon voluntary liquidation or otherwise) to Bidco or another Restricted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transferor in such a transaction is a Loan Party, then (A)</w:t>
      </w:r>
      <w:r>
        <w:rPr>
          <w:rFonts w:ascii="Times New Roman" w:hAnsi="Times New Roman"/>
          <w:sz w:val="20"/>
        </w:rPr>
        <w:t xml:space="preserve"> </w:t>
      </w:r>
      <w:r>
        <w:rPr>
          <w:rFonts w:ascii="Times New Roman;serif" w:hAnsi="Times New Roman;serif"/>
          <w:b w:val="false"/>
          <w:sz w:val="22"/>
        </w:rPr>
        <w:t xml:space="preserve">the transferee must be a Loan Party, </w:t>
      </w:r>
      <w:bookmarkStart w:id="964" w:name="docxtextref1583"/>
      <w:bookmarkEnd w:id="96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to the extent constituting an Investment in a Restricted Subsidiary that is not a Loan Party, such Investment is a permitted Investment in a Restricted Subsidiary that is not a Loan Party in accordance with </w:t>
      </w:r>
      <w:r>
        <w:rPr>
          <w:rFonts w:ascii="Times New Roman;serif" w:hAnsi="Times New Roman;serif"/>
          <w:b w:val="false"/>
          <w:sz w:val="22"/>
          <w:u w:val="single"/>
        </w:rPr>
        <w:t>Section 6.05</w:t>
      </w:r>
      <w:r>
        <w:rPr>
          <w:rFonts w:ascii="Times New Roman" w:hAnsi="Times New Roman"/>
          <w:sz w:val="20"/>
        </w:rPr>
        <w:t xml:space="preserve"> </w:t>
      </w:r>
      <w:r>
        <w:rPr>
          <w:rFonts w:ascii="Times New Roman;serif" w:hAnsi="Times New Roman;serif"/>
          <w:b w:val="false"/>
          <w:sz w:val="22"/>
        </w:rPr>
        <w:t xml:space="preserve">or </w:t>
      </w:r>
      <w:bookmarkStart w:id="965" w:name="docxtextref1584"/>
      <w:bookmarkEnd w:id="96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to the extent constituting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disposition to a Restricted Subsidiary that is not a Loan Party, such disposition is for fair market value (as determined in good faith by Bidco) and any promissory note or other non-cash consideration received in respect thereof is a permitted Investment in a Restricted Subsidiary that is not a Loan Party in accordance with </w:t>
      </w:r>
      <w:r>
        <w:rPr>
          <w:rFonts w:ascii="Times New Roman;serif" w:hAnsi="Times New Roman;serif"/>
          <w:b w:val="false"/>
          <w:sz w:val="22"/>
          <w:u w:val="single"/>
        </w:rPr>
        <w:t>Section 6.05</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66" w:name="docxtextref1588"/>
      <w:bookmarkEnd w:id="966"/>
      <w:r>
        <w:rPr>
          <w:rFonts w:ascii="Times New Roman;serif" w:hAnsi="Times New Roman;serif"/>
          <w:b w:val="false"/>
          <w:sz w:val="22"/>
        </w:rPr>
        <w:t xml:space="preserve">(iv) Bidco or a Borrower may merge or consolidate with (or dispose of all or substantially all of its assets to) any other Person;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Bidco or such Borrower shall be the continuing or surviving Person or </w:t>
      </w:r>
      <w:bookmarkStart w:id="967" w:name="docxtextref1589"/>
      <w:bookmarkEnd w:id="96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if the Person formed by or surviving any such merger or consolidation is not Bidco or such Borrower, as applicable, or is a Person into which Bidco or such Borrower has been liquidated (or, in connection with a disposition of all or substantially all of Bidco’s or such Borrower’s, as applicable, assets, if the transferee of such assets) (any such Person, the “</w:t>
      </w:r>
      <w:r>
        <w:rPr>
          <w:rFonts w:ascii="Times New Roman;serif" w:hAnsi="Times New Roman;serif"/>
          <w:b w:val="false"/>
          <w:sz w:val="22"/>
          <w:u w:val="single"/>
        </w:rPr>
        <w:t>Successor Entity</w:t>
      </w:r>
      <w:r>
        <w:rPr>
          <w:rFonts w:ascii="Times New Roman" w:hAnsi="Times New Roman"/>
          <w:sz w:val="20"/>
        </w:rPr>
        <w:t>”</w:t>
      </w:r>
      <w:r>
        <w:rPr>
          <w:rFonts w:ascii="Times New Roman;serif" w:hAnsi="Times New Roman;serif"/>
          <w:b w:val="false"/>
          <w:sz w:val="22"/>
        </w:rPr>
        <w:t xml:space="preserve">), </w:t>
      </w:r>
      <w:bookmarkStart w:id="968" w:name="docxtextref1585"/>
      <w:bookmarkEnd w:id="968"/>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the Successor Entity shall be an entity organized or existing under the laws of (i) in the case of Bidco or the Finco Borrower, Luxembourg, (ii) in the case of Bidco, Guernsey, (iii) in the case of Bidco or an Additional Borrower, England and Wales or (iv) in the case of a Borrower (other than the Finco Borrower or an Additional Borrower), the United States, any State thereof or the District of Columbia, </w:t>
      </w:r>
      <w:bookmarkStart w:id="969" w:name="docxtextref1586"/>
      <w:bookmarkEnd w:id="969"/>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the Successor Entity shall expressly assume all the obligations of Bidco or such Borrower, as applicable, under this Agreement and the other Loan Documents to which Bidco or such Borrower, as applicable, is a party pursuant to a supplement hereto or thereto in form and substance reasonably satisfactory to the Administrative Agent, </w:t>
      </w:r>
      <w:bookmarkStart w:id="970" w:name="docxtextref1587"/>
      <w:bookmarkEnd w:id="970"/>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 xml:space="preserve">each Loan Party other than Bidco or such Borrower, as applicable,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Entity’s obligations under this Agreement and (4) Bidco or such Borrower, as applicable, shall have delivered to the Administrative Agent a certificate of a Responsible Officer of Bidco or such Borrower, as applicable, and an opinion of counsel, each stating that such merger or consolidation complies with this Agreement;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xml:space="preserve">, that </w:t>
      </w:r>
      <w:bookmarkStart w:id="971" w:name="docxtextref1590"/>
      <w:bookmarkEnd w:id="971"/>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if such Person is not a Loan Party, no Event of Default (or, to the extent related to a Limited Condition Transaction, no Specified Event of Default) shall exist after giving effect to such merger or consolidation and </w:t>
      </w:r>
      <w:bookmarkStart w:id="972" w:name="docxtextref1591"/>
      <w:bookmarkEnd w:id="972"/>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if the foregoing requirements are satisfied, the Successor Entity will succeed to, and be substituted for, Bidco or such Borrower, as applicable, under this Agreement and the other Loan Documents;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Bidco or such Borrower, as applicable, will use commercially reasonable efforts to provide any documentation and other information about the Successor Entity as shall have been reasonably requested in writing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 any Restricted Subsidiary other than a Borrower may merge, consolidate or amalgamate with any other Person in order to effect an Investment permitted pursuant to </w:t>
      </w:r>
      <w:r>
        <w:rPr>
          <w:rFonts w:ascii="Times New Roman;serif" w:hAnsi="Times New Roman;serif"/>
          <w:b w:val="false"/>
          <w:sz w:val="22"/>
          <w:u w:val="single"/>
        </w:rPr>
        <w:t>Section 6.05</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continuing or surviving Person shall be Bidco or a Restricted Subsidiary, which together with each of the Restricted Subsidiaries, shall have complied with the requirements of </w:t>
      </w:r>
      <w:r>
        <w:rPr>
          <w:rFonts w:ascii="Times New Roman;serif" w:hAnsi="Times New Roman;serif"/>
          <w:b w:val="false"/>
          <w:sz w:val="22"/>
          <w:u w:val="single"/>
        </w:rPr>
        <w:t>Sections 5.11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5.12</w:t>
      </w:r>
      <w:r>
        <w:rPr>
          <w:rFonts w:ascii="Times New Roman;serif" w:hAnsi="Times New Roman;serif"/>
          <w:b w:val="false"/>
          <w:sz w:val="22"/>
        </w:rPr>
        <w:t>;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 any Restricted Subsidiary other than a Borrower may effect a merger, dissolution, liquidation consolidation or amalgamation to effect an Asset Sale permitted pursuant to </w:t>
      </w:r>
      <w:r>
        <w:rPr>
          <w:rFonts w:ascii="Times New Roman;serif" w:hAnsi="Times New Roman;serif"/>
          <w:b w:val="false"/>
          <w:sz w:val="22"/>
          <w:u w:val="single"/>
        </w:rPr>
        <w:t>Section 6.04</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973" w:name="docxtextref1597"/>
      <w:bookmarkEnd w:id="973"/>
      <w:r>
        <w:rPr>
          <w:rFonts w:ascii="Times New Roman;serif" w:hAnsi="Times New Roman;serif"/>
          <w:b w:val="false"/>
          <w:sz w:val="22"/>
        </w:rPr>
        <w:t>(b) Holdings will not, and will not permit any Intermediate Parent to, conduct, transact or otherwise engage in any business or operations other than (i)</w:t>
      </w:r>
      <w:r>
        <w:rPr>
          <w:rFonts w:ascii="Times New Roman" w:hAnsi="Times New Roman"/>
          <w:sz w:val="20"/>
        </w:rPr>
        <w:t xml:space="preserve"> </w:t>
      </w:r>
      <w:r>
        <w:rPr>
          <w:rFonts w:ascii="Times New Roman;serif" w:hAnsi="Times New Roman;serif"/>
          <w:b w:val="false"/>
          <w:sz w:val="22"/>
        </w:rPr>
        <w:t>the ownership and/or acquisition of the Equity Interests of Bidco, any Intermediate Parent and any other Subsidiary, (ii) the maintenance of its legal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74" w:name="docxtextref1598"/>
      <w:bookmarkEnd w:id="974"/>
      <w:r>
        <w:rPr>
          <w:rFonts w:ascii="Times New Roman;serif" w:hAnsi="Times New Roman;serif"/>
          <w:b w:val="false"/>
          <w:sz w:val="22"/>
        </w:rPr>
        <w:t>existence, including the ability to incur fees, costs and expenses relating to such maintenance, (iii) participating in tax, accounting and other administrative matters with respect to Holdings and its subsidiaries, (iv) the performance of its obligations under and in connection with the Loan Documents, any documentation governing any Indebtedness or Guarantee and the other agreements contemplated hereby and thereby, (v)</w:t>
      </w:r>
      <w:r>
        <w:rPr>
          <w:rFonts w:ascii="Times New Roman" w:hAnsi="Times New Roman"/>
          <w:sz w:val="20"/>
        </w:rPr>
        <w:t xml:space="preserve"> </w:t>
      </w:r>
      <w:r>
        <w:rPr>
          <w:rFonts w:ascii="Times New Roman;serif" w:hAnsi="Times New Roman;serif"/>
          <w:b w:val="false"/>
          <w:sz w:val="22"/>
        </w:rPr>
        <w:t xml:space="preserve">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w:t>
      </w:r>
      <w:r>
        <w:rPr>
          <w:rFonts w:ascii="Times New Roman;serif" w:hAnsi="Times New Roman;serif"/>
          <w:b w:val="false"/>
          <w:sz w:val="22"/>
          <w:u w:val="single"/>
        </w:rPr>
        <w:t>Section 5.17</w:t>
      </w:r>
      <w:r>
        <w:rPr>
          <w:rFonts w:ascii="Times New Roman;serif" w:hAnsi="Times New Roman;serif"/>
          <w:b w:val="false"/>
          <w:sz w:val="22"/>
        </w:rPr>
        <w:t xml:space="preserve">, or any Investment in Bidco,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w:t>
      </w:r>
      <w:bookmarkStart w:id="975" w:name="docxtextref1599"/>
      <w:bookmarkEnd w:id="97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activities incidental to the consummation of the Transactions and (xi) activities incidental to the businesses or activities described in clauses (i) to </w:t>
      </w:r>
      <w:bookmarkStart w:id="976" w:name="docxtextref1600"/>
      <w:bookmarkEnd w:id="97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of this paragraph.</w:t>
      </w:r>
    </w:p>
    <w:p>
      <w:pPr>
        <w:pStyle w:val="TextBody"/>
        <w:bidi w:val="0"/>
        <w:spacing w:before="0" w:after="240"/>
        <w:jc w:val="both"/>
        <w:rPr>
          <w:rFonts w:ascii="Times New Roman" w:hAnsi="Times New Roman"/>
          <w:sz w:val="20"/>
        </w:rPr>
      </w:pPr>
      <w:bookmarkStart w:id="977" w:name="docxtextref1601"/>
      <w:bookmarkEnd w:id="977"/>
      <w:r>
        <w:rPr>
          <w:rFonts w:ascii="Times New Roman;serif" w:hAnsi="Times New Roman;serif"/>
          <w:b w:val="false"/>
          <w:sz w:val="22"/>
        </w:rPr>
        <w:t>(c) Holdings will not, and will not permit any Intermediate Parent to, own or acquire any material assets (other than Equity Interests as referred to in paragraph (b)(i) above, cash and Cash Equivalents, intercompany Investments in any Intermediate Parent, Bidco or any Subsidiary permitted hereunder) or incur any liabilities (other than liabilities as referred to in paragraph (b)</w:t>
      </w:r>
      <w:r>
        <w:rPr>
          <w:rFonts w:ascii="Times New Roman" w:hAnsi="Times New Roman"/>
          <w:sz w:val="20"/>
        </w:rPr>
        <w:t xml:space="preserve"> </w:t>
      </w:r>
      <w:r>
        <w:rPr>
          <w:rFonts w:ascii="Times New Roman;serif" w:hAnsi="Times New Roman;serif"/>
          <w:b w:val="false"/>
          <w:sz w:val="22"/>
        </w:rPr>
        <w:t>above, liabilities imposed by law, including tax liabilities, and other liabilities incidental to its existence and business and activities permitted by this Agreement).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6.04 </w:t>
      </w:r>
      <w:r>
        <w:rPr>
          <w:rFonts w:ascii="Times New Roman;serif" w:hAnsi="Times New Roman;serif"/>
          <w:b w:val="false"/>
          <w:sz w:val="22"/>
          <w:u w:val="single"/>
        </w:rPr>
        <w:t>Asset Sales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Bidco shall not, and shall not permit any of its Restricted Subsidiaries to, consummate an Asset Sale, unless: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Bidco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except in the case of a Permitted Asset Swap, if the property or assets sold or otherwise disposed of have a Fair Market Value in excess of the greater of $375,000,000 and 50% of Consolidated EBITDA for the most recently ended Test Period at the time of such disposition, calculated on a Pro Forma Basis, at least 75% of the consideration therefor received by Bidco or such Restricted Subsidiary, as the case may be, is in the form of cash or Cash Equivalents;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amount of:</w:t>
      </w:r>
    </w:p>
    <w:p>
      <w:pPr>
        <w:pStyle w:val="TextBody"/>
        <w:bidi w:val="0"/>
        <w:spacing w:before="0" w:after="240"/>
        <w:jc w:val="both"/>
        <w:rPr>
          <w:rFonts w:ascii="Times New Roman" w:hAnsi="Times New Roman"/>
          <w:sz w:val="20"/>
        </w:rPr>
      </w:pPr>
      <w:bookmarkStart w:id="978" w:name="docxtextref1602"/>
      <w:bookmarkEnd w:id="978"/>
      <w:r>
        <w:rPr>
          <w:rFonts w:ascii="Times New Roman;serif" w:hAnsi="Times New Roman;serif"/>
          <w:b w:val="false"/>
          <w:sz w:val="22"/>
        </w:rPr>
        <w:t>(A) any liabilities, contingent or otherwise, of Bidco or such Restricted Subsidiary, other than liabilities that are by their terms subordinated to the Secured Obligations or that are owed to Bidco or a Restricted Subsidiary that (x)</w:t>
      </w:r>
      <w:r>
        <w:rPr>
          <w:rFonts w:ascii="Times New Roman" w:hAnsi="Times New Roman"/>
          <w:sz w:val="20"/>
        </w:rPr>
        <w:t xml:space="preserve"> </w:t>
      </w:r>
      <w:r>
        <w:rPr>
          <w:rFonts w:ascii="Times New Roman;serif" w:hAnsi="Times New Roman;serif"/>
          <w:b w:val="false"/>
          <w:sz w:val="22"/>
        </w:rPr>
        <w:t xml:space="preserve">are assumed by the transferee of any such assets (or a third party in connection with such transfer) or </w:t>
      </w:r>
      <w:bookmarkStart w:id="979" w:name="docxtextref1603"/>
      <w:bookmarkEnd w:id="97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are otherwise cancelled or terminated in connection with the transaction with such transferee (other than intercompany debt owed to Bidco or its Restricted Subsidiaries) and, in each case, for which Bidco and all of its Restricted Subsidiaries have been validly released;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any securities, notes or other obligations or assets received by Bidco or such Restricted Subsidiary from such transferee that are converted by Bidco or such Restricted Subsidiary into cash or Cash Equivalents (to the extent of the cash or Cash Equivalents received) within 180 days following the closing of such Asset Sale;</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-169-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Indebtedness of any Restricted Subsidiary that ceases to be a Restricted Subsidiary as a result of such Asset Sale (other than intercompany debt owed to Bidco or any Restricted Subsidiary), to the extent that Bidco and each other Restricted Subsidiary are released from any guarantee of payment of the principal amount of such Indebtedness in connection with such Asset Sale in accordance with the terms of this Agreement,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consideration consisting of Indebtedness of a Borrower or a Guarantor (other than intercompany debt owed to Bidco or any Restricted Subsidiary and other than Subordinated Indebtedness) received after the Effective Date from Persons who are not Bidco, Holdings or any Restricted Subsidiary;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any Designated Non-cash Consideration received by Bidco or such Restricted Subsidiary in such Asset Sale having an aggregate Fair Market Value taken together with all other Designated Non-cash Consideration received pursuant to this clause (E) that is at that time outstanding, not to exceed the greater of $225,000,000 and 30% of Consolidated EBITDA for the most recently ended Test Period at the time of the receipt of such Designated Non-cash Consideration, calculated on a Pro Forma Basis (with the Fair Market Value of each such item of Designated Non-cash Consideration being measured pursuant to this clause (E) at Bidco’s option, either at the time of contractually agreeing to such Asset Sale or at the time received and, in either case, without giving effect to subsequent changes in value); and</w:t>
      </w:r>
    </w:p>
    <w:p>
      <w:pPr>
        <w:pStyle w:val="TextBody"/>
        <w:bidi w:val="0"/>
        <w:spacing w:before="0" w:after="240"/>
        <w:jc w:val="both"/>
        <w:rPr>
          <w:rFonts w:ascii="Times New Roman" w:hAnsi="Times New Roman"/>
          <w:sz w:val="20"/>
        </w:rPr>
      </w:pPr>
      <w:r>
        <w:rPr>
          <w:rFonts w:ascii="Times New Roman;serif" w:hAnsi="Times New Roman;serif"/>
          <w:b w:val="false"/>
          <w:sz w:val="22"/>
        </w:rPr>
        <w:t>(F) any Investment, Capital Stock, assets, property or capital or other expenditure of the kind referred to in Section 6.04(b)(ii)</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shall be deemed to be Cash Equivalents for purposes of this provision and for no other purpose.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Within the Reinvestment Period after Bidco’s or any Restricted Subsidiary’s receipt of the Net Proceeds of any Asset Sale, Bidco or such Restricted Subsidiary shall apply an amount equal to the Net Proceeds from such Asset Sale,</w:t>
      </w:r>
    </w:p>
    <w:p>
      <w:pPr>
        <w:pStyle w:val="TextBody"/>
        <w:bidi w:val="0"/>
        <w:spacing w:before="0" w:after="240"/>
        <w:jc w:val="both"/>
        <w:rPr>
          <w:rFonts w:ascii="Times New Roman" w:hAnsi="Times New Roman"/>
          <w:sz w:val="20"/>
        </w:rPr>
      </w:pPr>
      <w:bookmarkStart w:id="980" w:name="docxtextref1606"/>
      <w:bookmarkEnd w:id="980"/>
      <w:r>
        <w:rPr>
          <w:rFonts w:ascii="Times New Roman;serif" w:hAnsi="Times New Roman;serif"/>
          <w:b w:val="false"/>
          <w:sz w:val="22"/>
        </w:rPr>
        <w:t xml:space="preserve">(i) (A) to prepay Loans or Indebtedness in accordance with </w:t>
      </w:r>
      <w:r>
        <w:rPr>
          <w:rFonts w:ascii="Times New Roman;serif" w:hAnsi="Times New Roman;serif"/>
          <w:b w:val="false"/>
          <w:sz w:val="22"/>
          <w:u w:val="single"/>
        </w:rPr>
        <w:t>Section 2.10(c)</w:t>
      </w:r>
      <w:r>
        <w:rPr>
          <w:rFonts w:ascii="Times New Roman" w:hAnsi="Times New Roman"/>
          <w:sz w:val="20"/>
        </w:rPr>
        <w:t xml:space="preserve"> </w:t>
      </w:r>
      <w:r>
        <w:rPr>
          <w:rFonts w:ascii="Times New Roman;serif" w:hAnsi="Times New Roman;serif"/>
          <w:b w:val="false"/>
          <w:sz w:val="22"/>
        </w:rPr>
        <w:t>or (B)</w:t>
      </w:r>
      <w:r>
        <w:rPr>
          <w:rFonts w:ascii="Times New Roman" w:hAnsi="Times New Roman"/>
          <w:sz w:val="20"/>
        </w:rPr>
        <w:t xml:space="preserve"> </w:t>
      </w:r>
      <w:r>
        <w:rPr>
          <w:rFonts w:ascii="Times New Roman;serif" w:hAnsi="Times New Roman;serif"/>
          <w:b w:val="false"/>
          <w:sz w:val="22"/>
        </w:rPr>
        <w:t xml:space="preserve">to the extent not required to prepay Loans pursuant to </w:t>
      </w:r>
      <w:r>
        <w:rPr>
          <w:rFonts w:ascii="Times New Roman;serif" w:hAnsi="Times New Roman;serif"/>
          <w:b w:val="false"/>
          <w:sz w:val="22"/>
          <w:u w:val="single"/>
        </w:rPr>
        <w:t>Section 2.10(c)</w:t>
      </w:r>
      <w:r>
        <w:rPr>
          <w:rFonts w:ascii="Times New Roman;serif" w:hAnsi="Times New Roman;serif"/>
          <w:b w:val="false"/>
          <w:sz w:val="22"/>
        </w:rPr>
        <w:t>, to be retained by Bidco and/or Restricted Subsidiaries;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to make investments in Bidco and its Subsidiaries;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that</w:t>
      </w:r>
      <w:r>
        <w:rPr>
          <w:rFonts w:ascii="Times New Roman" w:hAnsi="Times New Roman"/>
          <w:sz w:val="20"/>
        </w:rPr>
        <w:t xml:space="preserve"> </w:t>
      </w:r>
      <w:r>
        <w:rPr>
          <w:rFonts w:ascii="Times New Roman;serif" w:hAnsi="Times New Roman;serif"/>
          <w:b w:val="false"/>
          <w:sz w:val="22"/>
        </w:rPr>
        <w:t xml:space="preserve">Bidco and the Restricted Subsidiaries will be deemed to have complied with this </w:t>
      </w:r>
      <w:r>
        <w:rPr>
          <w:rFonts w:ascii="Times New Roman;serif" w:hAnsi="Times New Roman;serif"/>
          <w:b w:val="false"/>
          <w:sz w:val="22"/>
          <w:u w:val="single"/>
        </w:rPr>
        <w:t>clause (ii)</w:t>
      </w:r>
      <w:r>
        <w:rPr>
          <w:rFonts w:ascii="Times New Roman" w:hAnsi="Times New Roman"/>
          <w:sz w:val="20"/>
        </w:rPr>
        <w:t xml:space="preserve"> </w:t>
      </w:r>
      <w:r>
        <w:rPr>
          <w:rFonts w:ascii="Times New Roman;serif" w:hAnsi="Times New Roman;serif"/>
          <w:b w:val="false"/>
          <w:sz w:val="22"/>
        </w:rPr>
        <w:t xml:space="preserve">if and to the extent that, within the Reinvestment Period after the Asset Sale that generated the Net Proceeds, Bidco or such Restricted Subsidiary has entered into and not abandoned or rejected a binding agreement or letter of intent to consummate any such investment described in this </w:t>
      </w:r>
      <w:r>
        <w:rPr>
          <w:rFonts w:ascii="Times New Roman;serif" w:hAnsi="Times New Roman;serif"/>
          <w:b w:val="false"/>
          <w:sz w:val="22"/>
          <w:u w:val="single"/>
        </w:rPr>
        <w:t>clause (ii)</w:t>
      </w:r>
      <w:r>
        <w:rPr>
          <w:rFonts w:ascii="Times New Roman" w:hAnsi="Times New Roman"/>
          <w:sz w:val="20"/>
        </w:rPr>
        <w:t xml:space="preserve"> </w:t>
      </w:r>
      <w:r>
        <w:rPr>
          <w:rFonts w:ascii="Times New Roman;serif" w:hAnsi="Times New Roman;serif"/>
          <w:b w:val="false"/>
          <w:sz w:val="22"/>
        </w:rPr>
        <w:t>with the good faith expectation that such Net Proceeds will be applied to satisfy such commitment within 180 days of such commitment (an “</w:t>
      </w:r>
      <w:r>
        <w:rPr>
          <w:rFonts w:ascii="Times New Roman;serif" w:hAnsi="Times New Roman;serif"/>
          <w:b w:val="false"/>
          <w:sz w:val="22"/>
          <w:u w:val="single"/>
        </w:rPr>
        <w:t>Acceptable Commitment</w:t>
      </w:r>
      <w:r>
        <w:rPr>
          <w:rFonts w:ascii="Times New Roman" w:hAnsi="Times New Roman"/>
          <w:sz w:val="20"/>
        </w:rPr>
        <w:t>”</w:t>
      </w:r>
      <w:r>
        <w:rPr>
          <w:rFonts w:ascii="Times New Roman;serif" w:hAnsi="Times New Roman;serif"/>
          <w:b w:val="false"/>
          <w:sz w:val="22"/>
        </w:rPr>
        <w:t>) and, in the event any such commitment is later cancelled or terminated for any reason before the Net Proceeds are applied in connection therewith, Bidco or such Restricted Subsidiary enters into another Acceptable Commitment (a “</w:t>
      </w:r>
      <w:r>
        <w:rPr>
          <w:rFonts w:ascii="Times New Roman;serif" w:hAnsi="Times New Roman;serif"/>
          <w:b w:val="false"/>
          <w:sz w:val="22"/>
          <w:u w:val="single"/>
        </w:rPr>
        <w:t>Second Commitment</w:t>
      </w:r>
      <w:r>
        <w:rPr>
          <w:rFonts w:ascii="Times New Roman" w:hAnsi="Times New Roman"/>
          <w:sz w:val="20"/>
        </w:rPr>
        <w:t>”</w:t>
      </w:r>
      <w:r>
        <w:rPr>
          <w:rFonts w:ascii="Times New Roman;serif" w:hAnsi="Times New Roman;serif"/>
          <w:b w:val="false"/>
          <w:sz w:val="22"/>
        </w:rPr>
        <w:t xml:space="preserve">) within 180 days of such cancellation or termination;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any Second Commitment is later cancelled or terminated for any reason before such Net Proceeds are applied, then Bidco or such Restricted Subsidiary shall prepay the Loans in accordance with </w:t>
      </w:r>
      <w:r>
        <w:rPr>
          <w:rFonts w:ascii="Times New Roman;serif" w:hAnsi="Times New Roman;serif"/>
          <w:b w:val="false"/>
          <w:sz w:val="22"/>
          <w:u w:val="single"/>
        </w:rPr>
        <w:t>Section 2.10(c)</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(c) Pending the final application of any Net Proceeds pursuant to this covenant, the holder of such Net Proceeds may apply such Net Proceeds temporarily to reduce Indebtedness outstanding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under the Revolving Facility or any other revolving credit facility or otherwise use such Net Proceeds in any manner not prohibited by this Agreement. Bidco or any Restricted Subsidiary, as the case may be, may elect to invest in Bidco and its Subsidiaries prior to receiving the Net Proceeds attributable to any given Asset Sale (provided that such investment shall be made no earlier than execution of a definitive agreement for the relevant Asset Sale) and deem the amount so invested to be applied pursuant to and in accordance with clause (b)(ii) above with respect to such Asset Sale.</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6.05 </w:t>
      </w:r>
      <w:r>
        <w:rPr>
          <w:rFonts w:ascii="Times New Roman;serif" w:hAnsi="Times New Roman;serif"/>
          <w:b w:val="false"/>
          <w:sz w:val="22"/>
          <w:u w:val="single"/>
        </w:rPr>
        <w:t>Limitation on Restricted Payments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Bidco shall not, and shall not permit any of its Restricted Subsidiaries to: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declare or pay any dividend or make any payment or distribution on account of Bidco’s, or any of its Restricted Subsidiaries’ Equity Interests, including any dividend or distribution payable in connection with any merger, amalgamation or consolidation other than: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dividends or distributions by Bidco payable solely in Equity Interests (other than any Disqualified Equity Interests) or in options, warrants or other rights to purchase such Equity Interests;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dividends or distributions by a Restricted Subsidiary so long as, in the case of any dividend or distribution payable on or in respect of any class or series of securities issued by a Restricted Subsidiary other than a Wholly-Owned Subsidiary of Bidco, Bidco or a Restricted Subsidiary receives at least its </w:t>
      </w:r>
      <w:r>
        <w:rPr>
          <w:rFonts w:ascii="Times New Roman;serif" w:hAnsi="Times New Roman;serif"/>
          <w:b w:val="false"/>
          <w:sz w:val="22"/>
          <w:u w:val="single"/>
        </w:rPr>
        <w:t>pro</w:t>
      </w:r>
      <w:r>
        <w:rPr>
          <w:rFonts w:ascii="Times New Roman" w:hAnsi="Times New Roman"/>
          <w:sz w:val="20"/>
        </w:rPr>
        <w:t xml:space="preserve"> </w:t>
      </w:r>
      <w:r>
        <w:rPr>
          <w:rFonts w:ascii="Times New Roman;serif" w:hAnsi="Times New Roman;serif"/>
          <w:b w:val="false"/>
          <w:sz w:val="22"/>
          <w:u w:val="single"/>
        </w:rPr>
        <w:t>rata</w:t>
      </w:r>
      <w:r>
        <w:rPr>
          <w:rFonts w:ascii="Times New Roman" w:hAnsi="Times New Roman"/>
          <w:sz w:val="20"/>
        </w:rPr>
        <w:t xml:space="preserve"> </w:t>
      </w:r>
      <w:r>
        <w:rPr>
          <w:rFonts w:ascii="Times New Roman;serif" w:hAnsi="Times New Roman;serif"/>
          <w:b w:val="false"/>
          <w:sz w:val="22"/>
        </w:rPr>
        <w:t>share of such dividend or distribution in accordance with its Equity Interests in such class or series of securities;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purchase, redeem, defease or otherwise acquire or retire for value any Equity Interests of Bidco or any direct or indirect parent company of Bidco, including in connection with any merger, amalgamation or consolidation, held by Persons other than Bidco or a Restricted Subsidiary;</w:t>
      </w:r>
    </w:p>
    <w:p>
      <w:pPr>
        <w:pStyle w:val="TextBody"/>
        <w:bidi w:val="0"/>
        <w:spacing w:before="0" w:after="240"/>
        <w:jc w:val="both"/>
        <w:rPr>
          <w:rFonts w:ascii="Times New Roman" w:hAnsi="Times New Roman"/>
          <w:sz w:val="20"/>
        </w:rPr>
      </w:pPr>
      <w:bookmarkStart w:id="981" w:name="docxtextref1608"/>
      <w:bookmarkEnd w:id="981"/>
      <w:r>
        <w:rPr>
          <w:rFonts w:ascii="Times New Roman;serif" w:hAnsi="Times New Roman;serif"/>
          <w:b w:val="false"/>
          <w:sz w:val="22"/>
        </w:rPr>
        <w:t>(iii) make any principal payment on, or redeem, repurchase, defease or otherwise acquire or retire for value in each case, prior to any scheduled</w:t>
      </w:r>
      <w:r>
        <w:rPr>
          <w:rFonts w:ascii="Times New Roman" w:hAnsi="Times New Roman"/>
          <w:sz w:val="20"/>
        </w:rPr>
        <w:t xml:space="preserve"> </w:t>
      </w:r>
      <w:r>
        <w:rPr>
          <w:rFonts w:ascii="Times New Roman;serif" w:hAnsi="Times New Roman;serif"/>
          <w:b w:val="false"/>
          <w:sz w:val="22"/>
        </w:rPr>
        <w:t>repayment, sinking fund payment or maturity, any Subordinated Indebtedness, other than:</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Indebtedness permitted under clauses (vi), (vii) and (viii)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hereof; or</w:t>
      </w:r>
    </w:p>
    <w:p>
      <w:pPr>
        <w:pStyle w:val="TextBody"/>
        <w:bidi w:val="0"/>
        <w:spacing w:before="0" w:after="240"/>
        <w:jc w:val="both"/>
        <w:rPr>
          <w:rFonts w:ascii="Times New Roman" w:hAnsi="Times New Roman"/>
          <w:sz w:val="20"/>
        </w:rPr>
      </w:pPr>
      <w:bookmarkStart w:id="982" w:name="docxtextref1610"/>
      <w:bookmarkEnd w:id="982"/>
      <w:r>
        <w:rPr>
          <w:rFonts w:ascii="Times New Roman;serif" w:hAnsi="Times New Roman;serif"/>
          <w:b w:val="false"/>
          <w:sz w:val="22"/>
        </w:rPr>
        <w:t>(B) prepayments, redemptions, repurchases, defeasances and other payments in respect of Subordinated Indebtedness prior to their scheduled</w:t>
      </w:r>
      <w:r>
        <w:rPr>
          <w:rFonts w:ascii="Times New Roman" w:hAnsi="Times New Roman"/>
          <w:sz w:val="20"/>
        </w:rPr>
        <w:t xml:space="preserve"> </w:t>
      </w:r>
      <w:r>
        <w:rPr>
          <w:rFonts w:ascii="Times New Roman;serif" w:hAnsi="Times New Roman;serif"/>
          <w:b w:val="false"/>
          <w:sz w:val="22"/>
        </w:rPr>
        <w:t>maturity purchased in anticipation of satisfying a sinking fund obligation, principal installment or final maturity, in each case due within one year of the date of purchase, repurchase or acquisition;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(iv) make any Restricted Investment,</w:t>
      </w:r>
    </w:p>
    <w:p>
      <w:pPr>
        <w:pStyle w:val="TextBody"/>
        <w:bidi w:val="0"/>
        <w:spacing w:before="0" w:after="240"/>
        <w:jc w:val="both"/>
        <w:rPr>
          <w:rFonts w:ascii="Times New Roman" w:hAnsi="Times New Roman"/>
          <w:sz w:val="20"/>
        </w:rPr>
      </w:pPr>
      <w:r>
        <w:rPr>
          <w:rFonts w:ascii="Times New Roman;serif" w:hAnsi="Times New Roman;serif"/>
          <w:b w:val="false"/>
          <w:sz w:val="22"/>
        </w:rPr>
        <w:t>(the payments and other actions set forth in clause (iii) (other than the exceptions thereto) above being collectively referred to as “</w:t>
      </w:r>
      <w:r>
        <w:rPr>
          <w:rFonts w:ascii="Times New Roman;serif" w:hAnsi="Times New Roman;serif"/>
          <w:b w:val="false"/>
          <w:sz w:val="22"/>
          <w:u w:val="single"/>
        </w:rPr>
        <w:t>Restricted Debt Payments</w:t>
      </w:r>
      <w:r>
        <w:rPr>
          <w:rFonts w:ascii="Times New Roman" w:hAnsi="Times New Roman"/>
          <w:sz w:val="20"/>
        </w:rPr>
        <w:t>”</w:t>
      </w:r>
      <w:r>
        <w:rPr>
          <w:rFonts w:ascii="Times New Roman;serif" w:hAnsi="Times New Roman;serif"/>
          <w:b w:val="false"/>
          <w:sz w:val="22"/>
        </w:rPr>
        <w:t>, and all such payments and other actions set forth in clauses (i) through (iv) (other than any exception thereto) above being collectively referred to as “</w:t>
      </w:r>
      <w:r>
        <w:rPr>
          <w:rFonts w:ascii="Times New Roman;serif" w:hAnsi="Times New Roman;serif"/>
          <w:b w:val="false"/>
          <w:sz w:val="22"/>
          <w:u w:val="single"/>
        </w:rPr>
        <w:t>Restricted Payments</w:t>
      </w:r>
      <w:r>
        <w:rPr>
          <w:rFonts w:ascii="Times New Roman" w:hAnsi="Times New Roman"/>
          <w:sz w:val="20"/>
        </w:rPr>
        <w:t>”</w:t>
      </w:r>
      <w:r>
        <w:rPr>
          <w:rFonts w:ascii="Times New Roman;serif" w:hAnsi="Times New Roman;serif"/>
          <w:b w:val="false"/>
          <w:sz w:val="22"/>
        </w:rPr>
        <w:t>), unless, at the time of such Restricted Payment:</w:t>
      </w:r>
    </w:p>
    <w:p>
      <w:pPr>
        <w:pStyle w:val="TextBody"/>
        <w:bidi w:val="0"/>
        <w:spacing w:before="0" w:after="240"/>
        <w:jc w:val="both"/>
        <w:rPr>
          <w:rFonts w:ascii="Times New Roman" w:hAnsi="Times New Roman"/>
          <w:sz w:val="20"/>
        </w:rPr>
      </w:pPr>
      <w:r>
        <w:rPr>
          <w:rFonts w:ascii="Times New Roman;serif" w:hAnsi="Times New Roman;serif"/>
          <w:b w:val="false"/>
          <w:sz w:val="22"/>
        </w:rPr>
        <w:t>(A) such Restricted Payment, together with the aggregate amount of all other Restricted Payments made (and not returned or rescinded) by Bidco and its Restricted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83" w:name="docxtextref1614"/>
      <w:bookmarkEnd w:id="983"/>
      <w:r>
        <w:rPr>
          <w:rFonts w:ascii="Times New Roman;serif" w:hAnsi="Times New Roman;serif"/>
          <w:b w:val="false"/>
          <w:sz w:val="22"/>
        </w:rPr>
        <w:t xml:space="preserve">Subsidiaries under this </w:t>
      </w:r>
      <w:r>
        <w:rPr>
          <w:rFonts w:ascii="Times New Roman;serif" w:hAnsi="Times New Roman;serif"/>
          <w:b w:val="false"/>
          <w:sz w:val="22"/>
          <w:u w:val="single"/>
        </w:rPr>
        <w:t>Section 6.05(a)(A)</w:t>
      </w:r>
      <w:r>
        <w:rPr>
          <w:rFonts w:ascii="Times New Roman" w:hAnsi="Times New Roman"/>
          <w:sz w:val="20"/>
        </w:rPr>
        <w:t xml:space="preserve"> </w:t>
      </w:r>
      <w:r>
        <w:rPr>
          <w:rFonts w:ascii="Times New Roman;serif" w:hAnsi="Times New Roman;serif"/>
          <w:b w:val="false"/>
          <w:sz w:val="22"/>
        </w:rPr>
        <w:t xml:space="preserve">after the Effective Date (excluding all other Restricted Payments permitted by </w:t>
      </w:r>
      <w:r>
        <w:rPr>
          <w:rFonts w:ascii="Times New Roman;serif" w:hAnsi="Times New Roman;serif"/>
          <w:b w:val="false"/>
          <w:sz w:val="22"/>
          <w:u w:val="single"/>
        </w:rPr>
        <w:t>Section 6.05(b)</w:t>
      </w:r>
      <w:r>
        <w:rPr>
          <w:rFonts w:ascii="Times New Roman" w:hAnsi="Times New Roman"/>
          <w:sz w:val="20"/>
        </w:rPr>
        <w:t xml:space="preserve"> </w:t>
      </w:r>
      <w:r>
        <w:rPr>
          <w:rFonts w:ascii="Times New Roman;serif" w:hAnsi="Times New Roman;serif"/>
          <w:b w:val="false"/>
          <w:sz w:val="22"/>
        </w:rPr>
        <w:t xml:space="preserve">hereof), is less than the sum of (without duplication) (the sum or the amounts attributable to clauses </w:t>
      </w:r>
      <w:bookmarkStart w:id="984" w:name="docxtextref1612"/>
      <w:bookmarkEnd w:id="984"/>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through </w:t>
      </w:r>
      <w:bookmarkStart w:id="985" w:name="docxtextref1613"/>
      <w:bookmarkEnd w:id="985"/>
      <w:r>
        <w:rPr>
          <w:rFonts w:ascii="Times New Roman;serif" w:hAnsi="Times New Roman;serif"/>
          <w:b w:val="false"/>
          <w:sz w:val="22"/>
        </w:rPr>
        <w:t>(9)</w:t>
      </w:r>
      <w:r>
        <w:rPr>
          <w:rFonts w:ascii="Times New Roman" w:hAnsi="Times New Roman"/>
          <w:sz w:val="20"/>
        </w:rPr>
        <w:t xml:space="preserve"> </w:t>
      </w:r>
      <w:r>
        <w:rPr>
          <w:rFonts w:ascii="Times New Roman;serif" w:hAnsi="Times New Roman;serif"/>
          <w:b w:val="false"/>
          <w:sz w:val="22"/>
        </w:rPr>
        <w:t>below is referred to herein as the “</w:t>
      </w:r>
      <w:r>
        <w:rPr>
          <w:rFonts w:ascii="Times New Roman;serif" w:hAnsi="Times New Roman;serif"/>
          <w:b w:val="false"/>
          <w:sz w:val="22"/>
          <w:u w:val="single"/>
        </w:rPr>
        <w:t>Available Amount</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(1) 50% of the Consolidated Net Income of Bidco and its Restricted Subsidiaries for the period (taken as one accounting period) beginning on the first day of the fiscal quarter of Bidco during which the Effective Date occurs to the end of the most recently ended Test Period at the time of such Restricted Payment (which amount shall not be less than zero);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(2) 100% of the aggregate net cash proceeds and the Fair Market Value, as determined in good faith by a Responsible Officer of Bidco, of marketable securities or other property received by Bidco since immediately after the Effective Date (other than net cash proceeds from Cure Amounts or to the extent such net cash proceeds have been used to incur Indebtedness or issue any Disqualified Equity Interests or Preferred Stock pursuant to clause (xi)(a)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hereof) from the issue or sale 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 Equity Interests of Bidco, including Treasury Capital Stock, but excluding cash proceeds and the Fair Market Value, as determined in good faith by a Responsible Officer of Bidco, of marketable securities or other property received from the sale of:</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 Equity Interests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such amounts have been applied to Restricted Payments made in accordance with </w:t>
      </w:r>
      <w:r>
        <w:rPr>
          <w:rFonts w:ascii="Times New Roman;serif" w:hAnsi="Times New Roman;serif"/>
          <w:b w:val="false"/>
          <w:sz w:val="22"/>
          <w:u w:val="single"/>
        </w:rPr>
        <w:t>Section 6.05(b)(iv)</w:t>
      </w:r>
      <w:r>
        <w:rPr>
          <w:rFonts w:ascii="Times New Roman" w:hAnsi="Times New Roman"/>
          <w:sz w:val="20"/>
        </w:rPr>
        <w:t xml:space="preserve"> </w:t>
      </w:r>
      <w:r>
        <w:rPr>
          <w:rFonts w:ascii="Times New Roman;serif" w:hAnsi="Times New Roman;serif"/>
          <w:b w:val="false"/>
          <w:sz w:val="22"/>
        </w:rPr>
        <w:t>hereof;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(y) Designated Preferred Stock;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to the extent such net cash proceeds or other property are actually contributed to the capital of Bidco or any Restricted Subsidiary (without the issuance of additional Equity Interests of such Restricted Subsidiary), Equity Interests of any direct or indirect parent company of Bidco (excluding net cash proceeds from Cure Amounts, Contributed Holdings Investments and contributions of the proceeds from the sale of Designated Preferred Stock of such companies or contributions to the extent such amounts have been applied to Restricted Payments made in accordance with </w:t>
      </w:r>
      <w:r>
        <w:rPr>
          <w:rFonts w:ascii="Times New Roman;serif" w:hAnsi="Times New Roman;serif"/>
          <w:b w:val="false"/>
          <w:sz w:val="22"/>
          <w:u w:val="single"/>
        </w:rPr>
        <w:t>Section 6.05(b)(iv)</w:t>
      </w:r>
      <w:r>
        <w:rPr>
          <w:rFonts w:ascii="Times New Roman" w:hAnsi="Times New Roman"/>
          <w:sz w:val="20"/>
        </w:rPr>
        <w:t xml:space="preserve"> </w:t>
      </w:r>
      <w:r>
        <w:rPr>
          <w:rFonts w:ascii="Times New Roman;serif" w:hAnsi="Times New Roman;serif"/>
          <w:b w:val="false"/>
          <w:sz w:val="22"/>
        </w:rPr>
        <w:t>hereof);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debt securities of Bidco or any Restricted Subsidiary that have been converted into or exchanged for such Equity Interests of Bidco or a direct or indirect parent company of Bidco;</w:t>
      </w:r>
    </w:p>
    <w:p>
      <w:pPr>
        <w:pStyle w:val="TextBody"/>
        <w:bidi w:val="0"/>
        <w:spacing w:before="0" w:after="240"/>
        <w:jc w:val="both"/>
        <w:rPr>
          <w:rFonts w:ascii="Times New Roman" w:hAnsi="Times New Roman"/>
          <w:sz w:val="20"/>
        </w:rPr>
      </w:pPr>
      <w:bookmarkStart w:id="986" w:name="docxtextref1620"/>
      <w:bookmarkEnd w:id="986"/>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this clause (2)</w:t>
      </w:r>
      <w:r>
        <w:rPr>
          <w:rFonts w:ascii="Times New Roman" w:hAnsi="Times New Roman"/>
          <w:sz w:val="20"/>
        </w:rPr>
        <w:t xml:space="preserve"> </w:t>
      </w:r>
      <w:r>
        <w:rPr>
          <w:rFonts w:ascii="Times New Roman;serif" w:hAnsi="Times New Roman;serif"/>
          <w:b w:val="false"/>
          <w:sz w:val="22"/>
        </w:rPr>
        <w:t xml:space="preserve">shall not include the proceeds from </w:t>
      </w:r>
      <w:bookmarkStart w:id="987" w:name="docxtextref1621"/>
      <w:bookmarkEnd w:id="987"/>
      <w:r>
        <w:rPr>
          <w:rFonts w:ascii="Times New Roman;serif" w:hAnsi="Times New Roman;serif"/>
          <w:b w:val="false"/>
          <w:sz w:val="22"/>
        </w:rPr>
        <w:t>(W)</w:t>
      </w:r>
      <w:r>
        <w:rPr>
          <w:rFonts w:ascii="Times New Roman" w:hAnsi="Times New Roman"/>
          <w:sz w:val="20"/>
        </w:rPr>
        <w:t xml:space="preserve"> </w:t>
      </w:r>
      <w:r>
        <w:rPr>
          <w:rFonts w:ascii="Times New Roman;serif" w:hAnsi="Times New Roman;serif"/>
          <w:b w:val="false"/>
          <w:sz w:val="22"/>
        </w:rPr>
        <w:t xml:space="preserve">Refunding Capital Stock, </w:t>
      </w:r>
      <w:bookmarkStart w:id="988" w:name="docxtextref1622"/>
      <w:bookmarkEnd w:id="988"/>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Equity Interests or convertible debt securities of Bidco sold to a Restricted Subsidiary, as the case may be, </w:t>
      </w:r>
      <w:bookmarkStart w:id="989" w:name="docxtextref1623"/>
      <w:bookmarkEnd w:id="98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Disqualified Equity Interests or debt securities that have been converted into Disqualified Equity Interests or </w:t>
      </w:r>
      <w:bookmarkStart w:id="990" w:name="docxtextref1624"/>
      <w:bookmarkEnd w:id="990"/>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Excluded Contributions; </w:t>
      </w:r>
      <w:r>
        <w:rPr>
          <w:rFonts w:ascii="Times New Roman;serif" w:hAnsi="Times New Roman;serif"/>
          <w:b w:val="false"/>
          <w:sz w:val="22"/>
          <w:u w:val="single"/>
        </w:rPr>
        <w:t>plus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991" w:name="docxtextref1626"/>
      <w:bookmarkEnd w:id="991"/>
      <w:r>
        <w:rPr>
          <w:rFonts w:ascii="Times New Roman;serif" w:hAnsi="Times New Roman;serif"/>
          <w:b w:val="false"/>
          <w:sz w:val="22"/>
        </w:rPr>
        <w:t>(3) 100% of the aggregate amount of cash and the Fair Market Value, as determined in good faith by a Responsible Officer of Bidco, of marketable securities or other property contributed to the capital of Bidco after the Effective Date (other than net cash proceeds to the extent such net cash proceeds (i)</w:t>
      </w:r>
      <w:r>
        <w:rPr>
          <w:rFonts w:ascii="Times New Roman" w:hAnsi="Times New Roman"/>
          <w:sz w:val="20"/>
        </w:rPr>
        <w:t xml:space="preserve"> </w:t>
      </w:r>
      <w:r>
        <w:rPr>
          <w:rFonts w:ascii="Times New Roman;serif" w:hAnsi="Times New Roman;serif"/>
          <w:b w:val="false"/>
          <w:sz w:val="22"/>
        </w:rPr>
        <w:t xml:space="preserve">have been used to incur Indebtedness or issue any Disqualified Equity Interests or Preferred Stock pursuant to clause (xi)(a) of </w:t>
      </w:r>
      <w:r>
        <w:rPr>
          <w:rFonts w:ascii="Times New Roman;serif" w:hAnsi="Times New Roman;serif"/>
          <w:b w:val="false"/>
          <w:sz w:val="22"/>
          <w:u w:val="single"/>
        </w:rPr>
        <w:t>Section 6.01(b)</w:t>
      </w:r>
      <w:r>
        <w:rPr>
          <w:rFonts w:ascii="Times New Roman" w:hAnsi="Times New Roman"/>
          <w:sz w:val="20"/>
        </w:rPr>
        <w:t xml:space="preserve"> </w:t>
      </w:r>
      <w:r>
        <w:rPr>
          <w:rFonts w:ascii="Times New Roman;serif" w:hAnsi="Times New Roman;serif"/>
          <w:b w:val="false"/>
          <w:sz w:val="22"/>
        </w:rPr>
        <w:t xml:space="preserve">hereof, (ii) are contributed by a Restricted Subsidiary or (iii) constitute Excluded Contributions and Contributed Holdings Investments); </w:t>
      </w:r>
      <w:r>
        <w:rPr>
          <w:rFonts w:ascii="Times New Roman;serif" w:hAnsi="Times New Roman;serif"/>
          <w:b w:val="false"/>
          <w:sz w:val="22"/>
          <w:u w:val="single"/>
        </w:rPr>
        <w:t>plus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(4) 100% of the aggregate amount received in cash and the Fair Market Value, as determined in good faith by a Responsible Officer of Bidco, of marketable securities or other property received by Bidco or a Restricted Subsidiary by means 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the sale or other disposition (other than to Bidco or a Restricted Subsidiary) of Restricted Investments made by Bidco or its Restricted Subsidiaries and repurchases and redemptions of such Restricted Investments from Bidco or its Restricted Subsidiaries (other than by Bidco or a Restricted Subsidiary) and repayments of loans or advances and releases of guarantees, that constitute Restricted Investments made by Bidco or its Restricted Subsidiaries, in each case after the Effective Date;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the sale or other disposition (other than to Bidco or a Restricted Subsidiary) of the stock of an Unrestricted Subsidiary or a distribution from an Unrestricted Subsidiary;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(5) in the case of the redesignation of an Unrestricted Subsidiary as a Restricted Subsidiary or the merger, amalgamation or consolidation of an Unrestricted Subsidiary into Bidco or a Restricted Subsidiary or the transfer of all or substantially all of the assets of an Unrestricted Subsidiary to Bidco or a Restricted Subsidiary after the Effective Date, the Fair Market Value of the Investment in such Unrestricted Subsidiary (or the assets transferred), as determined in good faith by a Responsible Officer of Bidco,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the Investment in such Unrestricted Subsidiary was made by Bidco or a Restricted Subsidiary pursuant to </w:t>
      </w:r>
      <w:r>
        <w:rPr>
          <w:rFonts w:ascii="Times New Roman;serif" w:hAnsi="Times New Roman;serif"/>
          <w:b w:val="false"/>
          <w:sz w:val="22"/>
          <w:u w:val="single"/>
        </w:rPr>
        <w:t>Section 6.05(b)(xi)</w:t>
      </w:r>
      <w:r>
        <w:rPr>
          <w:rFonts w:ascii="Times New Roman" w:hAnsi="Times New Roman"/>
          <w:sz w:val="20"/>
        </w:rPr>
        <w:t xml:space="preserve"> </w:t>
      </w:r>
      <w:r>
        <w:rPr>
          <w:rFonts w:ascii="Times New Roman;serif" w:hAnsi="Times New Roman;serif"/>
          <w:b w:val="false"/>
          <w:sz w:val="22"/>
        </w:rPr>
        <w:t xml:space="preserve">or to the extent such Investment constituted a Permitted Investment;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(6) the aggregate amount of any Retained Declined Proceeds and Specified Asset Sale Proceeds since the Effective Date;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bookmarkStart w:id="992" w:name="docxtextref1629"/>
      <w:bookmarkEnd w:id="992"/>
      <w:r>
        <w:rPr>
          <w:rFonts w:ascii="Times New Roman;serif" w:hAnsi="Times New Roman;serif"/>
          <w:b w:val="false"/>
          <w:sz w:val="22"/>
        </w:rPr>
        <w:t>(7) the greater of (i)</w:t>
      </w:r>
      <w:r>
        <w:rPr>
          <w:rFonts w:ascii="Times New Roman" w:hAnsi="Times New Roman"/>
          <w:sz w:val="20"/>
        </w:rPr>
        <w:t xml:space="preserve"> </w:t>
      </w:r>
      <w:r>
        <w:rPr>
          <w:rFonts w:ascii="Times New Roman;serif" w:hAnsi="Times New Roman;serif"/>
          <w:b w:val="false"/>
          <w:sz w:val="22"/>
        </w:rPr>
        <w:t xml:space="preserve">$300,000,000 and (ii) 40% of Consolidated EBITDA for the most recently ended Test Period as of such date, calculated on a Pro Forma Basis;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(8) the aggregate amount of any cash overfunding and the proceeds from the sale of any accounts receivable, royalty or other similar rights to payment and any other assets related thereto that are not reflected on the most recent consolidated balance sheet of Bidco and the Restricted Subsidiaries; </w:t>
      </w:r>
      <w:r>
        <w:rPr>
          <w:rFonts w:ascii="Times New Roman;serif" w:hAnsi="Times New Roman;serif"/>
          <w:b w:val="false"/>
          <w:sz w:val="22"/>
          <w:u w:val="single"/>
        </w:rPr>
        <w:t>minus</w:t>
      </w:r>
    </w:p>
    <w:p>
      <w:pPr>
        <w:pStyle w:val="TextBody"/>
        <w:bidi w:val="0"/>
        <w:spacing w:before="0" w:after="240"/>
        <w:jc w:val="both"/>
        <w:rPr>
          <w:rFonts w:ascii="Times New Roman" w:hAnsi="Times New Roman"/>
          <w:sz w:val="20"/>
        </w:rPr>
      </w:pPr>
      <w:bookmarkStart w:id="993" w:name="docxtextref1631"/>
      <w:bookmarkEnd w:id="993"/>
      <w:r>
        <w:rPr>
          <w:rFonts w:ascii="Times New Roman;serif" w:hAnsi="Times New Roman;serif"/>
          <w:b w:val="false"/>
          <w:sz w:val="22"/>
        </w:rPr>
        <w:t>(9) the cumulative amount of (i)</w:t>
      </w:r>
      <w:r>
        <w:rPr>
          <w:rFonts w:ascii="Times New Roman" w:hAnsi="Times New Roman"/>
          <w:sz w:val="20"/>
        </w:rPr>
        <w:t xml:space="preserve"> </w:t>
      </w:r>
      <w:r>
        <w:rPr>
          <w:rFonts w:ascii="Times New Roman;serif" w:hAnsi="Times New Roman;serif"/>
          <w:b w:val="false"/>
          <w:sz w:val="22"/>
        </w:rPr>
        <w:t xml:space="preserve">Liens incurred pursuant to clause </w:t>
      </w:r>
      <w:bookmarkStart w:id="994" w:name="docxtextref1630"/>
      <w:bookmarkEnd w:id="994"/>
      <w:r>
        <w:rPr>
          <w:rFonts w:ascii="Times New Roman;serif" w:hAnsi="Times New Roman;serif"/>
          <w:b w:val="false"/>
          <w:sz w:val="22"/>
        </w:rPr>
        <w:t>(34)</w:t>
      </w:r>
      <w:r>
        <w:rPr>
          <w:rFonts w:ascii="Times New Roman" w:hAnsi="Times New Roman"/>
          <w:sz w:val="20"/>
        </w:rPr>
        <w:t xml:space="preserve"> </w:t>
      </w:r>
      <w:r>
        <w:rPr>
          <w:rFonts w:ascii="Times New Roman;serif" w:hAnsi="Times New Roman;serif"/>
          <w:b w:val="false"/>
          <w:sz w:val="22"/>
        </w:rPr>
        <w:t>of the definition of “Permitted Liens” from and after the Effective Date and outstanding at such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time and (ii) Indebtedness incurred pursuant to </w:t>
      </w:r>
      <w:r>
        <w:rPr>
          <w:rFonts w:ascii="Times New Roman;serif" w:hAnsi="Times New Roman;serif"/>
          <w:b w:val="false"/>
          <w:sz w:val="22"/>
          <w:u w:val="single"/>
        </w:rPr>
        <w:t>Section 6.01(b)(xxiv)</w:t>
      </w:r>
      <w:r>
        <w:rPr>
          <w:rFonts w:ascii="Times New Roman" w:hAnsi="Times New Roman"/>
          <w:sz w:val="20"/>
        </w:rPr>
        <w:t xml:space="preserve"> </w:t>
      </w:r>
      <w:r>
        <w:rPr>
          <w:rFonts w:ascii="Times New Roman;serif" w:hAnsi="Times New Roman;serif"/>
          <w:b w:val="false"/>
          <w:sz w:val="22"/>
        </w:rPr>
        <w:t>from and after the Effective Date and outstanding at such time.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provisions of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hereof shall not prohibit: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the payment of any dividend or other distribution or the consummation of any redemption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as the case may be, would have complied with the provisions of this Agreement;</w:t>
      </w:r>
    </w:p>
    <w:p>
      <w:pPr>
        <w:pStyle w:val="TextBody"/>
        <w:bidi w:val="0"/>
        <w:spacing w:before="0" w:after="240"/>
        <w:jc w:val="both"/>
        <w:rPr>
          <w:rFonts w:ascii="Times New Roman" w:hAnsi="Times New Roman"/>
          <w:sz w:val="20"/>
        </w:rPr>
      </w:pPr>
      <w:bookmarkStart w:id="995" w:name="docxtextref1634"/>
      <w:bookmarkEnd w:id="995"/>
      <w:r>
        <w:rPr>
          <w:rFonts w:ascii="Times New Roman;serif" w:hAnsi="Times New Roman;serif"/>
          <w:b w:val="false"/>
          <w:sz w:val="22"/>
        </w:rPr>
        <w:t>(ii) (A) the redemption, repurchase, defeasance, retirement or other acquisition of any (i)</w:t>
      </w:r>
      <w:r>
        <w:rPr>
          <w:rFonts w:ascii="Times New Roman" w:hAnsi="Times New Roman"/>
          <w:sz w:val="20"/>
        </w:rPr>
        <w:t xml:space="preserve"> </w:t>
      </w:r>
      <w:r>
        <w:rPr>
          <w:rFonts w:ascii="Times New Roman;serif" w:hAnsi="Times New Roman;serif"/>
          <w:b w:val="false"/>
          <w:sz w:val="22"/>
        </w:rPr>
        <w:t>Equity Interests, including any accrued and unpaid dividends thereon (“</w:t>
      </w:r>
      <w:r>
        <w:rPr>
          <w:rFonts w:ascii="Times New Roman;serif" w:hAnsi="Times New Roman;serif"/>
          <w:b w:val="false"/>
          <w:sz w:val="22"/>
          <w:u w:val="single"/>
        </w:rPr>
        <w:t>Treasury Capital Stock</w:t>
      </w:r>
      <w:r>
        <w:rPr>
          <w:rFonts w:ascii="Times New Roman" w:hAnsi="Times New Roman"/>
          <w:sz w:val="20"/>
        </w:rPr>
        <w:t>”</w:t>
      </w:r>
      <w:r>
        <w:rPr>
          <w:rFonts w:ascii="Times New Roman;serif" w:hAnsi="Times New Roman;serif"/>
          <w:b w:val="false"/>
          <w:sz w:val="22"/>
        </w:rPr>
        <w:t>) of Bidco or any Restricted Subsidiary or Subordinated Indebtedness of Bidco, any Borrower or any Guarantor or (ii) Equity Interests of any direct or indirect parent company of Bidco, in the case of each of clauses (i) and (ii), in exchange for, or out of the proceeds of the substantially concurrent sale (other than to Bidco or a Restricted Subsidiary) of, Equity Interests of Bidco or any direct or indirect parent company of Bidco to the extent contributed to the capital of Bidco or any Restricted Subsidiary (in each case, other than any Disqualified Equity Interests) (“</w:t>
      </w:r>
      <w:r>
        <w:rPr>
          <w:rFonts w:ascii="Times New Roman;serif" w:hAnsi="Times New Roman;serif"/>
          <w:b w:val="false"/>
          <w:sz w:val="22"/>
          <w:u w:val="single"/>
        </w:rPr>
        <w:t>Refunding Capital Stock</w:t>
      </w:r>
      <w:r>
        <w:rPr>
          <w:rFonts w:ascii="Times New Roman" w:hAnsi="Times New Roman"/>
          <w:sz w:val="20"/>
        </w:rPr>
        <w:t>”</w:t>
      </w:r>
      <w:r>
        <w:rPr>
          <w:rFonts w:ascii="Times New Roman;serif" w:hAnsi="Times New Roman;serif"/>
          <w:b w:val="false"/>
          <w:sz w:val="22"/>
        </w:rPr>
        <w:t xml:space="preserve">), </w:t>
      </w:r>
      <w:bookmarkStart w:id="996" w:name="docxtextref1635"/>
      <w:bookmarkEnd w:id="99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declaration and payment of dividends on the Treasury Capital Stock out of the proceeds of the substantially concurrent sale (other than to Bidco or a Restricted Subsidiary) of the Refunding Capital Stock and </w:t>
      </w:r>
      <w:bookmarkStart w:id="997" w:name="docxtextref1636"/>
      <w:bookmarkEnd w:id="997"/>
      <w:r>
        <w:rPr>
          <w:rFonts w:ascii="Times New Roman;serif" w:hAnsi="Times New Roman;serif"/>
          <w:b w:val="false"/>
          <w:sz w:val="22"/>
        </w:rPr>
        <w:t>(iii)</w:t>
      </w:r>
      <w:r>
        <w:rPr>
          <w:rFonts w:ascii="Times New Roman" w:hAnsi="Times New Roman"/>
          <w:sz w:val="20"/>
        </w:rPr>
        <w:t xml:space="preserve"> </w:t>
      </w:r>
      <w:r>
        <w:rPr>
          <w:rFonts w:ascii="Times New Roman;serif" w:hAnsi="Times New Roman;serif"/>
          <w:b w:val="false"/>
          <w:sz w:val="22"/>
        </w:rPr>
        <w:t xml:space="preserve">if immediately prior to the retirement of Treasury Capital Stock, the declaration and payment of dividends thereon was permitted under clause (vi) of this </w:t>
      </w:r>
      <w:r>
        <w:rPr>
          <w:rFonts w:ascii="Times New Roman;serif" w:hAnsi="Times New Roman;serif"/>
          <w:b w:val="false"/>
          <w:sz w:val="22"/>
          <w:u w:val="single"/>
        </w:rPr>
        <w:t>Section 6.05(b)</w:t>
      </w:r>
      <w:r>
        <w:rPr>
          <w:rFonts w:ascii="Times New Roman;serif" w:hAnsi="Times New Roman;serif"/>
          <w:b w:val="false"/>
          <w:sz w:val="22"/>
        </w:rPr>
        <w:t>, the declaration and payment of dividends on the Refunding Capital Stock (other than Refunding Capital Stock the proceeds of which were used to redeem, repurchase, retire or otherwise acquire any Equity Interests of any direct or indirect parent company of Bidco) in an aggregate amount per year no greater than the aggregate amount of dividends per annum that were declarable and payable on such Treasury Capital Stock immediately prior to such retirement;</w:t>
      </w:r>
    </w:p>
    <w:p>
      <w:pPr>
        <w:pStyle w:val="TextBody"/>
        <w:bidi w:val="0"/>
        <w:spacing w:before="0" w:after="240"/>
        <w:jc w:val="both"/>
        <w:rPr>
          <w:rFonts w:ascii="Times New Roman" w:hAnsi="Times New Roman"/>
          <w:sz w:val="20"/>
        </w:rPr>
      </w:pPr>
      <w:bookmarkStart w:id="998" w:name="docxtextref1638"/>
      <w:bookmarkEnd w:id="998"/>
      <w:r>
        <w:rPr>
          <w:rFonts w:ascii="Times New Roman;serif" w:hAnsi="Times New Roman;serif"/>
          <w:b w:val="false"/>
          <w:sz w:val="22"/>
        </w:rPr>
        <w:t>(iii) the defeasance, redemption, repurchase, exchange or other acquisition or retirement for value of (i)</w:t>
      </w:r>
      <w:r>
        <w:rPr>
          <w:rFonts w:ascii="Times New Roman" w:hAnsi="Times New Roman"/>
          <w:sz w:val="20"/>
        </w:rPr>
        <w:t xml:space="preserve"> </w:t>
      </w:r>
      <w:r>
        <w:rPr>
          <w:rFonts w:ascii="Times New Roman;serif" w:hAnsi="Times New Roman;serif"/>
          <w:b w:val="false"/>
          <w:sz w:val="22"/>
        </w:rPr>
        <w:t xml:space="preserve">Subordinated Indebtedness of a Borrower or a Guarantor made by exchange for, or out of the proceeds of the substantially concurrent sale of, new Subordinated Indebtedness of a Borrower or a Guarantor or (ii) Disqualified Equity Interests of a Borrower or a Guarantor made by exchange for, or out of the proceeds of the substantially concurrent sale of, Disqualified Equity Interests of a Borrower or a Guarantor, that, in each case, is incurred in compliance with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rFonts w:ascii="Times New Roman" w:hAnsi="Times New Roman"/>
          <w:sz w:val="20"/>
        </w:rPr>
      </w:pPr>
      <w:r>
        <w:rPr>
          <w:rFonts w:ascii="Times New Roman;serif" w:hAnsi="Times New Roman;serif"/>
          <w:b w:val="false"/>
          <w:sz w:val="22"/>
        </w:rPr>
        <w:t>(iv) Restricted Payments to Bidco or direct or indirect parent companies of Bidco, the proceeds of which are, or will be, promptly used to redeem, acquire, retire, repurchase or settle its Equity Interests (or any options, warrants, restricted stock or stock appreciation rights or similar securities issued with respect to any such Equity Interests) (in each case, other than Disqualified Equity Interests) or Indebtedness or to service Indebtedness incurred by direct or indirect parent companies of Bidco to finance the redemption, acquisition, retirement, repurchase or settlement of such Equity Interest or Indebtedness (or make Restricted Payments to allow any of Bidco’s direct or indirect parent companies to so redeem, retire, acquire or repurchase their Equity Interests or their Indebtedness or to service Indebtedness incurred by direct or indirect parent companies of Bidco to finance the redemption, acquisition, retirement, repurchase or settlement of such Equity Interests or Indebtedness or to service Indebtedness incurred to finance the redemption, retirement, acquisition or repurchase of such Equity Interests or Indebtedness), in each case held directly or indirectly by current or former officers, managers, consultants, members of the board of directors, employees or independent contractors (or their respective spouses, former spouses, successors,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executors, administrators, heirs, legatees or distributees) of direct or indirect parent companies of Bidco, Bidco and/or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not to exceed the greater of $112,500,000 and 15% of Consolidated EBITDA for the most recently ended Test Period as of such date, calculated on a Pro Forma Basis, in any calendar year (with unused amounts in any calendar year being carried over to succeeding calendar years subject to a maximum of the greater of $225,000,000 and 30% of Consolidated EBITDA for the most recently ended Test Period as of such date, calculated on a Pro Forma Basis, in any calendar year), in each case, without giving effect to the following proviso;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amount in any calendar year may be increased by:</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the cash proceeds from the sale of Equity Interests (other than Disqualified Equity Interests) of Bidco and, to the extent contributed to Bidco, Equity Interests of any of Bidco’s direct or indirect parent companies, in each case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the cash proceeds from the sale of such Equity Interests have not otherwise been applied to the payment of Restricted Payments by virtue of </w:t>
      </w:r>
      <w:r>
        <w:rPr>
          <w:rFonts w:ascii="Times New Roman;serif" w:hAnsi="Times New Roman;serif"/>
          <w:b w:val="false"/>
          <w:sz w:val="22"/>
          <w:u w:val="single"/>
        </w:rPr>
        <w:t>Section 6.05(a)(A)</w:t>
      </w:r>
      <w:r>
        <w:rPr>
          <w:rFonts w:ascii="Times New Roman;serif" w:hAnsi="Times New Roman;serif"/>
          <w:b w:val="false"/>
          <w:sz w:val="22"/>
        </w:rPr>
        <w:t xml:space="preserve">;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an amount not to exceed the cash proceeds of key man life insurance policies received by Bidco (or by direct or indirect parent companies of Bidco and contributed to Bidco) or the Restricted Subsidiaries after the Effective Date; </w:t>
      </w:r>
      <w:r>
        <w:rPr>
          <w:rFonts w:ascii="Times New Roman;serif" w:hAnsi="Times New Roman;serif"/>
          <w:b w:val="false"/>
          <w:sz w:val="22"/>
          <w:u w:val="single"/>
        </w:rPr>
        <w:t>plus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the amount of any bona fide cash bonuses otherwise payable to members of the board of directors, consultants, officers, employees, managers or independent contractors of direct or indirect parent companies of Bidco, Bidco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serif" w:hAnsi="Times New Roman;serif"/>
          <w:b w:val="false"/>
          <w:sz w:val="22"/>
          <w:u w:val="single"/>
        </w:rPr>
        <w:t>less</w:t>
      </w:r>
    </w:p>
    <w:p>
      <w:pPr>
        <w:pStyle w:val="TextBody"/>
        <w:bidi w:val="0"/>
        <w:spacing w:before="0" w:after="240"/>
        <w:jc w:val="both"/>
        <w:rPr>
          <w:rFonts w:ascii="Times New Roman" w:hAnsi="Times New Roman"/>
          <w:sz w:val="20"/>
        </w:rPr>
      </w:pPr>
      <w:bookmarkStart w:id="999" w:name="docxtextref1641"/>
      <w:bookmarkEnd w:id="999"/>
      <w:r>
        <w:rPr>
          <w:rFonts w:ascii="Times New Roman;serif" w:hAnsi="Times New Roman;serif"/>
          <w:b w:val="false"/>
          <w:sz w:val="22"/>
        </w:rPr>
        <w:t>(D) the amount of any Restricted Payments previously made with the cash proceeds described in clauses (A), (B)</w:t>
      </w:r>
      <w:r>
        <w:rPr>
          <w:rFonts w:ascii="Times New Roman" w:hAnsi="Times New Roman"/>
          <w:sz w:val="20"/>
        </w:rPr>
        <w:t xml:space="preserve"> </w:t>
      </w:r>
      <w:r>
        <w:rPr>
          <w:rFonts w:ascii="Times New Roman;serif" w:hAnsi="Times New Roman;serif"/>
          <w:b w:val="false"/>
          <w:sz w:val="22"/>
        </w:rPr>
        <w:t xml:space="preserve">and </w:t>
      </w:r>
      <w:bookmarkStart w:id="1000" w:name="docxtextref1642"/>
      <w:bookmarkEnd w:id="100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of this clause (iv);</w:t>
      </w:r>
    </w:p>
    <w:p>
      <w:pPr>
        <w:pStyle w:val="TextBody"/>
        <w:bidi w:val="0"/>
        <w:spacing w:before="0" w:after="240"/>
        <w:jc w:val="both"/>
        <w:rPr>
          <w:rFonts w:ascii="Times New Roman" w:hAnsi="Times New Roman"/>
          <w:sz w:val="20"/>
        </w:rPr>
      </w:pPr>
      <w:bookmarkStart w:id="1001" w:name="docxtextref1643"/>
      <w:bookmarkEnd w:id="1001"/>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cancellation of Indebtedness owing to Bidco or any Restricted Subsidiary from members of the board of directors, consultants, officers, employees, managers or independent contractors (or their respective spouses, former spouses, successors, executors, administrators, heirs, legatees or distributees) of direct or indirect parent companies of Bidco, Bidco or any Restricted Subsidiary in connection with a repurchase of Equity Interests of Bidco or any direct or indirect parent companies of Bidco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clauses (i) and (ii), shall not be deemed to constitute a Restricted Payment for purposes of this Agreement;</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 the declaration and payment of dividends to holders of any class or series of Disqualified Equity Interests of Bidco or any of its Restricted Subsidiaries or any class or series of Preferred Stock of any Restricted Subsidiary, in each case issued in accordance with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 (A) the declaration and payment of dividends to holders of any class or series of Designated Preferred Stock (other than Disqualified Equity Interests) issued by Bidco or any of its Restricted Subsidiaries after the Effective Date;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declaration and payment of dividends to any direct or indirect parent company of Bidco, the proceeds of which shall be used to fund the payment of dividends to holders of any class or series of Designated Preferred Stock (other than Disqualified Equity Interests) of such parent company issued after the Effective Date,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amount of dividends paid pursuant to this clause (B) shall not exceed the aggregate amount of cash actually contributed to the capital of Bidco from the sale of such Designated Preferred Stock; 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the declaration and payment of dividends on Refunding Capital Stock that is Preferred Stock in excess of the dividends declarable and payable thereon pursuant to </w:t>
      </w:r>
      <w:r>
        <w:rPr>
          <w:rFonts w:ascii="Times New Roman;serif" w:hAnsi="Times New Roman;serif"/>
          <w:b w:val="false"/>
          <w:sz w:val="22"/>
          <w:u w:val="single"/>
        </w:rPr>
        <w:t>Section 6.05(b)(ii)</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(vii) Restricted Payments by any Restricted Subsidiary to Bidco or direct or indirect parent companies of Bidco to the extent the proceeds of such Restricted Payments are contributed or loaned or advanced to another Restricted Subsidiary;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(viii) the declaration and payment of dividends or the payment of other distributions by Bidco or a Restricted Subsidiary to, or the making of loans or advances to, any of their respective direct or indirect parent companies to allow payments by Bidco or any direct or indirect parent company of Bidco in respect of withholding or similar taxes payable in connection with any grant or vesting of an Equity Interest to or by, or repurchase, or dividend or other distribution to facilitate a repurchase, of an Equity Interest from, any future, present or former employee, director, officer, manager or consultant (or their respective Controlled Investment Affiliates, Immediate Family Members or permitted transferees), or in connection with any repurchases of Equity Interests in consideration of such payments, including deemed repurchases in connection with the exercise of stock options, warrants or other incentive interests and the vesting of restricted stock and restricted stock units or any deemed repurchases of Equity Interests representing a portion of the exercise price of such options or warrants or other incentive interest;</w:t>
      </w:r>
    </w:p>
    <w:p>
      <w:pPr>
        <w:pStyle w:val="TextBody"/>
        <w:bidi w:val="0"/>
        <w:spacing w:before="0" w:after="240"/>
        <w:jc w:val="both"/>
        <w:rPr>
          <w:rFonts w:ascii="Times New Roman" w:hAnsi="Times New Roman"/>
          <w:sz w:val="20"/>
        </w:rPr>
      </w:pPr>
      <w:bookmarkStart w:id="1002" w:name="docxtextref1647"/>
      <w:bookmarkEnd w:id="1002"/>
      <w:r>
        <w:rPr>
          <w:rFonts w:ascii="Times New Roman;serif" w:hAnsi="Times New Roman;serif"/>
          <w:b w:val="false"/>
          <w:sz w:val="22"/>
        </w:rPr>
        <w:t>(ix) (a) the declaration and payment of dividends by Bidco on the common stock or Equity Interests of Bidco or any direct or indirect parent company of Bidco following a public offering of such common stock or common equity interests, in an amount in any fiscal year not to exceed the greater of (i)</w:t>
      </w:r>
      <w:r>
        <w:rPr>
          <w:rFonts w:ascii="Times New Roman" w:hAnsi="Times New Roman"/>
          <w:sz w:val="20"/>
        </w:rPr>
        <w:t xml:space="preserve"> </w:t>
      </w:r>
      <w:r>
        <w:rPr>
          <w:rFonts w:ascii="Times New Roman;serif" w:hAnsi="Times New Roman;serif"/>
          <w:b w:val="false"/>
          <w:sz w:val="22"/>
        </w:rPr>
        <w:t xml:space="preserve">up to </w:t>
      </w:r>
      <w:bookmarkStart w:id="1003" w:name="docxtextref1649"/>
      <w:bookmarkEnd w:id="1003"/>
      <w:r>
        <w:rPr>
          <w:rFonts w:ascii="Times New Roman;serif" w:hAnsi="Times New Roman;serif"/>
          <w:b w:val="false"/>
          <w:sz w:val="22"/>
        </w:rPr>
        <w:t xml:space="preserve">6.0% of the aggregate proceeds received by or contributed to Bidco in or from all such public offerings and (ii) an aggregate amount not to exceed </w:t>
      </w:r>
      <w:bookmarkStart w:id="1004" w:name="docxtextref1646"/>
      <w:bookmarkEnd w:id="1004"/>
      <w:r>
        <w:rPr>
          <w:rFonts w:ascii="Times New Roman;serif" w:hAnsi="Times New Roman;serif"/>
          <w:b w:val="false"/>
          <w:sz w:val="22"/>
        </w:rPr>
        <w:t xml:space="preserve">5.0% of the market capitalization of Bidco or </w:t>
      </w:r>
      <w:bookmarkStart w:id="1005" w:name="docxtextref1648"/>
      <w:bookmarkEnd w:id="100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in lieu of all or a portion of the dividends permitted by clause (a), any prepayment, purchase, repurchase, redemption, defeasance, discharge, retirement or other acquisition of Bidco’s Equity Interests (and any equivalent declaration and payment of a distribution of any security exchangeable for such common stock or common equity interests to the extent required by the terms of any such exchangeable securities and any Restricted Payment to any direct or indirect parent company of Bidco to fund the payment by such direct or indirect parent company of Bidco of dividends on such entity’s Equity Interests) for aggregate consideration that,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when taken together with dividends permitted by clause (a), does not exceed the amount contemplated by clause (a);</w:t>
      </w:r>
    </w:p>
    <w:p>
      <w:pPr>
        <w:pStyle w:val="TextBody"/>
        <w:bidi w:val="0"/>
        <w:spacing w:before="0" w:after="240"/>
        <w:jc w:val="both"/>
        <w:rPr>
          <w:rFonts w:ascii="Times New Roman" w:hAnsi="Times New Roman"/>
          <w:sz w:val="20"/>
        </w:rPr>
      </w:pPr>
      <w:bookmarkStart w:id="1006" w:name="docxtextref1652"/>
      <w:bookmarkEnd w:id="1006"/>
      <w:r>
        <w:rPr>
          <w:rFonts w:ascii="Times New Roman;serif" w:hAnsi="Times New Roman;serif"/>
          <w:b w:val="false"/>
          <w:sz w:val="22"/>
        </w:rPr>
        <w:t>(x) Restricted Payments that are made (a)</w:t>
      </w:r>
      <w:r>
        <w:rPr>
          <w:rFonts w:ascii="Times New Roman" w:hAnsi="Times New Roman"/>
          <w:sz w:val="20"/>
        </w:rPr>
        <w:t xml:space="preserve"> </w:t>
      </w:r>
      <w:r>
        <w:rPr>
          <w:rFonts w:ascii="Times New Roman;serif" w:hAnsi="Times New Roman;serif"/>
          <w:b w:val="false"/>
          <w:sz w:val="22"/>
        </w:rPr>
        <w:t xml:space="preserve">in an amount not to exceed the amount of Excluded Contributions made since the Effective Date that is not otherwise applied pursuant to clause </w:t>
      </w:r>
      <w:bookmarkStart w:id="1007" w:name="docxtextref1651"/>
      <w:bookmarkEnd w:id="1007"/>
      <w:r>
        <w:rPr>
          <w:rFonts w:ascii="Times New Roman;serif" w:hAnsi="Times New Roman;serif"/>
          <w:b w:val="false"/>
          <w:sz w:val="22"/>
        </w:rPr>
        <w:t>(35)</w:t>
      </w:r>
      <w:r>
        <w:rPr>
          <w:rFonts w:ascii="Times New Roman" w:hAnsi="Times New Roman"/>
          <w:sz w:val="20"/>
        </w:rPr>
        <w:t xml:space="preserve"> </w:t>
      </w:r>
      <w:r>
        <w:rPr>
          <w:rFonts w:ascii="Times New Roman;serif" w:hAnsi="Times New Roman;serif"/>
          <w:b w:val="false"/>
          <w:sz w:val="22"/>
        </w:rPr>
        <w:t xml:space="preserve">of the definition of “Permitted Liens” or </w:t>
      </w:r>
      <w:r>
        <w:rPr>
          <w:rFonts w:ascii="Times New Roman;serif" w:hAnsi="Times New Roman;serif"/>
          <w:b w:val="false"/>
          <w:sz w:val="22"/>
          <w:u w:val="single"/>
        </w:rPr>
        <w:t>Section 6.01(b)(xxv)</w:t>
      </w:r>
      <w:r>
        <w:rPr>
          <w:rFonts w:ascii="Times New Roman" w:hAnsi="Times New Roman"/>
          <w:sz w:val="20"/>
        </w:rPr>
        <w:t xml:space="preserve"> </w:t>
      </w:r>
      <w:r>
        <w:rPr>
          <w:rFonts w:ascii="Times New Roman;serif" w:hAnsi="Times New Roman;serif"/>
          <w:b w:val="false"/>
          <w:sz w:val="22"/>
        </w:rPr>
        <w:t xml:space="preserve">as in effect immediately prior to such Restricted Payments (and after giving Pro Forma Effect thereto) or </w:t>
      </w:r>
      <w:bookmarkStart w:id="1008" w:name="docxtextref1653"/>
      <w:bookmarkEnd w:id="100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in an amount equal to the amount of net cash proceeds from an asset sale or disposition in respect of property or assets acquired, if the acquisition of such property or assets was financed with Excluded Contributions;</w:t>
      </w:r>
    </w:p>
    <w:p>
      <w:pPr>
        <w:pStyle w:val="TextBody"/>
        <w:bidi w:val="0"/>
        <w:spacing w:before="0" w:after="240"/>
        <w:jc w:val="both"/>
        <w:rPr>
          <w:rFonts w:ascii="Times New Roman" w:hAnsi="Times New Roman"/>
          <w:sz w:val="20"/>
        </w:rPr>
      </w:pPr>
      <w:bookmarkStart w:id="1009" w:name="docxtextref1654"/>
      <w:bookmarkEnd w:id="1009"/>
      <w:r>
        <w:rPr>
          <w:rFonts w:ascii="Times New Roman;serif" w:hAnsi="Times New Roman;serif"/>
          <w:b w:val="false"/>
          <w:sz w:val="22"/>
        </w:rPr>
        <w:t>(xi) other Restricted Payments (other than Restricted Debt Payments) in an aggregate amount taken together with all other Restricted Payments made pursuant to this clause (xi) not to exceed the sum of (i)</w:t>
      </w:r>
      <w:r>
        <w:rPr>
          <w:rFonts w:ascii="Times New Roman" w:hAnsi="Times New Roman"/>
          <w:sz w:val="20"/>
        </w:rPr>
        <w:t xml:space="preserve"> </w:t>
      </w:r>
      <w:r>
        <w:rPr>
          <w:rFonts w:ascii="Times New Roman;serif" w:hAnsi="Times New Roman;serif"/>
          <w:b w:val="false"/>
          <w:sz w:val="22"/>
        </w:rPr>
        <w:t>the greater of $225,000,000 and 30% of Consolidated EBITDA for the most recently ended Test Period at the time made, calculated on a Pro Forma Basis and (ii) the Available Restricted Debt Payments Amount;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(xii) distributions or payments of Receivables Fees;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(xiii) Restricted Payments made as part of or to consummate the Transactions;</w:t>
      </w:r>
    </w:p>
    <w:p>
      <w:pPr>
        <w:pStyle w:val="TextBody"/>
        <w:bidi w:val="0"/>
        <w:spacing w:before="0" w:after="240"/>
        <w:jc w:val="both"/>
        <w:rPr>
          <w:rFonts w:ascii="Times New Roman" w:hAnsi="Times New Roman"/>
          <w:sz w:val="20"/>
        </w:rPr>
      </w:pPr>
      <w:bookmarkStart w:id="1010" w:name="docxtextref1655"/>
      <w:bookmarkEnd w:id="1010"/>
      <w:r>
        <w:rPr>
          <w:rFonts w:ascii="Times New Roman;serif" w:hAnsi="Times New Roman;serif"/>
          <w:b w:val="false"/>
          <w:sz w:val="22"/>
        </w:rPr>
        <w:t>(xiv) other Restricted Debt Payments in an aggregate amount taken together with all other Restricted Debt Payments made pursuant to this clause (xiv) not to exceed the sum of (i)</w:t>
      </w:r>
      <w:r>
        <w:rPr>
          <w:rFonts w:ascii="Times New Roman" w:hAnsi="Times New Roman"/>
          <w:sz w:val="20"/>
        </w:rPr>
        <w:t xml:space="preserve"> </w:t>
      </w:r>
      <w:r>
        <w:rPr>
          <w:rFonts w:ascii="Times New Roman;serif" w:hAnsi="Times New Roman;serif"/>
          <w:b w:val="false"/>
          <w:sz w:val="22"/>
        </w:rPr>
        <w:t>the greater of $225,000,000 and 30% of Consolidated EBITDA for the most recently ended Test Period at the time made, calculated on a Pro Forma Basis, (ii) the Available Investments Amount and (iii) the Available Restricted Payments Amount;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 the declaration and payment of dividends or the payment of other distributions by Bidco or a Restricted Subsidiary to, or the making of loans or advances to, any of their respective direct or indirect parent companies in amounts required for any direct or indirect parent companies to pay, in each case without duplication,</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franchise, excise and similar taxes and other fees, taxes and expenses required to maintain their corporate existence;</w:t>
      </w:r>
    </w:p>
    <w:p>
      <w:pPr>
        <w:pStyle w:val="TextBody"/>
        <w:bidi w:val="0"/>
        <w:spacing w:before="0" w:after="240"/>
        <w:jc w:val="both"/>
        <w:rPr>
          <w:rFonts w:ascii="Times New Roman" w:hAnsi="Times New Roman"/>
          <w:sz w:val="20"/>
        </w:rPr>
      </w:pPr>
      <w:r>
        <w:rPr>
          <w:rFonts w:ascii="Times New Roman;serif" w:hAnsi="Times New Roman;serif"/>
          <w:b w:val="false"/>
          <w:sz w:val="22"/>
        </w:rPr>
        <w:t>(B) (1) with respect to any taxable period in which Bidco and/or any of its Subsidiaries is a member of (or Bidco is a disregarded entity for U.S. federal income tax purposes wholly-owned by a member of) a consolidated, combined, unitary or similar tax group (a “</w:t>
      </w:r>
      <w:r>
        <w:rPr>
          <w:rFonts w:ascii="Times New Roman;serif" w:hAnsi="Times New Roman;serif"/>
          <w:b w:val="false"/>
          <w:sz w:val="22"/>
          <w:u w:val="single"/>
        </w:rPr>
        <w:t>Tax Group</w:t>
      </w:r>
      <w:r>
        <w:rPr>
          <w:rFonts w:ascii="Times New Roman" w:hAnsi="Times New Roman"/>
          <w:sz w:val="20"/>
        </w:rPr>
        <w:t>”</w:t>
      </w:r>
      <w:r>
        <w:rPr>
          <w:rFonts w:ascii="Times New Roman;serif" w:hAnsi="Times New Roman;serif"/>
          <w:b w:val="false"/>
          <w:sz w:val="22"/>
        </w:rPr>
        <w:t xml:space="preserve">) for U.S. federal and/or applicable foreign, state or local income tax purposes of which Holdings, an Intermediate Parent or any direct or indirect parent of Holdings is the common parent, the portion of U.S. federal, state, and/or local income Taxes of such Tax Group for such taxable period that is attributable to the taxable income of Bidco and/or its direct or indirect consolidated subsidiaries;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for each taxable period, the amount of such payments made in respect of such taxable period in the aggregate shall not exceed the amount of such Taxes that Bidco and/or its applicable Subsidiaries would have been required to pay if they were a stand-alone Tax Group with Bidco as the corporate common parent of such stand-alone Tax Group; and (2) with respect to any taxable period for which Bidco is a partnership for U.S. federal and/or applicable state or local income tax purposes, the portion of the U.S. federal, state or local income Taxes of Bidco’s direct owner(s) (or, where a direct owner is a pass-through entity, indirect owner(s)) for such taxable period that is attributable to the taxable income of Bidco, in an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011" w:name="docxtextref1658"/>
      <w:bookmarkEnd w:id="1011"/>
      <w:r>
        <w:rPr>
          <w:rFonts w:ascii="Times New Roman;serif" w:hAnsi="Times New Roman;serif"/>
          <w:b w:val="false"/>
          <w:sz w:val="22"/>
        </w:rPr>
        <w:t>amount not to exceed the product of (x)</w:t>
      </w:r>
      <w:r>
        <w:rPr>
          <w:rFonts w:ascii="Times New Roman" w:hAnsi="Times New Roman"/>
          <w:sz w:val="20"/>
        </w:rPr>
        <w:t xml:space="preserve"> </w:t>
      </w:r>
      <w:r>
        <w:rPr>
          <w:rFonts w:ascii="Times New Roman;serif" w:hAnsi="Times New Roman;serif"/>
          <w:b w:val="false"/>
          <w:sz w:val="22"/>
        </w:rPr>
        <w:t xml:space="preserve">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indirect) equity owner of Bidco for the taxable period in question and </w:t>
      </w:r>
      <w:bookmarkStart w:id="1012" w:name="docxtextref1659"/>
      <w:bookmarkEnd w:id="1012"/>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the taxable income of Bidco for such period, reduced by all taxable losses of Bidco with respect to any prior taxable year of Bidco to the extent such losses were not previously taken into account for purposes of computing distributions permitted under this </w:t>
      </w:r>
      <w:r>
        <w:rPr>
          <w:rFonts w:ascii="Times New Roman;serif" w:hAnsi="Times New Roman;serif"/>
          <w:b w:val="false"/>
          <w:sz w:val="22"/>
          <w:u w:val="single"/>
        </w:rPr>
        <w:t>Section 6.05(b)(xv)(B)</w:t>
      </w:r>
      <w:r>
        <w:rPr>
          <w:rFonts w:ascii="Times New Roman" w:hAnsi="Times New Roman"/>
          <w:sz w:val="20"/>
        </w:rPr>
        <w:t xml:space="preserve"> </w:t>
      </w:r>
      <w:r>
        <w:rPr>
          <w:rFonts w:ascii="Times New Roman;serif" w:hAnsi="Times New Roman;serif"/>
          <w:b w:val="false"/>
          <w:sz w:val="22"/>
        </w:rPr>
        <w:t xml:space="preserve">and such losses are of a character that would permit such losses to be deducted by the direct or indirect owners of Bidco against the current table income of Bidco (any distributions permitted under this </w:t>
      </w:r>
      <w:r>
        <w:rPr>
          <w:rFonts w:ascii="Times New Roman;serif" w:hAnsi="Times New Roman;serif"/>
          <w:b w:val="false"/>
          <w:sz w:val="22"/>
          <w:u w:val="single"/>
        </w:rPr>
        <w:t>Section 6.05(b)(xv)(B)</w:t>
      </w:r>
      <w:r>
        <w:rPr>
          <w:rFonts w:ascii="Times New Roman" w:hAnsi="Times New Roman"/>
          <w:sz w:val="20"/>
        </w:rPr>
        <w:t xml:space="preserve"> </w:t>
      </w:r>
      <w:r>
        <w:rPr>
          <w:rFonts w:ascii="Times New Roman;serif" w:hAnsi="Times New Roman;serif"/>
          <w:b w:val="false"/>
          <w:sz w:val="22"/>
        </w:rPr>
        <w:t>collectively, “</w:t>
      </w:r>
      <w:r>
        <w:rPr>
          <w:rFonts w:ascii="Times New Roman;serif" w:hAnsi="Times New Roman;serif"/>
          <w:b w:val="false"/>
          <w:sz w:val="22"/>
          <w:u w:val="single"/>
        </w:rPr>
        <w:t>Tax Distributions</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customary salary, bonus and other benefits payable to employees, directors, officers and managers of any direct or indirect parent company of Bidco to the extent such salaries, bonuses and other benefits are attributable to the ownership or operation of Bidco and its Restricted Subsidiaries;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general corporate operating and overhead costs and expenses of any direct or indirect parent company of Bidco to the extent such costs and expenses are attributable to the ownership or operation of Bidco and its Restricted Subsidiaries;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fees and expenses other than to Affiliates of Bidco related to any equity or debt offering of such parent entity (whether or not successful);</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reasonable and customary indemnification claims made by members of the board of directors or officers, employees, directors, managers, consultants or independent contractors of such parent entity attributable to the ownership or operations of Bidco and its Restricted Subsidiaries;</w:t>
      </w:r>
    </w:p>
    <w:p>
      <w:pPr>
        <w:pStyle w:val="TextBody"/>
        <w:bidi w:val="0"/>
        <w:spacing w:before="0" w:after="240"/>
        <w:jc w:val="both"/>
        <w:rPr>
          <w:rFonts w:ascii="Times New Roman" w:hAnsi="Times New Roman"/>
          <w:sz w:val="20"/>
        </w:rPr>
      </w:pPr>
      <w:bookmarkStart w:id="1013" w:name="docxtextref1660"/>
      <w:bookmarkEnd w:id="1013"/>
      <w:r>
        <w:rPr>
          <w:rFonts w:ascii="Times New Roman;serif" w:hAnsi="Times New Roman;serif"/>
          <w:b w:val="false"/>
          <w:sz w:val="22"/>
        </w:rPr>
        <w:t>(G) fees and expenses (x)</w:t>
      </w:r>
      <w:r>
        <w:rPr>
          <w:rFonts w:ascii="Times New Roman" w:hAnsi="Times New Roman"/>
          <w:sz w:val="20"/>
        </w:rPr>
        <w:t xml:space="preserve"> </w:t>
      </w:r>
      <w:r>
        <w:rPr>
          <w:rFonts w:ascii="Times New Roman;serif" w:hAnsi="Times New Roman;serif"/>
          <w:b w:val="false"/>
          <w:sz w:val="22"/>
        </w:rPr>
        <w:t xml:space="preserve">due and payable by Bidco and its Restricted Subsidiaries related to the Transactions and </w:t>
      </w:r>
      <w:bookmarkStart w:id="1014" w:name="docxtextref1661"/>
      <w:bookmarkEnd w:id="101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otherwise permitted to be paid by Bidco and any Restricted Subsidiaries hereunder;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(H) to the extent constituting a Restricted Payment, amounts due and payable pursuant to the Sponsor Management Agreement or any other investor management agreement entered into with the Investors after the Effective Date, which agreement shall be on terms not materially less favorable to Bidco and its Restricted Subsidiaries than the terms of the Sponsor Management Agreement in effect on the Effective Date;</w:t>
      </w:r>
    </w:p>
    <w:p>
      <w:pPr>
        <w:pStyle w:val="TextBody"/>
        <w:bidi w:val="0"/>
        <w:spacing w:before="0" w:after="240"/>
        <w:jc w:val="both"/>
        <w:rPr>
          <w:rFonts w:ascii="Times New Roman" w:hAnsi="Times New Roman"/>
          <w:sz w:val="20"/>
        </w:rPr>
      </w:pPr>
      <w:bookmarkStart w:id="1015" w:name="docxtextref1666"/>
      <w:bookmarkEnd w:id="1015"/>
      <w:r>
        <w:rPr>
          <w:rFonts w:ascii="Times New Roman;serif" w:hAnsi="Times New Roman;serif"/>
          <w:b w:val="false"/>
          <w:sz w:val="22"/>
        </w:rPr>
        <w:t xml:space="preserve">(I) to finance any Investment that, if made by Bidco, would be permitted by this Agreement;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such Restricted Payment shall be made substantially concurrently with the closing of such Investment and </w:t>
      </w:r>
      <w:bookmarkStart w:id="1016" w:name="docxtextref1667"/>
      <w:bookmarkEnd w:id="101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direct or indirect parent company shall, immediately following the closing thereof, cause </w:t>
      </w:r>
      <w:bookmarkStart w:id="1017" w:name="docxtextref1663"/>
      <w:bookmarkEnd w:id="1017"/>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all property acquired (whether assets or Equity Interests but not including any loans or advances made pursuant to clause </w:t>
      </w:r>
      <w:bookmarkStart w:id="1018" w:name="docxtextref1664"/>
      <w:bookmarkEnd w:id="1018"/>
      <w:r>
        <w:rPr>
          <w:rFonts w:ascii="Times New Roman;serif" w:hAnsi="Times New Roman;serif"/>
          <w:b w:val="false"/>
          <w:sz w:val="22"/>
        </w:rPr>
        <w:t>(16)</w:t>
      </w:r>
      <w:r>
        <w:rPr>
          <w:rFonts w:ascii="Times New Roman" w:hAnsi="Times New Roman"/>
          <w:sz w:val="20"/>
        </w:rPr>
        <w:t xml:space="preserve"> </w:t>
      </w:r>
      <w:r>
        <w:rPr>
          <w:rFonts w:ascii="Times New Roman;serif" w:hAnsi="Times New Roman;serif"/>
          <w:b w:val="false"/>
          <w:sz w:val="22"/>
        </w:rPr>
        <w:t xml:space="preserve">of the definition of “Permitted Investments”) to be contributed to Bidco or its Restricted Subsidiaries or </w:t>
      </w:r>
      <w:bookmarkStart w:id="1019" w:name="docxtextref1665"/>
      <w:bookmarkEnd w:id="1019"/>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the Person formed or acquired to merge into or amalgamate or consolidate with Bidco or any of the Restricted Subsidiaries to the extent such merger, amalgamation or consolidation is permitted under </w:t>
      </w:r>
      <w:r>
        <w:rPr>
          <w:rFonts w:ascii="Times New Roman;serif" w:hAnsi="Times New Roman;serif"/>
          <w:b w:val="false"/>
          <w:sz w:val="22"/>
          <w:u w:val="single"/>
        </w:rPr>
        <w:t>Section 6.03</w:t>
      </w:r>
      <w:r>
        <w:rPr>
          <w:rFonts w:ascii="Times New Roman" w:hAnsi="Times New Roman"/>
          <w:sz w:val="20"/>
        </w:rPr>
        <w:t xml:space="preserve"> </w:t>
      </w:r>
      <w:r>
        <w:rPr>
          <w:rFonts w:ascii="Times New Roman;serif" w:hAnsi="Times New Roman;serif"/>
          <w:b w:val="false"/>
          <w:sz w:val="22"/>
        </w:rPr>
        <w:t>in order to consummate such Investment (any such property or assets so contributed, merged or amalgamated shall constitute “</w:t>
      </w:r>
      <w:r>
        <w:rPr>
          <w:rFonts w:ascii="Times New Roman;serif" w:hAnsi="Times New Roman;serif"/>
          <w:b w:val="false"/>
          <w:sz w:val="22"/>
          <w:u w:val="single"/>
        </w:rPr>
        <w:t>Contributed Holdings Investments</w:t>
      </w:r>
      <w:r>
        <w:rPr>
          <w:rFonts w:ascii="Times New Roman" w:hAnsi="Times New Roman"/>
          <w:sz w:val="20"/>
        </w:rPr>
        <w:t xml:space="preserve">” </w:t>
      </w:r>
      <w:r>
        <w:rPr>
          <w:rFonts w:ascii="Times New Roman;serif" w:hAnsi="Times New Roman;serif"/>
          <w:b w:val="false"/>
          <w:sz w:val="22"/>
        </w:rPr>
        <w:t>and shall be disregarded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for purposes of determining any amount calculated under this Agreement with respect to contributions to the capital of Bidco or any of its Restricted Subsidiaries); and</w:t>
      </w:r>
    </w:p>
    <w:p>
      <w:pPr>
        <w:pStyle w:val="TextBody"/>
        <w:bidi w:val="0"/>
        <w:spacing w:before="0" w:after="240"/>
        <w:jc w:val="both"/>
        <w:rPr>
          <w:rFonts w:ascii="Times New Roman" w:hAnsi="Times New Roman"/>
          <w:sz w:val="20"/>
        </w:rPr>
      </w:pPr>
      <w:bookmarkStart w:id="1020" w:name="docxtextref1669"/>
      <w:bookmarkEnd w:id="1020"/>
      <w:r>
        <w:rPr>
          <w:rFonts w:ascii="Times New Roman;serif" w:hAnsi="Times New Roman;serif"/>
          <w:b w:val="false"/>
          <w:sz w:val="22"/>
        </w:rPr>
        <w:t xml:space="preserve">(J) amounts that would otherwise be permitted to be paid pursuant to clauses (ii), (v), (vii), (viii), (ix) and (xiii) of </w:t>
      </w:r>
      <w:r>
        <w:rPr>
          <w:rFonts w:ascii="Times New Roman;serif" w:hAnsi="Times New Roman;serif"/>
          <w:b w:val="false"/>
          <w:sz w:val="22"/>
          <w:u w:val="single"/>
        </w:rPr>
        <w:t>Section 5.17</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(xvi) the distribution, by dividend or otherwise, of shares of Equity Interests of, or Indebtedness owed to direct and indirect parent companies of Bidco, Bidco or any Restricted Subsidiary by, Unrestricted Subsidiaries (or a Restricted Subsidiary that owns one or more Unrestricted Subsidiaries and no other material assets) (other than Unrestricted Subsidiaries, the primary assets of which are cash and/or Cash Equivalents);</w:t>
      </w:r>
    </w:p>
    <w:p>
      <w:pPr>
        <w:pStyle w:val="TextBody"/>
        <w:bidi w:val="0"/>
        <w:spacing w:before="0" w:after="240"/>
        <w:jc w:val="both"/>
        <w:rPr>
          <w:rFonts w:ascii="Times New Roman" w:hAnsi="Times New Roman"/>
          <w:sz w:val="20"/>
        </w:rPr>
      </w:pPr>
      <w:bookmarkStart w:id="1021" w:name="docxtextref1672"/>
      <w:bookmarkEnd w:id="1021"/>
      <w:r>
        <w:rPr>
          <w:rFonts w:ascii="Times New Roman;serif" w:hAnsi="Times New Roman;serif"/>
          <w:b w:val="false"/>
          <w:sz w:val="22"/>
        </w:rPr>
        <w:t xml:space="preserve">(xvii) any other Restricted Payment;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w:t>
      </w:r>
      <w:r>
        <w:rPr>
          <w:rFonts w:ascii="Times New Roman" w:hAnsi="Times New Roman"/>
          <w:sz w:val="20"/>
        </w:rPr>
        <w:t xml:space="preserve"> </w:t>
      </w:r>
      <w:r>
        <w:rPr>
          <w:rFonts w:ascii="Times New Roman;serif" w:hAnsi="Times New Roman;serif"/>
          <w:b w:val="false"/>
          <w:sz w:val="22"/>
        </w:rPr>
        <w:t xml:space="preserve">on a Pro Forma Basis after giving effect to such Restricted Payment, </w:t>
      </w:r>
      <w:bookmarkStart w:id="1022" w:name="docxtextref1673"/>
      <w:bookmarkEnd w:id="102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with respect to any Restricted Payment, other than a Restricted Debt Payment, the Senior Secured First Lien Net Leverage Ratio is equal to or less than </w:t>
      </w:r>
      <w:bookmarkStart w:id="1023" w:name="docxtextref1670"/>
      <w:bookmarkEnd w:id="1023"/>
      <w:r>
        <w:rPr>
          <w:rFonts w:ascii="Times New Roman;serif" w:hAnsi="Times New Roman;serif"/>
          <w:b w:val="false"/>
          <w:sz w:val="22"/>
        </w:rPr>
        <w:t xml:space="preserve">4.10 to 1.00 and </w:t>
      </w:r>
      <w:bookmarkStart w:id="1024" w:name="docxtextref1674"/>
      <w:bookmarkEnd w:id="102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with respect to any Restricted Debt Payments, the Senior Secured First Lien Net Leverage Ratio is equal to or less than </w:t>
      </w:r>
      <w:bookmarkStart w:id="1025" w:name="docxtextref1671"/>
      <w:bookmarkEnd w:id="1025"/>
      <w:r>
        <w:rPr>
          <w:rFonts w:ascii="Times New Roman;serif" w:hAnsi="Times New Roman;serif"/>
          <w:b w:val="false"/>
          <w:sz w:val="22"/>
        </w:rPr>
        <w:t>4.10</w:t>
      </w:r>
      <w:r>
        <w:rPr>
          <w:rFonts w:ascii="Times New Roman" w:hAnsi="Times New Roman"/>
          <w:sz w:val="20"/>
        </w:rPr>
        <w:t xml:space="preserve"> </w:t>
      </w:r>
      <w:r>
        <w:rPr>
          <w:rFonts w:ascii="Times New Roman;serif" w:hAnsi="Times New Roman;serif"/>
          <w:b w:val="false"/>
          <w:sz w:val="22"/>
        </w:rPr>
        <w:t>to 1.00 and (ii) no Specified Event of Default shall have occurred and be continuing or would result therefrom;</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(xviii) redemptions in whole or in part of any of its Equity Interests for another class of its Equity Interests (other than Disqualified Equity Interests) or with proceeds from substantially concurrent equity contributions or issuances of new Equity Interests;</w:t>
      </w:r>
    </w:p>
    <w:p>
      <w:pPr>
        <w:pStyle w:val="TextBody"/>
        <w:bidi w:val="0"/>
        <w:spacing w:before="0" w:after="240"/>
        <w:jc w:val="both"/>
        <w:rPr>
          <w:rFonts w:ascii="Times New Roman" w:hAnsi="Times New Roman"/>
          <w:sz w:val="20"/>
        </w:rPr>
      </w:pPr>
      <w:bookmarkStart w:id="1026" w:name="docxtextref1675"/>
      <w:bookmarkEnd w:id="1026"/>
      <w:r>
        <w:rPr>
          <w:rFonts w:ascii="Times New Roman;serif" w:hAnsi="Times New Roman;serif"/>
          <w:b w:val="false"/>
          <w:sz w:val="22"/>
        </w:rPr>
        <w:t>(xix) payments to Bidco or direct and indirect parent companies of Bidco to permit such Person to (a)</w:t>
      </w:r>
      <w:r>
        <w:rPr>
          <w:rFonts w:ascii="Times New Roman" w:hAnsi="Times New Roman"/>
          <w:sz w:val="20"/>
        </w:rPr>
        <w:t xml:space="preserve"> </w:t>
      </w:r>
      <w:r>
        <w:rPr>
          <w:rFonts w:ascii="Times New Roman;serif" w:hAnsi="Times New Roman;serif"/>
          <w:b w:val="false"/>
          <w:sz w:val="22"/>
        </w:rPr>
        <w:t xml:space="preserve">pay cash in lieu of fractional Equity Interests in connection with any dividend, split or combination thereof or any Investment permitted under this Agreement and </w:t>
      </w:r>
      <w:bookmarkStart w:id="1027" w:name="docxtextref1676"/>
      <w:bookmarkEnd w:id="102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(xx) payments or distributions to dissenting stockholders pursuant to applicable law, pursuant to or in connection with a consolidation, merger or transfer of all or substantially all of the assets of Bidco and its Restricted Subsidiaries, taken as a whole, that complies with the covenant described under </w:t>
      </w:r>
      <w:r>
        <w:rPr>
          <w:rFonts w:ascii="Times New Roman;serif" w:hAnsi="Times New Roman;serif"/>
          <w:b w:val="false"/>
          <w:sz w:val="22"/>
          <w:u w:val="single"/>
        </w:rPr>
        <w:t>Section 6.03</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(xxi) the conversion of any Subordinated Indebtedness to Equity Interests (other than Disqualified Equity Interests) of Bidco or any of its direct or indirect parent companies, and any payment that is intended to prevent any Subordinated Indebtedness from being treated as an “applicable high yield discount obligation” within the meaning of Section 163(i)(1) of the Code;</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(xxii) mandatory redemptions of Disqualified Equity Interests issued as a Restricted Payment or as consideration for a Permitted Investment;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(xxiii) any Restricted Payment made in connection with a Permitted Intercompany Activity and a Permitted Tax Restructuring.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For purposes of determining compliance with this </w:t>
      </w:r>
      <w:r>
        <w:rPr>
          <w:rFonts w:ascii="Times New Roman;serif" w:hAnsi="Times New Roman;serif"/>
          <w:b w:val="false"/>
          <w:sz w:val="22"/>
          <w:u w:val="single"/>
        </w:rPr>
        <w:t>Section 6.05</w:t>
      </w:r>
      <w:r>
        <w:rPr>
          <w:rFonts w:ascii="Times New Roman;serif" w:hAnsi="Times New Roman;serif"/>
          <w:b w:val="false"/>
          <w:sz w:val="22"/>
        </w:rPr>
        <w:t xml:space="preserve">, in the event that a proposed Restricted Payment (or a portion thereof) meets the criteria of clauses (i) through (xxiii) of </w:t>
      </w:r>
      <w:r>
        <w:rPr>
          <w:rFonts w:ascii="Times New Roman;serif" w:hAnsi="Times New Roman;serif"/>
          <w:b w:val="false"/>
          <w:sz w:val="22"/>
          <w:u w:val="single"/>
        </w:rPr>
        <w:t>Section 6.05(b)</w:t>
      </w:r>
      <w:r>
        <w:rPr>
          <w:rFonts w:ascii="Times New Roman" w:hAnsi="Times New Roman"/>
          <w:sz w:val="20"/>
        </w:rPr>
        <w:t xml:space="preserve"> </w:t>
      </w:r>
      <w:r>
        <w:rPr>
          <w:rFonts w:ascii="Times New Roman;serif" w:hAnsi="Times New Roman;serif"/>
          <w:b w:val="false"/>
          <w:sz w:val="22"/>
        </w:rPr>
        <w:t xml:space="preserve">hereof or is entitled to be made pursuant to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hereof and/or one or more of the clauses contained in the definition of “Permitted Investments,” Bidco shall be entitled to classify or later reclassify (based on circumstances existing on the date of such reclassification) such Restricted Payment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-179-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Investment (or portion thereof) between such clauses (i) through (xxiii) of </w:t>
      </w:r>
      <w:r>
        <w:rPr>
          <w:rFonts w:ascii="Times New Roman;serif" w:hAnsi="Times New Roman;serif"/>
          <w:b w:val="false"/>
          <w:sz w:val="22"/>
          <w:u w:val="single"/>
        </w:rPr>
        <w:t>Section 6.05(b)</w:t>
      </w:r>
      <w:r>
        <w:rPr>
          <w:rFonts w:ascii="Times New Roman" w:hAnsi="Times New Roman"/>
          <w:sz w:val="20"/>
        </w:rPr>
        <w:t xml:space="preserve"> </w:t>
      </w:r>
      <w:r>
        <w:rPr>
          <w:rFonts w:ascii="Times New Roman;serif" w:hAnsi="Times New Roman;serif"/>
          <w:b w:val="false"/>
          <w:sz w:val="22"/>
        </w:rPr>
        <w:t xml:space="preserve">hereof and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 xml:space="preserve">hereof and/or one or more of the clauses contained in the definition of “Permitted Investments,” in a manner that otherwise complies with this </w:t>
      </w:r>
      <w:r>
        <w:rPr>
          <w:rFonts w:ascii="Times New Roman;serif" w:hAnsi="Times New Roman;serif"/>
          <w:b w:val="false"/>
          <w:sz w:val="22"/>
          <w:u w:val="single"/>
        </w:rPr>
        <w:t>Section 6.05</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Bidco shall not permit any Unrestricted Subsidiary to become a Restricted Subsidiary except pursuant to </w:t>
      </w:r>
      <w:r>
        <w:rPr>
          <w:rFonts w:ascii="Times New Roman;serif" w:hAnsi="Times New Roman;serif"/>
          <w:b w:val="false"/>
          <w:sz w:val="22"/>
          <w:u w:val="single"/>
        </w:rPr>
        <w:t>Section 5.13</w:t>
      </w:r>
      <w:r>
        <w:rPr>
          <w:rFonts w:ascii="Times New Roman;serif" w:hAnsi="Times New Roman;serif"/>
          <w:b w:val="false"/>
          <w:sz w:val="22"/>
        </w:rPr>
        <w:t xml:space="preserve">. For purposes of designating any Restricted Subsidiary as an Unrestricted Subsidiary, all outstanding Investments by Bidco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and/or Permitted Investment in such amount would be permitted at such time, whether pursuant to </w:t>
      </w:r>
      <w:r>
        <w:rPr>
          <w:rFonts w:ascii="Times New Roman;serif" w:hAnsi="Times New Roman;serif"/>
          <w:b w:val="false"/>
          <w:sz w:val="22"/>
          <w:u w:val="single"/>
        </w:rPr>
        <w:t>Section 6.05(a)</w:t>
      </w:r>
      <w:r>
        <w:rPr>
          <w:rFonts w:ascii="Times New Roman" w:hAnsi="Times New Roman"/>
          <w:sz w:val="20"/>
        </w:rPr>
        <w:t xml:space="preserve"> </w:t>
      </w:r>
      <w:r>
        <w:rPr>
          <w:rFonts w:ascii="Times New Roman;serif" w:hAnsi="Times New Roman;serif"/>
          <w:b w:val="false"/>
          <w:sz w:val="22"/>
        </w:rPr>
        <w:t xml:space="preserve">hereof or under clause (x), (xi), (xvii) or (xviii) of </w:t>
      </w:r>
      <w:r>
        <w:rPr>
          <w:rFonts w:ascii="Times New Roman;serif" w:hAnsi="Times New Roman;serif"/>
          <w:b w:val="false"/>
          <w:sz w:val="22"/>
          <w:u w:val="single"/>
        </w:rPr>
        <w:t>Section 6.05(b)</w:t>
      </w:r>
      <w:r>
        <w:rPr>
          <w:rFonts w:ascii="Times New Roman" w:hAnsi="Times New Roman"/>
          <w:sz w:val="20"/>
        </w:rPr>
        <w:t xml:space="preserve"> </w:t>
      </w:r>
      <w:r>
        <w:rPr>
          <w:rFonts w:ascii="Times New Roman;serif" w:hAnsi="Times New Roman;serif"/>
          <w:b w:val="false"/>
          <w:sz w:val="22"/>
        </w:rPr>
        <w:t>hereof, or pursuant to the definition of “Permitted Investments,” and if such Subsidiary otherwise meets the definition of “Unrestricted Subsidiary”.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The amount of all Restricted Payments (other than cash) shall be the Fair Market Value on the date of such Restricted Payment of the asset(s) or securities proposed to be paid, transferred or issued by Bidco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Bidco acting in good faith.</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Unrestricted Subsidiaries may use value transferred from Bidco and its Restricted Subsidiaries in a Permitted Investment to purchase or otherwise acquire Indebtedness or Equity Interests of Bidco, any director or indirect parent of Bidco or any of Bidco’s Restricted Subsidiaries, and to transfer value to the holders of the Equity Interests or any director or indirect parent of Bidco and to Affiliates 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If Bidco or a Restricted Subsidiary makes a Restricted Payment which at the time of the making of such Restricted Payment would in the good faith determination of Bidco be permitted under the provisions of this Agreement, such Restricted Payment shall be deemed to have been made in compliance with this Agreement notwithstanding any subsequent adjustments made in good faith to Bidco’s financial statements affecting Consolidated Net Income or Consolidated EBITDA of Bidco for any period.</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6.06 </w:t>
      </w:r>
      <w:r>
        <w:rPr>
          <w:rFonts w:ascii="Times New Roman;serif" w:hAnsi="Times New Roman;serif"/>
          <w:b w:val="false"/>
          <w:sz w:val="22"/>
          <w:u w:val="single"/>
        </w:rPr>
        <w:t>Restrictive Agreements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Bidco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restrictions contained in </w:t>
      </w:r>
      <w:r>
        <w:rPr>
          <w:rFonts w:ascii="Times New Roman;serif" w:hAnsi="Times New Roman;serif"/>
          <w:b w:val="false"/>
          <w:sz w:val="22"/>
          <w:u w:val="single"/>
        </w:rPr>
        <w:t>Section 6.06(a)</w:t>
      </w:r>
      <w:r>
        <w:rPr>
          <w:rFonts w:ascii="Times New Roman" w:hAnsi="Times New Roman"/>
          <w:sz w:val="20"/>
        </w:rPr>
        <w:t xml:space="preserve"> </w:t>
      </w:r>
      <w:r>
        <w:rPr>
          <w:rFonts w:ascii="Times New Roman;serif" w:hAnsi="Times New Roman;serif"/>
          <w:b w:val="false"/>
          <w:sz w:val="22"/>
        </w:rPr>
        <w:t>hereof shall not apply to: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contractual encumbrances or restrictions in effect on the Effective Date;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contractual encumbrances or restrictions included pursuant to (x) the Loan Documents and related Hedging Obligations or (y) the Senior Secured Notes Documents and the Senior Secured Notes;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purchase money obligations for property acquired in the ordinary course of business and Capitalized Lease Obligations;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(iv) applicable law or any applicable rule, regulation or order;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 any agreement or other instrument of a Person acquired by or merged or consolidated with or into Bidco or any of its Restricted Subsidiaries in existence at the time of such acquisition or at the time it merges with or into Bidco or any of its Restricted Subsidiaries or assumed in connection with the acquisition of assets from such Person (but, in any such case, not created in contemplation thereof), which encumbrance or restriction or condition set forth in such agreement is not applicable to any Person, or the properties or assets of any Person, other than the Person and its Subsidiaries, or the property or assets of the Person and its Subsidiaries, so acquired or the property or assets assumed;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 contracts for the sale of assets or the sale of a Subsidiary, including customary restrictions with respect to a Subsidiary of Bidco pursuant to an agreement that has been entered into for the sale or disposition of all or substantially all of the Equity Interests or assets of such Subsidiary;</w:t>
      </w:r>
    </w:p>
    <w:p>
      <w:pPr>
        <w:pStyle w:val="TextBody"/>
        <w:bidi w:val="0"/>
        <w:spacing w:before="0" w:after="240"/>
        <w:jc w:val="both"/>
        <w:rPr>
          <w:rFonts w:ascii="Times New Roman" w:hAnsi="Times New Roman"/>
          <w:sz w:val="20"/>
        </w:rPr>
      </w:pPr>
      <w:bookmarkStart w:id="1028" w:name="docxtextref1694"/>
      <w:bookmarkEnd w:id="1028"/>
      <w:r>
        <w:rPr>
          <w:rFonts w:ascii="Times New Roman;serif" w:hAnsi="Times New Roman;serif"/>
          <w:b w:val="false"/>
          <w:sz w:val="22"/>
        </w:rPr>
        <w:t xml:space="preserve">(vii) (a) Secured Indebtedness otherwise permitted to be incurred pursuant to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 xml:space="preserve">hereof and </w:t>
      </w:r>
      <w:r>
        <w:rPr>
          <w:rFonts w:ascii="Times New Roman;serif" w:hAnsi="Times New Roman;serif"/>
          <w:b w:val="false"/>
          <w:sz w:val="22"/>
          <w:u w:val="single"/>
        </w:rPr>
        <w:t>Section 6.02</w:t>
      </w:r>
      <w:r>
        <w:rPr>
          <w:rFonts w:ascii="Times New Roman" w:hAnsi="Times New Roman"/>
          <w:sz w:val="20"/>
        </w:rPr>
        <w:t xml:space="preserve"> </w:t>
      </w:r>
      <w:r>
        <w:rPr>
          <w:rFonts w:ascii="Times New Roman;serif" w:hAnsi="Times New Roman;serif"/>
          <w:b w:val="false"/>
          <w:sz w:val="22"/>
        </w:rPr>
        <w:t>hereof that limit the right of the debtor to dispose of the assets securing such Indebtedness, (b)</w:t>
      </w:r>
      <w:r>
        <w:rPr>
          <w:rFonts w:ascii="Times New Roman" w:hAnsi="Times New Roman"/>
          <w:sz w:val="20"/>
        </w:rPr>
        <w:t xml:space="preserve"> </w:t>
      </w:r>
      <w:r>
        <w:rPr>
          <w:rFonts w:ascii="Times New Roman;serif" w:hAnsi="Times New Roman;serif"/>
          <w:b w:val="false"/>
          <w:sz w:val="22"/>
        </w:rPr>
        <w:t xml:space="preserve">restrictions on transfers of assets subject to Permitted Liens (but, with respect to any such Permitted Lien, only to the extent that such transfer restrictions apply solely to the assets that are the subject of such Permitted Lien) and (c) restrictions and conditions imposed by any documentation governing (1) other Indebtedness (other than intercompany debt owed to Bidco or the Restricted Subsidiaries) that do not materially impair Bidco’s ability to make payments on the Loans, (2) any documentation governing Indebtedness incurred pursuant to </w:t>
      </w:r>
      <w:r>
        <w:rPr>
          <w:rFonts w:ascii="Times New Roman;serif" w:hAnsi="Times New Roman;serif"/>
          <w:b w:val="false"/>
          <w:sz w:val="22"/>
          <w:u w:val="single"/>
        </w:rPr>
        <w:t>Section 6.01(a)</w:t>
      </w:r>
      <w:r>
        <w:rPr>
          <w:rFonts w:ascii="Times New Roman" w:hAnsi="Times New Roman"/>
          <w:sz w:val="20"/>
        </w:rPr>
        <w:t xml:space="preserve"> </w:t>
      </w:r>
      <w:r>
        <w:rPr>
          <w:rFonts w:ascii="Times New Roman;serif" w:hAnsi="Times New Roman;serif"/>
          <w:b w:val="false"/>
          <w:sz w:val="22"/>
        </w:rPr>
        <w:t xml:space="preserve">and/or </w:t>
      </w:r>
      <w:r>
        <w:rPr>
          <w:rFonts w:ascii="Times New Roman;serif" w:hAnsi="Times New Roman;serif"/>
          <w:b w:val="false"/>
          <w:sz w:val="22"/>
          <w:u w:val="single"/>
        </w:rPr>
        <w:t>Sections 6.01(b)(xi)</w:t>
      </w:r>
      <w:r>
        <w:rPr>
          <w:rFonts w:ascii="Times New Roman;serif" w:hAnsi="Times New Roman;serif"/>
          <w:b w:val="false"/>
          <w:sz w:val="22"/>
        </w:rPr>
        <w:t xml:space="preserve">, </w:t>
      </w:r>
      <w:r>
        <w:rPr>
          <w:rFonts w:ascii="Times New Roman;serif" w:hAnsi="Times New Roman;serif"/>
          <w:b w:val="false"/>
          <w:sz w:val="22"/>
          <w:u w:val="single"/>
        </w:rPr>
        <w:t>(xvi)</w:t>
      </w:r>
      <w:r>
        <w:rPr>
          <w:rFonts w:ascii="Times New Roman;serif" w:hAnsi="Times New Roman;serif"/>
          <w:b w:val="false"/>
          <w:sz w:val="22"/>
        </w:rPr>
        <w:t xml:space="preserve">, </w:t>
      </w:r>
      <w:r>
        <w:rPr>
          <w:rFonts w:ascii="Times New Roman;serif" w:hAnsi="Times New Roman;serif"/>
          <w:b w:val="false"/>
          <w:sz w:val="22"/>
          <w:u w:val="single"/>
        </w:rPr>
        <w:t>(xxiv)</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(xxvi)</w:t>
      </w:r>
      <w:r>
        <w:rPr>
          <w:rFonts w:ascii="Times New Roman" w:hAnsi="Times New Roman"/>
          <w:sz w:val="20"/>
        </w:rPr>
        <w:t xml:space="preserve"> </w:t>
      </w:r>
      <w:r>
        <w:rPr>
          <w:rFonts w:ascii="Times New Roman;serif" w:hAnsi="Times New Roman;serif"/>
          <w:b w:val="false"/>
          <w:sz w:val="22"/>
        </w:rPr>
        <w:t>and (3) any documentation governing any Refinancing Indebtedness incurred to refinance any such Indebtedness referenced in the foregoing clauses (1) and (2);</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(viii) restrictions on cash (or Cash Equivalents) or other deposits or restrictions on or net worth imposed by customers, in each case, under contracts entered into in the ordinary course of business;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(ix) other Indebtedness, Disqualified Equity Interests or Preferred Stock of Foreign Subsidiaries permitted to be incurred subsequent to the Effective Date pursuant to the provisions of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 customary provisions in joint venture agreements or arrangements and other similar agreements relating to such joint venture;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 customary provisions contained in leases, sub-leases, licenses, sub-licenses, asset sale agreements or similar agreements, including with respect to of intellectual property and other agreements, in each case, (i) entered into in the ordinary course of business or (ii) otherwise permitted under this Agreement so long as such restrictions relate only to the assets subject thereto;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(xii) restrictions created in connection with any Receivables Facility that, in the good faith determination of Bidco, are necessary or advisable to effect such Receivables Facility;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(xiii) restrictions on cash (or Cash Equivalents) or other deposits imposed by agreements entered into in the ordinary course of business (or other restrictions on cash or deposits constituting Permitted Liens);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(xiv) customary provisions restricting subletting or assignment of any lease governing a leasehold interest of direct or indirect parent companies of Bidco, Bidco or any Restricted Subsidiary;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(xv) customary net worth provisions contained in real property leases entered into by Subsidiaries, so long as Bidco has determined in good faith that such net worth provisions could not reasonably be expected to impair the ability of Bidco and its Subsidiaries to meet their ongoing obligations;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(xvi) restrictions or conditions contained in any trading, netting, operating, construction, service, supply, purchase, sale or other agreement to which Bidco or any of its Restricted Subsidiaries is a party entered into in the ordinary course of business;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agreement prohibits the encumbrance of solely the property or assets of Bidco or such Restricted Subsidiary that are the subject of such agreement, the payment rights arising thereunder or the proceeds thereof and does not extend to any other asset or property of Bidco or such Restricted Subsidiary or the assets or property of another Restricted Subsidiary;</w:t>
      </w:r>
    </w:p>
    <w:p>
      <w:pPr>
        <w:pStyle w:val="TextBody"/>
        <w:bidi w:val="0"/>
        <w:spacing w:before="0" w:after="240"/>
        <w:jc w:val="both"/>
        <w:rPr>
          <w:rFonts w:ascii="Times New Roman" w:hAnsi="Times New Roman"/>
          <w:sz w:val="20"/>
        </w:rPr>
      </w:pPr>
      <w:bookmarkStart w:id="1029" w:name="docxtextref1697"/>
      <w:bookmarkEnd w:id="1029"/>
      <w:r>
        <w:rPr>
          <w:rFonts w:ascii="Times New Roman;serif" w:hAnsi="Times New Roman;serif"/>
          <w:b w:val="false"/>
          <w:sz w:val="22"/>
        </w:rPr>
        <w:t xml:space="preserve">(xvii) any encumbrance or restriction arising pursuant to an agreement or instrument which, if it relates to any Indebtedness, shall only be permitted if such Indebtedness is permitted to be incurred pursuant to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if the encumbrances and restrictions contained in any such agreement or instrument taken as a whole (i)</w:t>
      </w:r>
      <w:r>
        <w:rPr>
          <w:rFonts w:ascii="Times New Roman" w:hAnsi="Times New Roman"/>
          <w:sz w:val="20"/>
        </w:rPr>
        <w:t xml:space="preserve"> </w:t>
      </w:r>
      <w:r>
        <w:rPr>
          <w:rFonts w:ascii="Times New Roman;serif" w:hAnsi="Times New Roman;serif"/>
          <w:b w:val="false"/>
          <w:sz w:val="22"/>
        </w:rPr>
        <w:t xml:space="preserve">are not materially less favorable to the Permitted Holders than the encumbrances and restrictions contained in this Agreement, together with the security documents associated therewith as in effect on the Effective Date (as determined by Bidco) or (ii) either </w:t>
      </w:r>
      <w:bookmarkStart w:id="1030" w:name="docxtextref1698"/>
      <w:bookmarkEnd w:id="1030"/>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Bidco determines at the time of entry into such agreement or instrument that such encumbrances or restrictions shall not adversely affect, in any material respect, Bidco’s ability to make principal or interest payments on the Loans or </w:t>
      </w:r>
      <w:bookmarkStart w:id="1031" w:name="docxtextref1699"/>
      <w:bookmarkEnd w:id="103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such encumbrance or restriction applies only during the continuance of a default relating to such agreement or instrument;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(xviii) any encumbrance or restriction with respect to a Guarantor or a Foreign Subsidiary or Receivables Subsidiary which was previously an Unrestricted Subsidiary pursuant to or by reason of an agreement that such Subsidiary is a party to or entered into before the date on which such Subsidiary became a Restricted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agreement was not entered into in anticipation of an Unrestricted Subsidiary becoming a Restricted Subsidiary and any such encumbrance or restriction does not extend to any assets or property of Bidco or any other Restricted Subsidiary other than the assets and property of such Subsidiary;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(xix) any encumbrances or restrictions imposed by any amendments, extensions, modifications, restatements, renewals, increases, supplements, refundings, replacements or refinancings of the contracts, instruments or obligations referred to in clauses (i) through (xviii) of this </w:t>
      </w:r>
      <w:r>
        <w:rPr>
          <w:rFonts w:ascii="Times New Roman;serif" w:hAnsi="Times New Roman;serif"/>
          <w:b w:val="false"/>
          <w:sz w:val="22"/>
          <w:u w:val="single"/>
        </w:rPr>
        <w:t>Section 6.06(b)</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amendments, extensions, modifications, restatements, renewals, increases, supplements, refundings, replacements or refinancings are, in the good faith judgment of Bidco, no more restrictive in any material respect with respect to such encumbrance and other restrictions taken as a whole than those prior to such amendment, modification, restatement, renewal, increase, supplement, refunding, replacement or refinancing.</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6.07 </w:t>
      </w:r>
      <w:r>
        <w:rPr>
          <w:rFonts w:ascii="Times New Roman;serif" w:hAnsi="Times New Roman;serif"/>
          <w:b w:val="false"/>
          <w:sz w:val="22"/>
          <w:u w:val="single"/>
        </w:rPr>
        <w:t>Financial Performance Covenant</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032" w:name="docxtextref1703"/>
      <w:bookmarkEnd w:id="1032"/>
      <w:r>
        <w:rPr>
          <w:rFonts w:ascii="Times New Roman;serif" w:hAnsi="Times New Roman;serif"/>
          <w:b w:val="false"/>
          <w:sz w:val="22"/>
        </w:rPr>
        <w:t>Solely with respect to the Revolving Facility, if on the last day of any Test Period (commencing with the Test Period ending March 31, 2020), the sum of (i)</w:t>
      </w:r>
      <w:r>
        <w:rPr>
          <w:rFonts w:ascii="Times New Roman" w:hAnsi="Times New Roman"/>
          <w:sz w:val="20"/>
        </w:rPr>
        <w:t xml:space="preserve"> </w:t>
      </w:r>
      <w:r>
        <w:rPr>
          <w:rFonts w:ascii="Times New Roman;serif" w:hAnsi="Times New Roman;serif"/>
          <w:b w:val="false"/>
          <w:sz w:val="22"/>
        </w:rPr>
        <w:t>the aggregate principal amount of Revolving Loans then outstanding (other than (x) for the first four full fiscal quarters following the Effective Date, Revolving Loans borrowed to finance the Transactions (including Transaction Costs) and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033" w:name="docxtextref1704"/>
      <w:bookmarkEnd w:id="1033"/>
      <w:r>
        <w:rPr>
          <w:rFonts w:ascii="Times New Roman;serif" w:hAnsi="Times New Roman;serif"/>
          <w:b w:val="false"/>
          <w:sz w:val="22"/>
        </w:rPr>
        <w:t xml:space="preserve">(y) any Revolving Loans borrowed to fund any upfront fees or original issue discount imposed pursuant to the “interest rate flex” provisions of the Fee Letter), </w:t>
      </w:r>
      <w:r>
        <w:rPr>
          <w:rFonts w:ascii="Times New Roman;serif" w:hAnsi="Times New Roman;serif"/>
          <w:b w:val="false"/>
          <w:sz w:val="22"/>
          <w:u w:val="single"/>
        </w:rPr>
        <w:t>plus</w:t>
      </w:r>
      <w:r>
        <w:rPr>
          <w:rFonts w:ascii="Times New Roman" w:hAnsi="Times New Roman"/>
          <w:sz w:val="20"/>
        </w:rPr>
        <w:t xml:space="preserve"> </w:t>
      </w:r>
      <w:r>
        <w:rPr>
          <w:rFonts w:ascii="Times New Roman;serif" w:hAnsi="Times New Roman;serif"/>
          <w:b w:val="false"/>
          <w:sz w:val="22"/>
        </w:rPr>
        <w:t xml:space="preserve">(ii) the aggregate principal amount of Swingline Loans then outstanding </w:t>
      </w:r>
      <w:r>
        <w:rPr>
          <w:rFonts w:ascii="Times New Roman;serif" w:hAnsi="Times New Roman;serif"/>
          <w:b w:val="false"/>
          <w:sz w:val="22"/>
          <w:u w:val="single"/>
        </w:rPr>
        <w:t>plus</w:t>
      </w:r>
      <w:r>
        <w:rPr>
          <w:rFonts w:ascii="Times New Roman" w:hAnsi="Times New Roman"/>
          <w:sz w:val="20"/>
        </w:rPr>
        <w:t xml:space="preserve"> </w:t>
      </w:r>
      <w:r>
        <w:rPr>
          <w:rFonts w:ascii="Times New Roman;serif" w:hAnsi="Times New Roman;serif"/>
          <w:b w:val="false"/>
          <w:sz w:val="22"/>
        </w:rPr>
        <w:t>(iii) the aggregate amount of LC Disbursements that have not been reimbursed within two (2) Business Days by or on behalf of the Borrowers at such time, exceeds the greater of (x)</w:t>
      </w:r>
      <w:r>
        <w:rPr>
          <w:rFonts w:ascii="Times New Roman" w:hAnsi="Times New Roman"/>
          <w:sz w:val="20"/>
        </w:rPr>
        <w:t xml:space="preserve"> </w:t>
      </w:r>
      <w:r>
        <w:rPr>
          <w:rFonts w:ascii="Times New Roman;serif" w:hAnsi="Times New Roman;serif"/>
          <w:b w:val="false"/>
          <w:sz w:val="22"/>
        </w:rPr>
        <w:t xml:space="preserve">$280,000,000 and </w:t>
      </w:r>
      <w:bookmarkStart w:id="1034" w:name="docxtextref1705"/>
      <w:bookmarkEnd w:id="103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40% of the aggregate principal amount of Revolving Commitments then in effect (after including any Incremental Revolving Commitment Increase then in effect), Bidco and its Restricted Subsidiaries will not permit the Senior Secured First Lien Net Leverage Ratio to exceed </w:t>
      </w:r>
      <w:bookmarkStart w:id="1035" w:name="docxtextref1702"/>
      <w:bookmarkEnd w:id="1035"/>
      <w:r>
        <w:rPr>
          <w:rFonts w:ascii="Times New Roman;serif" w:hAnsi="Times New Roman;serif"/>
          <w:b w:val="false"/>
          <w:sz w:val="22"/>
        </w:rPr>
        <w:t xml:space="preserve">9.00 to </w:t>
      </w:r>
      <w:bookmarkStart w:id="1036" w:name="docxtextref1706"/>
      <w:bookmarkEnd w:id="1036"/>
      <w:r>
        <w:rPr>
          <w:rFonts w:ascii="Times New Roman;serif" w:hAnsi="Times New Roman;serif"/>
          <w:b w:val="false"/>
          <w:sz w:val="22"/>
        </w:rPr>
        <w:t>1.00</w:t>
      </w:r>
      <w:r>
        <w:rPr>
          <w:rFonts w:ascii="Times New Roman" w:hAnsi="Times New Roman"/>
          <w:sz w:val="20"/>
        </w:rPr>
        <w:t xml:space="preserve"> </w:t>
      </w:r>
      <w:r>
        <w:rPr>
          <w:rFonts w:ascii="Times New Roman;serif" w:hAnsi="Times New Roman;serif"/>
          <w:b w:val="false"/>
          <w:sz w:val="22"/>
        </w:rPr>
        <w:t>on the last day of such Test Period.</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VII</w:t>
      </w:r>
      <w:r>
        <w:rPr>
          <w:rFonts w:ascii="Times New Roman;serif" w:hAnsi="Times New Roman;serif"/>
          <w:b w:val="false"/>
          <w:caps/>
          <w:sz w:val="22"/>
          <w:u w:val="single"/>
        </w:rPr>
        <w:br/>
        <w:br/>
        <w:t>Events of Default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7.01 </w:t>
      </w:r>
      <w:r>
        <w:rPr>
          <w:rFonts w:ascii="Times New Roman;serif" w:hAnsi="Times New Roman;serif"/>
          <w:b w:val="false"/>
          <w:sz w:val="22"/>
          <w:u w:val="single"/>
        </w:rPr>
        <w:t>Events of Default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If any of the following events (any such event, an “</w:t>
      </w:r>
      <w:r>
        <w:rPr>
          <w:rFonts w:ascii="Times New Roman;serif" w:hAnsi="Times New Roman;serif"/>
          <w:b w:val="false"/>
          <w:sz w:val="22"/>
          <w:u w:val="single"/>
        </w:rPr>
        <w:t>Event of Default</w:t>
      </w:r>
      <w:r>
        <w:rPr>
          <w:rFonts w:ascii="Times New Roman" w:hAnsi="Times New Roman"/>
          <w:sz w:val="20"/>
        </w:rPr>
        <w:t>”</w:t>
      </w:r>
      <w:r>
        <w:rPr>
          <w:rFonts w:ascii="Times New Roman;serif" w:hAnsi="Times New Roman;serif"/>
          <w:b w:val="false"/>
          <w:sz w:val="22"/>
        </w:rPr>
        <w:t>) shall occur: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any Loan Party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240"/>
        <w:jc w:val="both"/>
        <w:rPr>
          <w:rFonts w:ascii="Times New Roman" w:hAnsi="Times New Roman"/>
          <w:sz w:val="20"/>
        </w:rPr>
      </w:pPr>
      <w:bookmarkStart w:id="1037" w:name="docxtextref1708"/>
      <w:bookmarkEnd w:id="1037"/>
      <w:r>
        <w:rPr>
          <w:rFonts w:ascii="Times New Roman;serif" w:hAnsi="Times New Roman;serif"/>
          <w:b w:val="false"/>
          <w:sz w:val="22"/>
        </w:rPr>
        <w:t>(b) any Loan Party shall fail to pay any interest on any Loan or any fee or any other amount (other than an amount referred to in paragraph (a)</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7.01</w:t>
      </w:r>
      <w:r>
        <w:rPr>
          <w:rFonts w:ascii="Times New Roman;serif" w:hAnsi="Times New Roman;serif"/>
          <w:b w:val="false"/>
          <w:sz w:val="22"/>
        </w:rPr>
        <w:t>) payable under any Loan Document, when and as the same shall become due and payable, and such failure shall continue unremedied for a period of five (5) Business Days;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any representation or warranty made or deemed made by or on behalf of Holdings, any Intermediate Parent, Bidco or any of the Restricted Subsidiaries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shall remain incorrect for a period of 30 days after written notice thereof from the Administrative Agent to Bidco and the Borrowers;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this clause (c) shall be limited on the Effective Date to the Major Representations;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(i) Holdings, Bidco or any of the Restricted Subsidiaries shall fail to observe or perform any covenant, condition or agreement contained in </w:t>
      </w:r>
      <w:r>
        <w:rPr>
          <w:rFonts w:ascii="Times New Roman;serif" w:hAnsi="Times New Roman;serif"/>
          <w:b w:val="false"/>
          <w:sz w:val="22"/>
          <w:u w:val="single"/>
        </w:rPr>
        <w:t>Sections 5.02</w:t>
      </w:r>
      <w:r>
        <w:rPr>
          <w:rFonts w:ascii="Times New Roman;serif" w:hAnsi="Times New Roman;serif"/>
          <w:b w:val="false"/>
          <w:sz w:val="22"/>
        </w:rPr>
        <w:t xml:space="preserve">, </w:t>
      </w:r>
      <w:r>
        <w:rPr>
          <w:rFonts w:ascii="Times New Roman;serif" w:hAnsi="Times New Roman;serif"/>
          <w:b w:val="false"/>
          <w:sz w:val="22"/>
          <w:u w:val="single"/>
        </w:rPr>
        <w:t>5.04</w:t>
      </w:r>
      <w:r>
        <w:rPr>
          <w:rFonts w:ascii="Times New Roman" w:hAnsi="Times New Roman"/>
          <w:sz w:val="20"/>
        </w:rPr>
        <w:t xml:space="preserve"> </w:t>
      </w:r>
      <w:r>
        <w:rPr>
          <w:rFonts w:ascii="Times New Roman;serif" w:hAnsi="Times New Roman;serif"/>
          <w:b w:val="false"/>
          <w:sz w:val="22"/>
        </w:rPr>
        <w:t xml:space="preserve">(with respect to the existence of Holdings, any Intermediate Parent, Bidco or such Restricted Subsidiaries), </w:t>
      </w:r>
      <w:r>
        <w:rPr>
          <w:rFonts w:ascii="Times New Roman;serif" w:hAnsi="Times New Roman;serif"/>
          <w:b w:val="false"/>
          <w:sz w:val="22"/>
          <w:u w:val="single"/>
        </w:rPr>
        <w:t>5.10</w:t>
      </w:r>
      <w:r>
        <w:rPr>
          <w:rFonts w:ascii="Times New Roman;serif" w:hAnsi="Times New Roman;serif"/>
          <w:b w:val="false"/>
          <w:sz w:val="22"/>
        </w:rPr>
        <w:t xml:space="preserve">, </w:t>
      </w:r>
      <w:r>
        <w:rPr>
          <w:rFonts w:ascii="Times New Roman;serif" w:hAnsi="Times New Roman;serif"/>
          <w:b w:val="false"/>
          <w:sz w:val="22"/>
          <w:u w:val="single"/>
        </w:rPr>
        <w:t>5.14</w:t>
      </w:r>
      <w:r>
        <w:rPr>
          <w:rFonts w:ascii="Times New Roman" w:hAnsi="Times New Roman"/>
          <w:sz w:val="20"/>
        </w:rPr>
        <w:t xml:space="preserve"> </w:t>
      </w:r>
      <w:r>
        <w:rPr>
          <w:rFonts w:ascii="Times New Roman;serif" w:hAnsi="Times New Roman;serif"/>
          <w:b w:val="false"/>
          <w:sz w:val="22"/>
        </w:rPr>
        <w:t xml:space="preserve">or in </w:t>
      </w:r>
      <w:r>
        <w:rPr>
          <w:rFonts w:ascii="Times New Roman;serif" w:hAnsi="Times New Roman;serif"/>
          <w:b w:val="false"/>
          <w:sz w:val="22"/>
          <w:u w:val="single"/>
        </w:rPr>
        <w:t>Article VI</w:t>
      </w:r>
      <w:r>
        <w:rPr>
          <w:rFonts w:ascii="Times New Roman" w:hAnsi="Times New Roman"/>
          <w:sz w:val="20"/>
        </w:rPr>
        <w:t xml:space="preserve"> </w:t>
      </w:r>
      <w:r>
        <w:rPr>
          <w:rFonts w:ascii="Times New Roman;serif" w:hAnsi="Times New Roman;serif"/>
          <w:b w:val="false"/>
          <w:sz w:val="22"/>
        </w:rPr>
        <w:t>(other than the Financial Performance Covenant); or</w:t>
      </w:r>
    </w:p>
    <w:p>
      <w:pPr>
        <w:pStyle w:val="TextBody"/>
        <w:bidi w:val="0"/>
        <w:spacing w:before="0" w:after="240"/>
        <w:jc w:val="both"/>
        <w:rPr>
          <w:rFonts w:ascii="Times New Roman" w:hAnsi="Times New Roman"/>
          <w:sz w:val="20"/>
        </w:rPr>
      </w:pPr>
      <w:bookmarkStart w:id="1038" w:name="docxtextref1719"/>
      <w:bookmarkEnd w:id="1038"/>
      <w:r>
        <w:rPr>
          <w:rFonts w:ascii="Times New Roman;serif" w:hAnsi="Times New Roman;serif"/>
          <w:b w:val="false"/>
          <w:sz w:val="22"/>
        </w:rPr>
        <w:t xml:space="preserve">(ii) Bidco or any of the Restricted Subsidiaries shall fail to observe or perform the Financial Performance Covenant;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any Event of Default under </w:t>
      </w:r>
      <w:r>
        <w:rPr>
          <w:rFonts w:ascii="Times New Roman;serif" w:hAnsi="Times New Roman;serif"/>
          <w:b w:val="false"/>
          <w:sz w:val="22"/>
          <w:u w:val="single"/>
        </w:rPr>
        <w:t>Section 6.07</w:t>
      </w:r>
      <w:r>
        <w:rPr>
          <w:rFonts w:ascii="Times New Roman" w:hAnsi="Times New Roman"/>
          <w:sz w:val="20"/>
        </w:rPr>
        <w:t xml:space="preserve"> </w:t>
      </w:r>
      <w:r>
        <w:rPr>
          <w:rFonts w:ascii="Times New Roman;serif" w:hAnsi="Times New Roman;serif"/>
          <w:b w:val="false"/>
          <w:sz w:val="22"/>
        </w:rPr>
        <w:t xml:space="preserve">is subject to cure as provided in </w:t>
      </w:r>
      <w:r>
        <w:rPr>
          <w:rFonts w:ascii="Times New Roman;serif" w:hAnsi="Times New Roman;serif"/>
          <w:b w:val="false"/>
          <w:sz w:val="22"/>
          <w:u w:val="single"/>
        </w:rPr>
        <w:t>Section 7.02</w:t>
      </w:r>
      <w:r>
        <w:rPr>
          <w:rFonts w:ascii="Times New Roman" w:hAnsi="Times New Roman"/>
          <w:sz w:val="20"/>
        </w:rPr>
        <w:t xml:space="preserve"> </w:t>
      </w:r>
      <w:r>
        <w:rPr>
          <w:rFonts w:ascii="Times New Roman;serif" w:hAnsi="Times New Roman;serif"/>
          <w:b w:val="false"/>
          <w:sz w:val="22"/>
        </w:rPr>
        <w:t>and an Event of Default with respect to such Section shall not occur until the expiration of the tenth (10</w:t>
      </w:r>
      <w:r>
        <w:rPr>
          <w:rFonts w:ascii="Times New Roman;serif" w:hAnsi="Times New Roman;serif"/>
          <w:b w:val="false"/>
          <w:sz w:val="15"/>
        </w:rPr>
        <w:t>th</w:t>
      </w:r>
      <w:r>
        <w:rPr>
          <w:rFonts w:ascii="Times New Roman;serif" w:hAnsi="Times New Roman;serif"/>
          <w:b w:val="false"/>
          <w:sz w:val="22"/>
        </w:rPr>
        <w:t xml:space="preserve">) Business Day subsequent to the date on which the financial statements with respect to the applicable fiscal quarter (or the fiscal year ended on the last day of such fiscal quarter) are required to be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5.01(b)</w:t>
      </w:r>
      <w:r>
        <w:rPr>
          <w:rFonts w:ascii="Times New Roman;serif" w:hAnsi="Times New Roman;serif"/>
          <w:b w:val="false"/>
          <w:sz w:val="22"/>
        </w:rPr>
        <w:t xml:space="preserve">, as applicable, and </w:t>
      </w:r>
      <w:bookmarkStart w:id="1039" w:name="docxtextref1720"/>
      <w:bookmarkEnd w:id="103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 Default under </w:t>
      </w:r>
      <w:r>
        <w:rPr>
          <w:rFonts w:ascii="Times New Roman;serif" w:hAnsi="Times New Roman;serif"/>
          <w:b w:val="false"/>
          <w:sz w:val="22"/>
          <w:u w:val="single"/>
        </w:rPr>
        <w:t>Section 6.07</w:t>
      </w:r>
      <w:r>
        <w:rPr>
          <w:rFonts w:ascii="Times New Roman" w:hAnsi="Times New Roman"/>
          <w:sz w:val="20"/>
        </w:rPr>
        <w:t xml:space="preserve"> </w:t>
      </w:r>
      <w:r>
        <w:rPr>
          <w:rFonts w:ascii="Times New Roman;serif" w:hAnsi="Times New Roman;serif"/>
          <w:b w:val="false"/>
          <w:sz w:val="22"/>
        </w:rPr>
        <w:t>shall not constitute an Event of Default with respect to the Term Loans unless and until the Revolving Lenders have actually declared all such obligations to be immediately due and payable or terminated the Revolving Commitments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accordance with this Agreement and such declaration has not been rescinded by the Required Revolving Lenders on or before such date.</w:t>
      </w:r>
    </w:p>
    <w:p>
      <w:pPr>
        <w:pStyle w:val="TextBody"/>
        <w:bidi w:val="0"/>
        <w:spacing w:before="0" w:after="240"/>
        <w:jc w:val="both"/>
        <w:rPr>
          <w:rFonts w:ascii="Times New Roman" w:hAnsi="Times New Roman"/>
          <w:sz w:val="20"/>
        </w:rPr>
      </w:pPr>
      <w:bookmarkStart w:id="1040" w:name="docxtextref1722"/>
      <w:bookmarkEnd w:id="1040"/>
      <w:r>
        <w:rPr>
          <w:rFonts w:ascii="Times New Roman;serif" w:hAnsi="Times New Roman;serif"/>
          <w:b w:val="false"/>
          <w:sz w:val="22"/>
        </w:rPr>
        <w:t xml:space="preserve">(e) Holdings, Bidco or any of the Restricted Subsidiaries shall fail to observe or perform any covenant, condition or agreement contained in any Loan Document (other than those specified in paragraph (a), </w:t>
      </w:r>
      <w:bookmarkStart w:id="1041" w:name="docxtextref1723"/>
      <w:bookmarkEnd w:id="104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or </w:t>
      </w:r>
      <w:bookmarkStart w:id="1042" w:name="docxtextref1724"/>
      <w:bookmarkEnd w:id="1042"/>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7.01</w:t>
      </w:r>
      <w:r>
        <w:rPr>
          <w:rFonts w:ascii="Times New Roman;serif" w:hAnsi="Times New Roman;serif"/>
          <w:b w:val="false"/>
          <w:sz w:val="22"/>
        </w:rPr>
        <w:t xml:space="preserve">), and such failure shall continue unremedied for a period of thirty (30) days after written notice thereof from the Administrative Agent to Bidco and the Borrowers;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any Default or Event of Default which may occur as a result of the failure to timely meet any delivery requirements under the Loan Documents shall cease to exist upon any delivery otherwise in compliance with such requirement.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Holdings, Bidco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pStyle w:val="TextBody"/>
        <w:bidi w:val="0"/>
        <w:spacing w:before="0" w:after="240"/>
        <w:jc w:val="both"/>
        <w:rPr>
          <w:rFonts w:ascii="Times New Roman" w:hAnsi="Times New Roman"/>
          <w:sz w:val="20"/>
        </w:rPr>
      </w:pPr>
      <w:bookmarkStart w:id="1043" w:name="docxtextref1728"/>
      <w:bookmarkEnd w:id="1043"/>
      <w:r>
        <w:rPr>
          <w:rFonts w:ascii="Times New Roman;serif" w:hAnsi="Times New Roman;serif"/>
          <w:b w:val="false"/>
          <w:sz w:val="22"/>
        </w:rPr>
        <w:t>(g) any event or condition occurs that results in any Material Indebtedness becoming due prior to its scheduled</w:t>
      </w:r>
      <w:r>
        <w:rPr>
          <w:rFonts w:ascii="Times New Roman" w:hAnsi="Times New Roman"/>
          <w:sz w:val="20"/>
        </w:rPr>
        <w:t xml:space="preserve"> </w:t>
      </w:r>
      <w:r>
        <w:rPr>
          <w:rFonts w:ascii="Times New Roman;serif" w:hAnsi="Times New Roman;serif"/>
          <w:b w:val="false"/>
          <w:sz w:val="22"/>
        </w:rPr>
        <w:t xml:space="preserve">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w:t>
      </w:r>
      <w:bookmarkStart w:id="1044" w:name="docxtextref1729"/>
      <w:bookmarkEnd w:id="1044"/>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maturity,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this paragraph </w:t>
      </w:r>
      <w:bookmarkStart w:id="1045" w:name="docxtextref1726"/>
      <w:bookmarkEnd w:id="1045"/>
      <w:r>
        <w:rPr>
          <w:rFonts w:ascii="Times New Roman;serif" w:hAnsi="Times New Roman;serif"/>
          <w:b w:val="false"/>
          <w:sz w:val="22"/>
        </w:rPr>
        <w:t>(g)</w:t>
      </w:r>
      <w:r>
        <w:rPr>
          <w:rFonts w:ascii="Times New Roman" w:hAnsi="Times New Roman"/>
          <w:sz w:val="20"/>
        </w:rPr>
        <w:t xml:space="preserve"> </w:t>
      </w:r>
      <w:r>
        <w:rPr>
          <w:rFonts w:ascii="Times New Roman;serif" w:hAnsi="Times New Roman;serif"/>
          <w:b w:val="false"/>
          <w:sz w:val="22"/>
        </w:rPr>
        <w:t xml:space="preserve">shall not apply to </w:t>
      </w:r>
      <w:bookmarkStart w:id="1046" w:name="docxtextref1730"/>
      <w:bookmarkEnd w:id="1046"/>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w:t>
      </w:r>
      <w:bookmarkStart w:id="1047" w:name="docxtextref1727"/>
      <w:bookmarkEnd w:id="1047"/>
      <w:r>
        <w:rPr>
          <w:rFonts w:ascii="Times New Roman;serif" w:hAnsi="Times New Roman;serif"/>
          <w:b w:val="false"/>
          <w:sz w:val="22"/>
        </w:rPr>
        <w:t>(f)</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7.01</w:t>
      </w:r>
      <w:r>
        <w:rPr>
          <w:rFonts w:ascii="Times New Roman" w:hAnsi="Times New Roman"/>
          <w:sz w:val="20"/>
        </w:rPr>
        <w:t xml:space="preserve"> </w:t>
      </w:r>
      <w:r>
        <w:rPr>
          <w:rFonts w:ascii="Times New Roman;serif" w:hAnsi="Times New Roman;serif"/>
          <w:b w:val="false"/>
          <w:sz w:val="22"/>
        </w:rPr>
        <w:t xml:space="preserve">will apply to any failure to make any payment required as a result of any such termination or similar event);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further</w:t>
      </w:r>
      <w:r>
        <w:rPr>
          <w:rFonts w:ascii="Times New Roman;serif" w:hAnsi="Times New Roman;serif"/>
          <w:b w:val="false"/>
          <w:sz w:val="22"/>
        </w:rPr>
        <w:t>,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pStyle w:val="TextBody"/>
        <w:bidi w:val="0"/>
        <w:spacing w:before="0" w:after="240"/>
        <w:jc w:val="both"/>
        <w:rPr>
          <w:rFonts w:ascii="Times New Roman" w:hAnsi="Times New Roman"/>
          <w:sz w:val="20"/>
        </w:rPr>
      </w:pPr>
      <w:bookmarkStart w:id="1048" w:name="docxtextref1731"/>
      <w:bookmarkEnd w:id="1048"/>
      <w:r>
        <w:rPr>
          <w:rFonts w:ascii="Times New Roman;serif" w:hAnsi="Times New Roman;serif"/>
          <w:b w:val="false"/>
          <w:sz w:val="22"/>
        </w:rPr>
        <w:t>(h) an involuntary proceeding shall be commenced or an involuntary petition shall be filed seeking (i)</w:t>
      </w:r>
      <w:r>
        <w:rPr>
          <w:rFonts w:ascii="Times New Roman" w:hAnsi="Times New Roman"/>
          <w:sz w:val="20"/>
        </w:rPr>
        <w:t xml:space="preserve"> </w:t>
      </w:r>
      <w:r>
        <w:rPr>
          <w:rFonts w:ascii="Times New Roman;serif" w:hAnsi="Times New Roman;serif"/>
          <w:b w:val="false"/>
          <w:sz w:val="22"/>
        </w:rPr>
        <w:t>liquidation, court protection, reorganization or other relief in respect of Holdings, any Intermediate Parent, Bidco, any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any Intermediate Parent, Bidco, any Borrower or any Material Subsidiary or for a material part of its assets, and, in any such case, such proceeding or petition shall continue undismissed and unstayed for 60 days or an order or decree approving or ordering any of the foregoing shall be entered;</w:t>
      </w:r>
    </w:p>
    <w:p>
      <w:pPr>
        <w:pStyle w:val="TextBody"/>
        <w:bidi w:val="0"/>
        <w:spacing w:before="0" w:after="240"/>
        <w:jc w:val="both"/>
        <w:rPr>
          <w:rFonts w:ascii="Times New Roman" w:hAnsi="Times New Roman"/>
          <w:sz w:val="20"/>
        </w:rPr>
      </w:pPr>
      <w:bookmarkStart w:id="1049" w:name="docxtextref1734"/>
      <w:bookmarkEnd w:id="1049"/>
      <w:r>
        <w:rPr>
          <w:rFonts w:ascii="Times New Roman;serif" w:hAnsi="Times New Roman;serif"/>
          <w:b w:val="false"/>
          <w:sz w:val="22"/>
        </w:rPr>
        <w:t>(i) Holdings, any Intermediate Parent, Bidco, any Borrower or any Material Subsidiary shall (i)</w:t>
      </w:r>
      <w:r>
        <w:rPr>
          <w:rFonts w:ascii="Times New Roman" w:hAnsi="Times New Roman"/>
          <w:sz w:val="20"/>
        </w:rPr>
        <w:t xml:space="preserve"> </w:t>
      </w:r>
      <w:r>
        <w:rPr>
          <w:rFonts w:ascii="Times New Roman;serif" w:hAnsi="Times New Roman;serif"/>
          <w:b w:val="false"/>
          <w:sz w:val="22"/>
        </w:rPr>
        <w:t xml:space="preserve">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w:t>
      </w:r>
      <w:bookmarkStart w:id="1050" w:name="docxtextref1733"/>
      <w:bookmarkEnd w:id="1050"/>
      <w:r>
        <w:rPr>
          <w:rFonts w:ascii="Times New Roman;serif" w:hAnsi="Times New Roman;serif"/>
          <w:b w:val="false"/>
          <w:sz w:val="22"/>
        </w:rPr>
        <w:t>(h)</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7.01</w:t>
      </w:r>
      <w:r>
        <w:rPr>
          <w:rFonts w:ascii="Times New Roman;serif" w:hAnsi="Times New Roman;serif"/>
          <w:b w:val="false"/>
          <w:sz w:val="22"/>
        </w:rPr>
        <w:t xml:space="preserve">, (iii) apply for or consent to the appointment of a receiver, trustee, examiner, custodian, sequestrator, conservator or similar official for Holdings, any Intermediate Parent, Bidco, any Borrower or any Material Subsidiary or for a material part of its assets, (iv) file an answer admitting the material allegations of a petition filed against it in any such proceeding or </w:t>
      </w:r>
      <w:bookmarkStart w:id="1051" w:name="docxtextref1735"/>
      <w:bookmarkEnd w:id="1051"/>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make a general assignment for the benefit of creditors;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052" w:name="docxtextref1736"/>
      <w:bookmarkEnd w:id="1052"/>
      <w:r>
        <w:rPr>
          <w:rFonts w:ascii="Times New Roman;serif" w:hAnsi="Times New Roman;serif"/>
          <w:b w:val="false"/>
          <w:sz w:val="22"/>
        </w:rPr>
        <w:t>(j) one or more enforceable judgments for the payment of money in an aggregate amount in excess of $500,000,000 (to the extent not covered by insurance as to which the insurer has been notified of such judgment or order and has not denied coverage) shall be rendered against Holdings, any Intermediate Parent, Bidco and any of the Restricted Subsidiaries or any combination thereof and the same shall remain undischarged for a period of 90</w:t>
      </w:r>
      <w:r>
        <w:rPr>
          <w:rFonts w:ascii="Times New Roman" w:hAnsi="Times New Roman"/>
          <w:sz w:val="20"/>
        </w:rPr>
        <w:t xml:space="preserve"> </w:t>
      </w:r>
      <w:r>
        <w:rPr>
          <w:rFonts w:ascii="Times New Roman;serif" w:hAnsi="Times New Roman;serif"/>
          <w:b w:val="false"/>
          <w:sz w:val="22"/>
        </w:rPr>
        <w:t>consecutive days during which execution shall not be effectively stayed, or any judgment creditor shall legally attach or levy upon assets of such Loan Party that are material to the businesses and operations of Holdings, any Intermediate Parent, Bidco and the Restricted Subsidiaries, taken as a whole, to enforce any such judgment;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(k) an ERISA Event occurs that has resulted or would reasonably be expected to result in a Material Adverse Effect;</w:t>
      </w:r>
    </w:p>
    <w:p>
      <w:pPr>
        <w:pStyle w:val="TextBody"/>
        <w:bidi w:val="0"/>
        <w:spacing w:before="0" w:after="240"/>
        <w:jc w:val="both"/>
        <w:rPr>
          <w:rFonts w:ascii="Times New Roman" w:hAnsi="Times New Roman"/>
          <w:sz w:val="20"/>
        </w:rPr>
      </w:pPr>
      <w:bookmarkStart w:id="1053" w:name="docxtextref1737"/>
      <w:bookmarkEnd w:id="1053"/>
      <w:r>
        <w:rPr>
          <w:rFonts w:ascii="Times New Roman;serif" w:hAnsi="Times New Roman;serif"/>
          <w:b w:val="false"/>
          <w:sz w:val="22"/>
        </w:rPr>
        <w:t>(l) 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w:t>
      </w:r>
      <w:r>
        <w:rPr>
          <w:rFonts w:ascii="Times New Roman" w:hAnsi="Times New Roman"/>
          <w:sz w:val="20"/>
        </w:rPr>
        <w:t xml:space="preserve"> </w:t>
      </w:r>
      <w:r>
        <w:rPr>
          <w:rFonts w:ascii="Times New Roman;serif" w:hAnsi="Times New Roman;serif"/>
          <w:b w:val="false"/>
          <w:sz w:val="22"/>
        </w:rPr>
        <w:t xml:space="preserve">as a result of the sale or other disposition of the applicable Collateral to a Person that is not a Loan Party in a transaction permitted under the Loan Documents, (ii) as a result of the Administrative Agent’s failure to </w:t>
      </w:r>
      <w:bookmarkStart w:id="1054" w:name="docxtextref1738"/>
      <w:bookmarkEnd w:id="1054"/>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maintain possession of any stock certificates, promissory notes or other instruments delivered to it under the Security Documents or </w:t>
      </w:r>
      <w:bookmarkStart w:id="1055" w:name="docxtextref1739"/>
      <w:bookmarkEnd w:id="1055"/>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file Uniform Commercial Code continuation financing statements or (iii) as a result of acts or omissions of the Administrative Agent or any Lender;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(m) any material provision of any Loan Document or any Guarantee of the Loan Document Obligations shall for any reason be asserted in writing by any Loan Party not to be a legal, valid and binding obligation of any Loan Party thereto other than as expressly permitted hereunder or thereunder;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 any Guarantees of the Loan Document Obligations by any Loan Party pursuant to the Guarantee Agreement shall cease to be in full force and effect (in each case, other than in accordance with the terms of the Loan Documents);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 a Change of Control shall occur;</w:t>
      </w:r>
    </w:p>
    <w:p>
      <w:pPr>
        <w:pStyle w:val="TextBody"/>
        <w:bidi w:val="0"/>
        <w:spacing w:before="0" w:after="240"/>
        <w:jc w:val="both"/>
        <w:rPr>
          <w:rFonts w:ascii="Times New Roman" w:hAnsi="Times New Roman"/>
          <w:sz w:val="20"/>
        </w:rPr>
      </w:pPr>
      <w:bookmarkStart w:id="1056" w:name="docxtextref1744"/>
      <w:bookmarkEnd w:id="1056"/>
      <w:r>
        <w:rPr>
          <w:rFonts w:ascii="Times New Roman;serif" w:hAnsi="Times New Roman;serif"/>
          <w:b w:val="false"/>
          <w:sz w:val="22"/>
        </w:rPr>
        <w:t>then, and in every such event (other than an event with respect to Holdings, any Intermediate Parent, Bidco or a Borrower described in paragraph (h)</w:t>
      </w:r>
      <w:r>
        <w:rPr>
          <w:rFonts w:ascii="Times New Roman" w:hAnsi="Times New Roman"/>
          <w:sz w:val="20"/>
        </w:rPr>
        <w:t xml:space="preserve"> </w:t>
      </w:r>
      <w:r>
        <w:rPr>
          <w:rFonts w:ascii="Times New Roman;serif" w:hAnsi="Times New Roman;serif"/>
          <w:b w:val="false"/>
          <w:sz w:val="22"/>
        </w:rPr>
        <w:t xml:space="preserve">or </w:t>
      </w:r>
      <w:bookmarkStart w:id="1057" w:name="docxtextref1746"/>
      <w:bookmarkEnd w:id="1057"/>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7.01</w:t>
      </w:r>
      <w:r>
        <w:rPr>
          <w:rFonts w:ascii="Times New Roman;serif" w:hAnsi="Times New Roman;serif"/>
          <w:b w:val="false"/>
          <w:sz w:val="22"/>
        </w:rPr>
        <w:t xml:space="preserve">), and during the continuance of such event (with respect to clauses (b) (with respect to expenses only), (c), (d), (e), (f), (g), (j), (k) and (o) of this </w:t>
      </w:r>
      <w:r>
        <w:rPr>
          <w:rFonts w:ascii="Times New Roman;serif" w:hAnsi="Times New Roman;serif"/>
          <w:b w:val="false"/>
          <w:sz w:val="22"/>
          <w:u w:val="single"/>
        </w:rPr>
        <w:t>Section 7.01</w:t>
      </w:r>
      <w:r>
        <w:rPr>
          <w:rFonts w:ascii="Times New Roman;serif" w:hAnsi="Times New Roman;serif"/>
          <w:b w:val="false"/>
          <w:sz w:val="22"/>
        </w:rPr>
        <w:t xml:space="preserve">, at any time up to two years following the first public notice or notice of the Administrative Agent and Lenders of such event), the Administrative Agent may, and at the request of the Required Lenders (or, in the case of an Event of Default under </w:t>
      </w:r>
      <w:r>
        <w:rPr>
          <w:rFonts w:ascii="Times New Roman;serif" w:hAnsi="Times New Roman;serif"/>
          <w:b w:val="false"/>
          <w:sz w:val="22"/>
          <w:u w:val="single"/>
        </w:rPr>
        <w:t>Section 7.01(d)(ii)</w:t>
      </w:r>
      <w:r>
        <w:rPr>
          <w:rFonts w:ascii="Times New Roman" w:hAnsi="Times New Roman"/>
          <w:sz w:val="20"/>
        </w:rPr>
        <w:t xml:space="preserve"> </w:t>
      </w:r>
      <w:r>
        <w:rPr>
          <w:rFonts w:ascii="Times New Roman;serif" w:hAnsi="Times New Roman;serif"/>
          <w:b w:val="false"/>
          <w:sz w:val="22"/>
        </w:rPr>
        <w:t xml:space="preserve">after giving effect to the proviso, the Required Revolving Lenders (with respect to the Revolving Commitments and the Revolving Loans)) shall, by notice to Bidco and the Borrowers, take any or all of the following actions, at the same or different times: </w:t>
      </w:r>
      <w:bookmarkStart w:id="1058" w:name="docxtextref1747"/>
      <w:bookmarkEnd w:id="1058"/>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Borrowers deposit cash collateral with the Administrative Agent as contemplated by </w:t>
      </w:r>
      <w:r>
        <w:rPr>
          <w:rFonts w:ascii="Times New Roman;serif" w:hAnsi="Times New Roman;serif"/>
          <w:b w:val="false"/>
          <w:sz w:val="22"/>
          <w:u w:val="single"/>
        </w:rPr>
        <w:t>Section 2.04(j)</w:t>
      </w:r>
      <w:r>
        <w:rPr>
          <w:rFonts w:ascii="Times New Roman" w:hAnsi="Times New Roman"/>
          <w:sz w:val="20"/>
        </w:rPr>
        <w:t xml:space="preserve"> </w:t>
      </w:r>
      <w:r>
        <w:rPr>
          <w:rFonts w:ascii="Times New Roman;serif" w:hAnsi="Times New Roman;serif"/>
          <w:b w:val="false"/>
          <w:sz w:val="22"/>
        </w:rPr>
        <w:t xml:space="preserve">in the aggregate LC Exposure of all outstanding Letters of Credit and thereupon the principal of the Loans and the LC Exposure of all Letters of Credit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Holdings, Bidco or a Borrower described in paragraph </w:t>
      </w:r>
      <w:bookmarkStart w:id="1059" w:name="docxtextref1745"/>
      <w:bookmarkEnd w:id="1059"/>
      <w:r>
        <w:rPr>
          <w:rFonts w:ascii="Times New Roman;serif" w:hAnsi="Times New Roman;serif"/>
          <w:b w:val="false"/>
          <w:sz w:val="22"/>
        </w:rPr>
        <w:t>(h)</w:t>
      </w:r>
      <w:r>
        <w:rPr>
          <w:rFonts w:ascii="Times New Roman" w:hAnsi="Times New Roman"/>
          <w:sz w:val="20"/>
        </w:rPr>
        <w:t xml:space="preserve"> </w:t>
      </w:r>
      <w:r>
        <w:rPr>
          <w:rFonts w:ascii="Times New Roman;serif" w:hAnsi="Times New Roman;serif"/>
          <w:b w:val="false"/>
          <w:sz w:val="22"/>
        </w:rPr>
        <w:t xml:space="preserve">or </w:t>
      </w:r>
      <w:bookmarkStart w:id="1060" w:name="docxtextref1748"/>
      <w:bookmarkEnd w:id="1060"/>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7.01</w:t>
      </w:r>
      <w:r>
        <w:rPr>
          <w:rFonts w:ascii="Times New Roman;serif" w:hAnsi="Times New Roman;serif"/>
          <w:b w:val="false"/>
          <w:sz w:val="22"/>
        </w:rPr>
        <w:t>, the Commitments shall automatically terminate and the principal of the Loans then outstanding, together with accrued interest thereon and all fees and other obligations of the Borrowers accrued hereunder, shall automatically become due and payable, without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presentment, demand, protest or other notice of any kind, all of which are hereby waived by the Borrowers. Any time period to cure any actual or alleged Default or Event of Default may be extended or stayed by a court of competent jurisdiction.</w:t>
      </w:r>
    </w:p>
    <w:p>
      <w:pPr>
        <w:pStyle w:val="TextBody"/>
        <w:bidi w:val="0"/>
        <w:spacing w:before="0" w:after="240"/>
        <w:jc w:val="both"/>
        <w:rPr>
          <w:rFonts w:ascii="Times New Roman" w:hAnsi="Times New Roman"/>
          <w:sz w:val="20"/>
        </w:rPr>
      </w:pPr>
      <w:bookmarkStart w:id="1061" w:name="docxtextref1752"/>
      <w:bookmarkEnd w:id="1061"/>
      <w:r>
        <w:rPr>
          <w:rFonts w:ascii="Times New Roman;serif" w:hAnsi="Times New Roman;serif"/>
          <w:b w:val="false"/>
          <w:sz w:val="22"/>
        </w:rPr>
        <w:t>For the avoidance of doubt, (i)</w:t>
      </w:r>
      <w:r>
        <w:rPr>
          <w:rFonts w:ascii="Times New Roman" w:hAnsi="Times New Roman"/>
          <w:sz w:val="20"/>
        </w:rPr>
        <w:t xml:space="preserve"> </w:t>
      </w:r>
      <w:r>
        <w:rPr>
          <w:rFonts w:ascii="Times New Roman;serif" w:hAnsi="Times New Roman;serif"/>
          <w:b w:val="false"/>
          <w:sz w:val="22"/>
        </w:rPr>
        <w:t xml:space="preserve">any “going concern” or like qualification or exception in connection with </w:t>
      </w:r>
      <w:bookmarkStart w:id="1062" w:name="docxtextref1753"/>
      <w:bookmarkEnd w:id="106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an upcoming maturity date of any Indebtedness, </w:t>
      </w:r>
      <w:bookmarkStart w:id="1063" w:name="docxtextref1754"/>
      <w:bookmarkEnd w:id="106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any actual failure to satisfy a financial maintenance covenant or any potential inability to satisfy a financial maintenance covenant on a future date or in a future period or </w:t>
      </w:r>
      <w:bookmarkStart w:id="1064" w:name="docxtextref1755"/>
      <w:bookmarkEnd w:id="1064"/>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any projected Default or Event of Default or a civil investigative demand, subpoena or similar request arising from any investigation by any Governmental Authority or any claim, litigation, investigation or proceeding arising from or relating to any of the foregoing, in each case in connection with financial statements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shall not be a Default or Event of Default and (ii) any Default or Event of Default which may have occurred shall cease to exist upon compliance with such requirement, including with respect to an Event of Default pursuant to </w:t>
      </w:r>
      <w:bookmarkStart w:id="1065" w:name="docxtextref1756"/>
      <w:bookmarkEnd w:id="106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u w:val="single"/>
        </w:rPr>
        <w:t>Section 7.01(a)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7.01(b)</w:t>
      </w:r>
      <w:r>
        <w:rPr>
          <w:rFonts w:ascii="Times New Roman;serif" w:hAnsi="Times New Roman;serif"/>
          <w:b w:val="false"/>
          <w:sz w:val="22"/>
        </w:rPr>
        <w:t xml:space="preserve">, upon payment of any overdue amounts and </w:t>
      </w:r>
      <w:bookmarkStart w:id="1066" w:name="docxtextref1757"/>
      <w:bookmarkEnd w:id="106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the failure to timely meet any delivery requirements under the Loan Documents, upon any delivery otherwise in compliance with such requirement and (iii) the failure of any representation or warranty (other than the Major Representations) to be true and correct on the Effective Date will not constitute a Default or Event of Default hereunder.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any other provision of any Loan Document, during the Certain Funds Period none of the Lenders shall:</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refuse to participate in or make available any Certain Funds Utilization, provided that the conditions in paragraphs (a) through (l) of </w:t>
      </w:r>
      <w:r>
        <w:rPr>
          <w:rFonts w:ascii="Times New Roman;serif" w:hAnsi="Times New Roman;serif"/>
          <w:b w:val="false"/>
          <w:sz w:val="22"/>
          <w:u w:val="single"/>
        </w:rPr>
        <w:t>Section 4.01</w:t>
      </w:r>
      <w:r>
        <w:rPr>
          <w:rFonts w:ascii="Times New Roman" w:hAnsi="Times New Roman"/>
          <w:sz w:val="20"/>
        </w:rPr>
        <w:t xml:space="preserve"> </w:t>
      </w:r>
      <w:r>
        <w:rPr>
          <w:rFonts w:ascii="Times New Roman;serif" w:hAnsi="Times New Roman;serif"/>
          <w:b w:val="false"/>
          <w:sz w:val="22"/>
        </w:rPr>
        <w:t>have been satisfied;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be entitled to take any action to rescind, terminate or cancel this Agreement (or any provision hereof or obligation hereunder) or any utilization of any Loan or Commitment;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exercise any right of set-off or counterclaim in respect of any utilization of any Loan or Commitment;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accelerate any utilization of any Loan or otherwise demand or require repayment or prepayment of any sum from any Loan Party;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enforce (or instruct the Administrative Agent and/or Collateral Agent to enforce) any Collateral under any Loan Document,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unless at any time the conditions in paragraph (i) of </w:t>
      </w:r>
      <w:r>
        <w:rPr>
          <w:rFonts w:ascii="Times New Roman;serif" w:hAnsi="Times New Roman;serif"/>
          <w:b w:val="false"/>
          <w:sz w:val="22"/>
          <w:u w:val="single"/>
        </w:rPr>
        <w:t>Section 4.01</w:t>
      </w:r>
      <w:r>
        <w:rPr>
          <w:rFonts w:ascii="Times New Roman" w:hAnsi="Times New Roman"/>
          <w:sz w:val="20"/>
        </w:rPr>
        <w:t xml:space="preserve"> </w:t>
      </w:r>
      <w:r>
        <w:rPr>
          <w:rFonts w:ascii="Times New Roman;serif" w:hAnsi="Times New Roman;serif"/>
          <w:b w:val="false"/>
          <w:sz w:val="22"/>
        </w:rPr>
        <w:t xml:space="preserve">is not satisfied (which, in respect of paragraph (i)(ii) of </w:t>
      </w:r>
      <w:r>
        <w:rPr>
          <w:rFonts w:ascii="Times New Roman;serif" w:hAnsi="Times New Roman;serif"/>
          <w:b w:val="false"/>
          <w:sz w:val="22"/>
          <w:u w:val="single"/>
        </w:rPr>
        <w:t>Section 4.01</w:t>
      </w:r>
      <w:r>
        <w:rPr>
          <w:rFonts w:ascii="Times New Roman;serif" w:hAnsi="Times New Roman;serif"/>
          <w:b w:val="false"/>
          <w:sz w:val="22"/>
        </w:rPr>
        <w:t xml:space="preserve">, shall allow the relevant Lender to take such action in respect of itself only and shall not permit any other Lender to take such action),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immediately upon the expiry of the Certain Funds Period, all such rights, remedies and entitlements shall be available to the Lenders, notwithstanding that they may not have been used or been available for use during the Certain Funds Period.</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7.02 </w:t>
      </w:r>
      <w:r>
        <w:rPr>
          <w:rFonts w:ascii="Times New Roman;serif" w:hAnsi="Times New Roman;serif"/>
          <w:b w:val="false"/>
          <w:sz w:val="22"/>
          <w:u w:val="single"/>
        </w:rPr>
        <w:t>Right to Cure</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067" w:name="docxtextref1760"/>
      <w:bookmarkEnd w:id="1067"/>
      <w:r>
        <w:rPr>
          <w:rFonts w:ascii="Times New Roman;serif" w:hAnsi="Times New Roman;serif"/>
          <w:b w:val="false"/>
          <w:sz w:val="22"/>
        </w:rPr>
        <w:t xml:space="preserve">(a) Notwithstanding anything to the contrary contained in </w:t>
      </w:r>
      <w:r>
        <w:rPr>
          <w:rFonts w:ascii="Times New Roman;serif" w:hAnsi="Times New Roman;serif"/>
          <w:b w:val="false"/>
          <w:sz w:val="22"/>
          <w:u w:val="single"/>
        </w:rPr>
        <w:t>Section 7.01</w:t>
      </w:r>
      <w:r>
        <w:rPr>
          <w:rFonts w:ascii="Times New Roman;serif" w:hAnsi="Times New Roman;serif"/>
          <w:b w:val="false"/>
          <w:sz w:val="22"/>
        </w:rPr>
        <w:t>, in the event that Bidco and the Restricted Subsidiaries fail to comply with the requirements of the Financial Performance Covenant (if applicable) as of the last day of any applicable fiscal quarter of Bidco, at any time after the beginning of such fiscal quarter until the expiration of the tenth (10</w:t>
      </w:r>
      <w:r>
        <w:rPr>
          <w:rFonts w:ascii="Times New Roman;serif" w:hAnsi="Times New Roman;serif"/>
          <w:b w:val="false"/>
          <w:sz w:val="15"/>
        </w:rPr>
        <w:t>th</w:t>
      </w:r>
      <w:r>
        <w:rPr>
          <w:rFonts w:ascii="Times New Roman;serif" w:hAnsi="Times New Roman;serif"/>
          <w:b w:val="false"/>
          <w:sz w:val="22"/>
        </w:rPr>
        <w:t xml:space="preserve">) Business Day subsequent to the date on which the financial statements with respect to such fiscal quarter (or the fiscal year ended on the last day of such fiscal quarter) are required to be delivered pursuant to </w:t>
      </w:r>
      <w:r>
        <w:rPr>
          <w:rFonts w:ascii="Times New Roman;serif" w:hAnsi="Times New Roman;serif"/>
          <w:b w:val="false"/>
          <w:sz w:val="22"/>
          <w:u w:val="single"/>
        </w:rPr>
        <w:t>Section 5.01(a)</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(b)</w:t>
      </w:r>
      <w:r>
        <w:rPr>
          <w:rFonts w:ascii="Times New Roman;serif" w:hAnsi="Times New Roman;serif"/>
          <w:b w:val="false"/>
          <w:sz w:val="22"/>
        </w:rPr>
        <w:t>, as applicable, Holdings shall have the right to issue Qualified Equity Interests for cash or otherwise receive cash contributions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the capital of Holdings as cash common equity or other Qualified Equity Interests or Subordinated Shareholder Liabilities (which Holdings shall contribute, through its subsidiaries if applicable, to Bidco as cash common equity or other Qualified Equity Interests) (collectively, the “</w:t>
      </w:r>
      <w:r>
        <w:rPr>
          <w:rFonts w:ascii="Times New Roman;serif" w:hAnsi="Times New Roman;serif"/>
          <w:b w:val="false"/>
          <w:sz w:val="22"/>
          <w:u w:val="single"/>
        </w:rPr>
        <w:t>Cure Right</w:t>
      </w:r>
      <w:r>
        <w:rPr>
          <w:rFonts w:ascii="Times New Roman" w:hAnsi="Times New Roman"/>
          <w:sz w:val="20"/>
        </w:rPr>
        <w:t>”</w:t>
      </w:r>
      <w:r>
        <w:rPr>
          <w:rFonts w:ascii="Times New Roman;serif" w:hAnsi="Times New Roman;serif"/>
          <w:b w:val="false"/>
          <w:sz w:val="22"/>
        </w:rPr>
        <w:t>), and upon the receipt by Bidco of the Net Proceeds of such issuance (the “</w:t>
      </w:r>
      <w:r>
        <w:rPr>
          <w:rFonts w:ascii="Times New Roman;serif" w:hAnsi="Times New Roman;serif"/>
          <w:b w:val="false"/>
          <w:sz w:val="22"/>
          <w:u w:val="single"/>
        </w:rPr>
        <w:t>Cure Amount</w:t>
      </w:r>
      <w:r>
        <w:rPr>
          <w:rFonts w:ascii="Times New Roman" w:hAnsi="Times New Roman"/>
          <w:sz w:val="20"/>
        </w:rPr>
        <w:t>”</w:t>
      </w:r>
      <w:r>
        <w:rPr>
          <w:rFonts w:ascii="Times New Roman;serif" w:hAnsi="Times New Roman;serif"/>
          <w:b w:val="false"/>
          <w:sz w:val="22"/>
        </w:rPr>
        <w:t>) pursuant to the exercise by Holdings of such Cure Right, the Financial Performance Covenant shall be recalculated giving effect to one of the following Pro Forma Adjustments: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pStyle w:val="TextBody"/>
        <w:bidi w:val="0"/>
        <w:spacing w:before="0" w:after="240"/>
        <w:jc w:val="both"/>
        <w:rPr>
          <w:rFonts w:ascii="Times New Roman" w:hAnsi="Times New Roman"/>
          <w:sz w:val="20"/>
        </w:rPr>
      </w:pPr>
      <w:bookmarkStart w:id="1068" w:name="docxtextref1761"/>
      <w:bookmarkEnd w:id="1068"/>
      <w:r>
        <w:rPr>
          <w:rFonts w:ascii="Times New Roman;serif" w:hAnsi="Times New Roman;serif"/>
          <w:b w:val="false"/>
          <w:sz w:val="22"/>
        </w:rPr>
        <w:t>(ii) Revolving Borrowings with respect to such applicable fiscal quarter shall be reduced to an amount below the greater of (x)</w:t>
      </w:r>
      <w:r>
        <w:rPr>
          <w:rFonts w:ascii="Times New Roman" w:hAnsi="Times New Roman"/>
          <w:sz w:val="20"/>
        </w:rPr>
        <w:t xml:space="preserve"> </w:t>
      </w:r>
      <w:r>
        <w:rPr>
          <w:rFonts w:ascii="Times New Roman;serif" w:hAnsi="Times New Roman;serif"/>
          <w:b w:val="false"/>
          <w:sz w:val="22"/>
        </w:rPr>
        <w:t xml:space="preserve">$280,000,000 and </w:t>
      </w:r>
      <w:bookmarkStart w:id="1069" w:name="docxtextref1762"/>
      <w:bookmarkEnd w:id="106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40% of the aggregate principal amount of Revolving Commitments then in effect (after including any Incremental Revolving Commitment Increase then in effect) such that the Financial Performance Covenant would not have been required to have been tested on the last day of such fiscal quarter;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if, after giving effect to either of the foregoing Pro Forma Adjustments, Bidco and the Restricted Subsidiaries shall then be in compliance with the Senior Secured First Lien Net Leverage Ratio contained in the Financial Performance Covenant or the Financial Performance Covenant is not applicable for such fiscal quarter, Bidco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pStyle w:val="TextBody"/>
        <w:bidi w:val="0"/>
        <w:spacing w:before="0" w:after="240"/>
        <w:jc w:val="both"/>
        <w:rPr>
          <w:rFonts w:ascii="Times New Roman" w:hAnsi="Times New Roman"/>
          <w:sz w:val="20"/>
        </w:rPr>
      </w:pPr>
      <w:bookmarkStart w:id="1070" w:name="docxtextref1768"/>
      <w:bookmarkEnd w:id="1070"/>
      <w:r>
        <w:rPr>
          <w:rFonts w:ascii="Times New Roman;serif" w:hAnsi="Times New Roman;serif"/>
          <w:b w:val="false"/>
          <w:sz w:val="22"/>
        </w:rPr>
        <w:t>(b) Notwithstanding anything herein to the contrary, (i)</w:t>
      </w:r>
      <w:r>
        <w:rPr>
          <w:rFonts w:ascii="Times New Roman" w:hAnsi="Times New Roman"/>
          <w:sz w:val="20"/>
        </w:rPr>
        <w:t xml:space="preserve"> </w:t>
      </w:r>
      <w:r>
        <w:rPr>
          <w:rFonts w:ascii="Times New Roman;serif" w:hAnsi="Times New Roman;serif"/>
          <w:b w:val="false"/>
          <w:sz w:val="22"/>
        </w:rPr>
        <w:t xml:space="preserve">in each four consecutive fiscal quarter period of Bidco there shall be at least one </w:t>
      </w:r>
      <w:bookmarkStart w:id="1071" w:name="docxtextref1766"/>
      <w:bookmarkEnd w:id="1071"/>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fiscal quarter in which the Cure Right is not exercised, (ii) during the term of this Agreement, the Cure Right shall not be exercised more than five </w:t>
      </w:r>
      <w:bookmarkStart w:id="1072" w:name="docxtextref1767"/>
      <w:bookmarkEnd w:id="1072"/>
      <w:r>
        <w:rPr>
          <w:rFonts w:ascii="Times New Roman;serif" w:hAnsi="Times New Roman;serif"/>
          <w:b w:val="false"/>
          <w:sz w:val="22"/>
        </w:rPr>
        <w:t>(5)</w:t>
      </w:r>
      <w:r>
        <w:rPr>
          <w:rFonts w:ascii="Times New Roman" w:hAnsi="Times New Roman"/>
          <w:sz w:val="20"/>
        </w:rPr>
        <w:t xml:space="preserve"> </w:t>
      </w:r>
      <w:r>
        <w:rPr>
          <w:rFonts w:ascii="Times New Roman;serif" w:hAnsi="Times New Roman;serif"/>
          <w:b w:val="false"/>
          <w:sz w:val="22"/>
        </w:rPr>
        <w:t xml:space="preserve">times and (iii) for purposes of this </w:t>
      </w:r>
      <w:r>
        <w:rPr>
          <w:rFonts w:ascii="Times New Roman;serif" w:hAnsi="Times New Roman;serif"/>
          <w:b w:val="false"/>
          <w:sz w:val="22"/>
          <w:u w:val="single"/>
        </w:rPr>
        <w:t>Section 7.02</w:t>
      </w:r>
      <w:r>
        <w:rPr>
          <w:rFonts w:ascii="Times New Roman;serif" w:hAnsi="Times New Roman;serif"/>
          <w:b w:val="false"/>
          <w:sz w:val="22"/>
        </w:rPr>
        <w:t xml:space="preserve">, the Cure Amount shall be no greater than the amount required for purposes of complying with the Senior Secured First Lien Net Leverage Ratio contained in the Financial Performance Covenant or reducing the outstanding Revolving Borrowings to below the greater of </w:t>
      </w:r>
      <w:bookmarkStart w:id="1073" w:name="docxtextref1769"/>
      <w:bookmarkEnd w:id="1073"/>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$280,000.000 and </w:t>
      </w:r>
      <w:bookmarkStart w:id="1074" w:name="docxtextref1770"/>
      <w:bookmarkEnd w:id="1074"/>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40% of the aggregate principal amount of Revolving Commitments then in effect (after including any Incremental Revolving Commitment Increase then in effect), as applicable,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w:t>
      </w:r>
      <w:r>
        <w:rPr>
          <w:rFonts w:ascii="Times New Roman;serif" w:hAnsi="Times New Roman;serif"/>
          <w:b w:val="false"/>
          <w:sz w:val="22"/>
          <w:u w:val="single"/>
        </w:rPr>
        <w:t>Article VI</w:t>
      </w:r>
      <w:r>
        <w:rPr>
          <w:rFonts w:ascii="Times New Roman" w:hAnsi="Times New Roman"/>
          <w:sz w:val="20"/>
        </w:rPr>
        <w:t xml:space="preserve"> </w:t>
      </w:r>
      <w:r>
        <w:rPr>
          <w:rFonts w:ascii="Times New Roman;serif" w:hAnsi="Times New Roman;serif"/>
          <w:b w:val="false"/>
          <w:sz w:val="22"/>
        </w:rPr>
        <w:t xml:space="preserve">of this Agreement. For the avoidance of doubt, to the extent such Cure Amounts are applied to prepay Indebtedness, such reduction may be given effect in determining compliance with the Financial Performance Covenant for fiscal quarters after the fiscal quarter in which such Cure Right was made and there shall not have been a breach of any covenant under </w:t>
      </w:r>
      <w:r>
        <w:rPr>
          <w:rFonts w:ascii="Times New Roman;serif" w:hAnsi="Times New Roman;serif"/>
          <w:b w:val="false"/>
          <w:sz w:val="22"/>
          <w:u w:val="single"/>
        </w:rPr>
        <w:t>Article VI</w:t>
      </w:r>
      <w:r>
        <w:rPr>
          <w:rFonts w:ascii="Times New Roman" w:hAnsi="Times New Roman"/>
          <w:sz w:val="20"/>
        </w:rPr>
        <w:t xml:space="preserve"> </w:t>
      </w:r>
      <w:r>
        <w:rPr>
          <w:rFonts w:ascii="Times New Roman;serif" w:hAnsi="Times New Roman;serif"/>
          <w:b w:val="false"/>
          <w:sz w:val="22"/>
        </w:rPr>
        <w:t>of this Agreement by reason of having no longer included such Cure Amount in any basket during the relevant period.</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7.03 </w:t>
      </w:r>
      <w:r>
        <w:rPr>
          <w:rFonts w:ascii="Times New Roman;serif" w:hAnsi="Times New Roman;serif"/>
          <w:b w:val="false"/>
          <w:sz w:val="22"/>
          <w:u w:val="single"/>
        </w:rPr>
        <w:t>Application of Proceeds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After the exercise of remedies provided for in </w:t>
      </w:r>
      <w:r>
        <w:rPr>
          <w:rFonts w:ascii="Times New Roman;serif" w:hAnsi="Times New Roman;serif"/>
          <w:b w:val="false"/>
          <w:sz w:val="22"/>
          <w:u w:val="single"/>
        </w:rPr>
        <w:t>Section 7.01</w:t>
      </w:r>
      <w:r>
        <w:rPr>
          <w:rFonts w:ascii="Times New Roman;serif" w:hAnsi="Times New Roman;serif"/>
          <w:b w:val="false"/>
          <w:sz w:val="22"/>
        </w:rPr>
        <w:t>, any amounts received on account of the Secured Obligations shall be applied by the Administrative Agent, in accordance with the following provision and/or the similar provisions in the Security Documents.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Subject to the terms of any applicable intercreditor agreement then in effect and contemplated by this Agreement, the Collateral Agent shall apply the proceeds of any collection or sale of Collateral, including any Collateral consisting of cash, as follows: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FIRST, to the payment of all reasonable and documented or invoiced out-of-pocket costs and expenses incurred by the Administrative Agent and the Collateral Agent in connection with such collection or sale or otherwise in connection with this Agreement, any other Loan Document or any of the Secured Obligations, including all reasonable and documented or invoiced out-of-pocket court costs and the fees and expenses of its agents and legal counsel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Administrative Agent to be necessary, one local counsel in each relevant material jurisdiction and, in the case of an actual or perceived conflict of interest where the Collateral Agent or any Lender affected by such conflict notifies the Borrower of the existence of such conflict and thereafter retains its own counsel, one additional conflicts counsel and (y) the fees and expenses of any other advisor or consultant, to the reasonable, documented and invoiced fees, charges and disbursements of such advisor or consultant, but solely to the extent that such consultant or advisor has been retained with the Borrower’s consent (such consent not to be unreasonably withheld or delayed)), the repayment of all advances made by the Administrative Agent or the Collateral Agent hereunder or under any other Loan Document on behalf of any Grantor and any other costs or expenses incurred in connection with the exercise of any right or remedy hereunder or under any other Loan Document;</w:t>
      </w:r>
    </w:p>
    <w:p>
      <w:pPr>
        <w:pStyle w:val="TextBody"/>
        <w:bidi w:val="0"/>
        <w:spacing w:before="0" w:after="240"/>
        <w:jc w:val="both"/>
        <w:rPr>
          <w:rFonts w:ascii="Times New Roman" w:hAnsi="Times New Roman"/>
          <w:sz w:val="20"/>
        </w:rPr>
      </w:pPr>
      <w:r>
        <w:rPr>
          <w:rFonts w:ascii="Times New Roman;serif" w:hAnsi="Times New Roman;serif"/>
          <w:b w:val="false"/>
          <w:sz w:val="22"/>
        </w:rPr>
        <w:t>SECOND, to the payment in full of the Secured Obligations (the amounts so applied to be distributed among the Secured Parties pro rata in accordance with the amounts of the Secured Obligations owed to them on the date of any such distribution);</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THIRD, to any agent of any junior secured debt, in accordance with any applicable intercreditor agreement then in effect and contemplated by this Agreement;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FOURTH, to the Loan Parties, their successors or assigns, or as a court of competent jurisdiction may otherwise direct.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Collateral Agent shall have sole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VIII</w:t>
      </w:r>
      <w:r>
        <w:rPr>
          <w:rFonts w:ascii="Times New Roman;serif" w:hAnsi="Times New Roman;serif"/>
          <w:b w:val="false"/>
          <w:caps/>
          <w:sz w:val="22"/>
          <w:u w:val="single"/>
        </w:rPr>
        <w:br/>
        <w:br/>
        <w:t>Administrative Agent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8.01 </w:t>
      </w:r>
      <w:r>
        <w:rPr>
          <w:rFonts w:ascii="Times New Roman;serif" w:hAnsi="Times New Roman;serif"/>
          <w:b w:val="false"/>
          <w:sz w:val="22"/>
          <w:u w:val="single"/>
        </w:rPr>
        <w:t>Appointment and Authority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Each of the Lenders and the Issuing Bank hereby irrevocably appoints Barclays Bank PLC to act on its behalf as the Administrative Agent and Collateral Agent hereunder and under the other Loan Documents and authorizes the Administrative Agent to take such actions on its behalf and to exercise such powers as are delegated to the Administrative Agent and Collateral Agent by the terms hereof or thereof, together with such actions and powers as are reasonably incidental thereto. The provisions of this </w:t>
      </w:r>
      <w:r>
        <w:rPr>
          <w:rFonts w:ascii="Times New Roman;serif" w:hAnsi="Times New Roman;serif"/>
          <w:b w:val="false"/>
          <w:sz w:val="22"/>
          <w:u w:val="single"/>
        </w:rPr>
        <w:t>Article VIII</w:t>
      </w:r>
      <w:r>
        <w:rPr>
          <w:rFonts w:ascii="Times New Roman" w:hAnsi="Times New Roman"/>
          <w:sz w:val="20"/>
        </w:rPr>
        <w:t xml:space="preserve"> </w:t>
      </w:r>
      <w:r>
        <w:rPr>
          <w:rFonts w:ascii="Times New Roman;serif" w:hAnsi="Times New Roman;serif"/>
          <w:b w:val="false"/>
          <w:sz w:val="22"/>
        </w:rPr>
        <w:t>are solely for the benefit of the Administrative Agent and the Collateral Agent, the Lenders and the Issuing Bank, and neither Bidco nor any other Loan Party shall have rights as a third party beneficiary of any of such provisions.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The Administrative Agent shall also act as the “Collateral Agent” under the Loan Documents, and each of the Lenders and the Issuing Bank hereby irrevocably appoints and authorizes the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Administrative Agent and Collateral Agent pursuant to </w:t>
      </w:r>
      <w:r>
        <w:rPr>
          <w:rFonts w:ascii="Times New Roman;serif" w:hAnsi="Times New Roman;serif"/>
          <w:b w:val="false"/>
          <w:sz w:val="22"/>
          <w:u w:val="single"/>
        </w:rPr>
        <w:t>Section 8.05</w:t>
      </w:r>
      <w:r>
        <w:rPr>
          <w:rFonts w:ascii="Times New Roman" w:hAnsi="Times New Roman"/>
          <w:sz w:val="20"/>
        </w:rPr>
        <w:t xml:space="preserve"> </w:t>
      </w:r>
      <w:r>
        <w:rPr>
          <w:rFonts w:ascii="Times New Roman;serif" w:hAnsi="Times New Roman;serif"/>
          <w:b w:val="false"/>
          <w:sz w:val="22"/>
        </w:rPr>
        <w:t xml:space="preserve">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serif" w:hAnsi="Times New Roman;serif"/>
          <w:b w:val="false"/>
          <w:sz w:val="22"/>
          <w:u w:val="single"/>
        </w:rPr>
        <w:t>Article VIII</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Article IX</w:t>
      </w:r>
      <w:r>
        <w:rPr>
          <w:rFonts w:ascii="Times New Roman" w:hAnsi="Times New Roman"/>
          <w:sz w:val="20"/>
        </w:rPr>
        <w:t xml:space="preserve"> </w:t>
      </w:r>
      <w:r>
        <w:rPr>
          <w:rFonts w:ascii="Times New Roman;serif" w:hAnsi="Times New Roman;serif"/>
          <w:b w:val="false"/>
          <w:sz w:val="22"/>
        </w:rPr>
        <w:t xml:space="preserve">(including </w:t>
      </w:r>
      <w:r>
        <w:rPr>
          <w:rFonts w:ascii="Times New Roman;serif" w:hAnsi="Times New Roman;serif"/>
          <w:b w:val="false"/>
          <w:sz w:val="22"/>
          <w:u w:val="single"/>
        </w:rPr>
        <w:t>Section 9.03</w:t>
      </w:r>
      <w:r>
        <w:rPr>
          <w:rFonts w:ascii="Times New Roman" w:hAnsi="Times New Roman"/>
          <w:sz w:val="20"/>
        </w:rPr>
        <w:t xml:space="preserve"> </w:t>
      </w:r>
      <w:r>
        <w:rPr>
          <w:rFonts w:ascii="Times New Roman;serif" w:hAnsi="Times New Roman;serif"/>
          <w:b w:val="false"/>
          <w:sz w:val="22"/>
        </w:rPr>
        <w:t>as though such co-agents, sub-agents and attorneys-in-fact were the “collateral agent” under the Loan Documents) as if set forth in full herein with respect thereto.</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8.02 </w:t>
      </w:r>
      <w:r>
        <w:rPr>
          <w:rFonts w:ascii="Times New Roman;serif" w:hAnsi="Times New Roman;serif"/>
          <w:b w:val="false"/>
          <w:sz w:val="22"/>
          <w:u w:val="single"/>
        </w:rPr>
        <w:t>Rights as a Lender</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Bidco or any Subsidiary or other Affiliate thereof as if such Person were not the Administrative Agent hereunder and without any duty to account therefor to the Lenders.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8.03 </w:t>
      </w:r>
      <w:r>
        <w:rPr>
          <w:rFonts w:ascii="Times New Roman;serif" w:hAnsi="Times New Roman;serif"/>
          <w:b w:val="false"/>
          <w:sz w:val="22"/>
          <w:u w:val="single"/>
        </w:rPr>
        <w:t>Exculpatory Provisions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Administrative Agent shall not have any duties or obligations except those expressly set forth herein and in the other Loan Documents. Without limiting the generality of the foregoing, the Administrative Agent: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shall not be subject to any fiduciary or other implied duties, regardless of whether a Default has occurred and is continuing;</w:t>
      </w:r>
    </w:p>
    <w:p>
      <w:pPr>
        <w:pStyle w:val="TextBody"/>
        <w:bidi w:val="0"/>
        <w:spacing w:before="0" w:after="240"/>
        <w:jc w:val="both"/>
        <w:rPr>
          <w:rFonts w:ascii="Times New Roman" w:hAnsi="Times New Roman"/>
          <w:sz w:val="20"/>
        </w:rPr>
      </w:pPr>
      <w:r>
        <w:rPr>
          <w:rFonts w:ascii="Times New Roman;serif" w:hAnsi="Times New Roman;serif"/>
          <w:b w:val="false"/>
          <w:sz w:val="22"/>
        </w:rPr>
        <w:t>(b)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-189-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Lenders (or such other number or percentage of the Lenders as shall be expressly provided for herein or in the other Loan Documents);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Administrative Agent shall not be required to take any action that, in its opinion or the opinion of its counsel, may expose the Administrative Agent to liability or that is contrary to any Loan Document or applicable law;</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shall not, except as expressly set forth herein and in the other Loan Documents, have any duty to disclose, and shall not be liable for the failure to disclose, any information relating to Bidco or any of its Affiliates that is communicated to or obtained by the Person serving as the Administrative Agent or any of its Affiliates in any capacity;</w:t>
      </w:r>
    </w:p>
    <w:p>
      <w:pPr>
        <w:pStyle w:val="TextBody"/>
        <w:bidi w:val="0"/>
        <w:spacing w:before="0" w:after="240"/>
        <w:jc w:val="both"/>
        <w:rPr>
          <w:rFonts w:ascii="Times New Roman" w:hAnsi="Times New Roman"/>
          <w:sz w:val="20"/>
        </w:rPr>
      </w:pPr>
      <w:bookmarkStart w:id="1075" w:name="docxtextref1778"/>
      <w:bookmarkEnd w:id="1075"/>
      <w:r>
        <w:rPr>
          <w:rFonts w:ascii="Times New Roman;serif" w:hAnsi="Times New Roman;serif"/>
          <w:b w:val="false"/>
          <w:sz w:val="22"/>
        </w:rPr>
        <w:t>(d) shall not be liable for any action taken or not taken by it (i)</w:t>
      </w:r>
      <w:r>
        <w:rPr>
          <w:rFonts w:ascii="Times New Roman" w:hAnsi="Times New Roman"/>
          <w:sz w:val="20"/>
        </w:rPr>
        <w:t xml:space="preserve"> </w:t>
      </w:r>
      <w:r>
        <w:rPr>
          <w:rFonts w:ascii="Times New Roman;serif" w:hAnsi="Times New Roman;serif"/>
          <w:b w:val="false"/>
          <w:sz w:val="22"/>
        </w:rPr>
        <w:t xml:space="preserve">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 xml:space="preserve">and in the last paragraph of </w:t>
      </w:r>
      <w:r>
        <w:rPr>
          <w:rFonts w:ascii="Times New Roman;serif" w:hAnsi="Times New Roman;serif"/>
          <w:b w:val="false"/>
          <w:sz w:val="22"/>
          <w:u w:val="single"/>
        </w:rPr>
        <w:t>Section 7.01</w:t>
      </w:r>
      <w:r>
        <w:rPr>
          <w:rFonts w:ascii="Times New Roman;serif" w:hAnsi="Times New Roman;serif"/>
          <w:b w:val="false"/>
          <w:sz w:val="22"/>
        </w:rPr>
        <w:t xml:space="preserve">) or (ii) in the absence of its own gross negligence, bad faith or willful misconduct as determined by a court of competent jurisdiction by final and non-appealable judgment;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Administrative Agent shall be deemed not to have knowledge of any Default unless and until written notice describing such Default is given to the Administrative Agent by Bidco, a Borrower, a Lender or the Issuing Bank; and</w:t>
      </w:r>
    </w:p>
    <w:p>
      <w:pPr>
        <w:pStyle w:val="TextBody"/>
        <w:bidi w:val="0"/>
        <w:spacing w:before="0" w:after="240"/>
        <w:jc w:val="both"/>
        <w:rPr>
          <w:rFonts w:ascii="Times New Roman" w:hAnsi="Times New Roman"/>
          <w:sz w:val="20"/>
        </w:rPr>
      </w:pPr>
      <w:bookmarkStart w:id="1076" w:name="docxtextref1780"/>
      <w:bookmarkEnd w:id="1076"/>
      <w:r>
        <w:rPr>
          <w:rFonts w:ascii="Times New Roman;serif" w:hAnsi="Times New Roman;serif"/>
          <w:b w:val="false"/>
          <w:sz w:val="22"/>
        </w:rPr>
        <w:t>(e) shall not be responsible for or have any duty to ascertain or inquire into (i)</w:t>
      </w:r>
      <w:r>
        <w:rPr>
          <w:rFonts w:ascii="Times New Roman" w:hAnsi="Times New Roman"/>
          <w:sz w:val="20"/>
        </w:rPr>
        <w:t xml:space="preserve"> </w:t>
      </w:r>
      <w:r>
        <w:rPr>
          <w:rFonts w:ascii="Times New Roman;serif" w:hAnsi="Times New Roman;serif"/>
          <w:b w:val="false"/>
          <w:sz w:val="22"/>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w:t>
      </w:r>
      <w:bookmarkStart w:id="1077" w:name="docxtextref1781"/>
      <w:bookmarkEnd w:id="1077"/>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the value or the sufficiency of any Collateral, or (vi) the satisfaction of any condition set forth in </w:t>
      </w:r>
      <w:r>
        <w:rPr>
          <w:rFonts w:ascii="Times New Roman;serif" w:hAnsi="Times New Roman;serif"/>
          <w:b w:val="false"/>
          <w:sz w:val="22"/>
          <w:u w:val="single"/>
        </w:rPr>
        <w:t>Article IV</w:t>
      </w:r>
      <w:r>
        <w:rPr>
          <w:rFonts w:ascii="Times New Roman" w:hAnsi="Times New Roman"/>
          <w:sz w:val="20"/>
        </w:rPr>
        <w:t xml:space="preserve"> </w:t>
      </w:r>
      <w:r>
        <w:rPr>
          <w:rFonts w:ascii="Times New Roman;serif" w:hAnsi="Times New Roman;serif"/>
          <w:b w:val="false"/>
          <w:sz w:val="22"/>
        </w:rPr>
        <w:t>or elsewhere herein, other than to confirm receipt of items expressly required to be delivered to the Administrative Agent.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8.04 </w:t>
      </w:r>
      <w:r>
        <w:rPr>
          <w:rFonts w:ascii="Times New Roman;serif" w:hAnsi="Times New Roman;serif"/>
          <w:b w:val="false"/>
          <w:sz w:val="22"/>
          <w:u w:val="single"/>
        </w:rPr>
        <w:t>Reliance by Administrative Agent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Bidco),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8.05 </w:t>
      </w:r>
      <w:r>
        <w:rPr>
          <w:rFonts w:ascii="Times New Roman;serif" w:hAnsi="Times New Roman;serif"/>
          <w:b w:val="false"/>
          <w:sz w:val="22"/>
          <w:u w:val="single"/>
        </w:rPr>
        <w:t>Delegation of Duties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The Administrative Agent may perform any and all of its duties and exercise its rights and powers hereunder or under any other Loan Document by or through any one or more sub-agents appointed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by the Administrative Agent. The Administrative Agent and any such sub-agent may perform any and all of its duties and exercise its rights and powers by or through their respective Related Parties. The exculpatory provisions of this </w:t>
      </w:r>
      <w:r>
        <w:rPr>
          <w:rFonts w:ascii="Times New Roman;serif" w:hAnsi="Times New Roman;serif"/>
          <w:b w:val="false"/>
          <w:sz w:val="22"/>
          <w:u w:val="single"/>
        </w:rPr>
        <w:t>Article VIII</w:t>
      </w:r>
      <w:r>
        <w:rPr>
          <w:rFonts w:ascii="Times New Roman" w:hAnsi="Times New Roman"/>
          <w:sz w:val="20"/>
        </w:rPr>
        <w:t xml:space="preserve"> </w:t>
      </w:r>
      <w:r>
        <w:rPr>
          <w:rFonts w:ascii="Times New Roman;serif" w:hAnsi="Times New Roman;serif"/>
          <w:b w:val="false"/>
          <w:sz w:val="22"/>
        </w:rPr>
        <w:t>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8.06 </w:t>
      </w:r>
      <w:r>
        <w:rPr>
          <w:rFonts w:ascii="Times New Roman;serif" w:hAnsi="Times New Roman;serif"/>
          <w:b w:val="false"/>
          <w:sz w:val="22"/>
          <w:u w:val="single"/>
        </w:rPr>
        <w:t>Resignation of Administrative Agent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Subject to the appointment and acceptance of a successor Administrative Agent as provided in this paragraph, the Administrative Agent may resign upon thirty (30) days’ notice to the Lenders, the Issuing Banks, Bidco and the Borrowers. Upon receipt of any such notice of resignation, the Required Lenders shall have the right, with Bidco’s consent (unless a Specified Event of Default has occurred and is continuing)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such resignation shall nevertheless be effective and the retiring Administrative Agent may (but shall not be obligated to) on behalf of 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Times New Roman;serif" w:hAnsi="Times New Roman;serif"/>
          <w:b w:val="false"/>
          <w:sz w:val="22"/>
          <w:u w:val="single"/>
        </w:rPr>
        <w:t>Resignation Effective Date</w:t>
      </w:r>
      <w:r>
        <w:rPr>
          <w:rFonts w:ascii="Times New Roman" w:hAnsi="Times New Roman"/>
          <w:sz w:val="20"/>
        </w:rPr>
        <w:t>”</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the Administrative Agent shall notify Bidco, the Borrowers and the Lenders that no qualifying Person accepted such appointment, then such resignation shall nonetheless become effective in accordance with such notice.</w:t>
      </w:r>
    </w:p>
    <w:p>
      <w:pPr>
        <w:pStyle w:val="TextBody"/>
        <w:bidi w:val="0"/>
        <w:spacing w:before="0" w:after="240"/>
        <w:jc w:val="both"/>
        <w:rPr>
          <w:rFonts w:ascii="Times New Roman" w:hAnsi="Times New Roman"/>
          <w:sz w:val="20"/>
        </w:rPr>
      </w:pPr>
      <w:r>
        <w:rPr>
          <w:rFonts w:ascii="Times New Roman;serif" w:hAnsi="Times New Roman;serif"/>
          <w:b w:val="false"/>
          <w:sz w:val="22"/>
        </w:rPr>
        <w:t>If the Person serving as Administrative Agent is a Defaulting Lender, the Required Lenders and Holdings may, to the extent permitted by applicable law, by notice in writing to such Person remove such Person as Administrative Agent and, with the consent of Bidco, appoint a successor. If no such successor shall have been so appointed by the Required Lenders and shall have accepted such appointment within thirty (30) days (the “</w:t>
      </w:r>
      <w:r>
        <w:rPr>
          <w:rFonts w:ascii="Times New Roman;serif" w:hAnsi="Times New Roman;serif"/>
          <w:b w:val="false"/>
          <w:sz w:val="22"/>
          <w:u w:val="single"/>
        </w:rPr>
        <w:t>Removal Effective Date</w:t>
      </w:r>
      <w:r>
        <w:rPr>
          <w:rFonts w:ascii="Times New Roman" w:hAnsi="Times New Roman"/>
          <w:sz w:val="20"/>
        </w:rPr>
        <w:t>”</w:t>
      </w:r>
      <w:r>
        <w:rPr>
          <w:rFonts w:ascii="Times New Roman;serif" w:hAnsi="Times New Roman;serif"/>
          <w:b w:val="false"/>
          <w:sz w:val="22"/>
        </w:rPr>
        <w:t>), then such removal shall nonetheless become effective in accordance with such notice on the Removal Effective Date.</w:t>
      </w:r>
    </w:p>
    <w:p>
      <w:pPr>
        <w:pStyle w:val="TextBody"/>
        <w:bidi w:val="0"/>
        <w:spacing w:before="0" w:after="240"/>
        <w:jc w:val="both"/>
        <w:rPr>
          <w:rFonts w:ascii="Times New Roman" w:hAnsi="Times New Roman"/>
          <w:sz w:val="20"/>
        </w:rPr>
      </w:pPr>
      <w:bookmarkStart w:id="1078" w:name="docxtextref1784"/>
      <w:bookmarkEnd w:id="1078"/>
      <w:r>
        <w:rPr>
          <w:rFonts w:ascii="Times New Roman;serif" w:hAnsi="Times New Roman;serif"/>
          <w:b w:val="false"/>
          <w:sz w:val="22"/>
        </w:rPr>
        <w:t>With effect from the Resignation Effective Date or the Removal Effective Date (as applicable) (1)</w:t>
      </w:r>
      <w:r>
        <w:rPr>
          <w:rFonts w:ascii="Times New Roman" w:hAnsi="Times New Roman"/>
          <w:sz w:val="20"/>
        </w:rPr>
        <w:t xml:space="preserve"> </w:t>
      </w:r>
      <w:r>
        <w:rPr>
          <w:rFonts w:ascii="Times New Roman;serif" w:hAnsi="Times New Roman;serif"/>
          <w:b w:val="false"/>
          <w:sz w:val="22"/>
        </w:rPr>
        <w:t xml:space="preserve">the retiring or removed Administrative Agent shall be discharged from its duties and obligations hereunder and under the other Loan Documents (except </w:t>
      </w:r>
      <w:bookmarkStart w:id="1079" w:name="docxtextref1785"/>
      <w:bookmarkEnd w:id="1079"/>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all steps necessary to assign or otherwise transfer the security to the successor Administrative Agent (and perfect such transfer or assignment) have been completed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w:t>
      </w:r>
      <w:r>
        <w:rPr>
          <w:rFonts w:ascii="Times New Roman;serif" w:hAnsi="Times New Roman;serif"/>
          <w:b w:val="false"/>
          <w:sz w:val="22"/>
          <w:u w:val="single"/>
        </w:rPr>
        <w:t>Section 8.06</w:t>
      </w:r>
      <w:r>
        <w:rPr>
          <w:rFonts w:ascii="Times New Roman;serif" w:hAnsi="Times New Roman;serif"/>
          <w:b w:val="false"/>
          <w:sz w:val="22"/>
        </w:rPr>
        <w:t>. The fees payable by the Borrowers to a successor Administrative Agent shall be the same as those payable to its predecessor unless otherwise agreed between the Borrowers and such successor. After the retiring or removed Administrative Agent’s resignation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removal hereunder and under the other Loan Documents, the provisions of this </w:t>
      </w:r>
      <w:r>
        <w:rPr>
          <w:rFonts w:ascii="Times New Roman;serif" w:hAnsi="Times New Roman;serif"/>
          <w:b w:val="false"/>
          <w:sz w:val="22"/>
          <w:u w:val="single"/>
        </w:rPr>
        <w:t>Article VIII</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Notwithstanding anything to the contrary in </w:t>
      </w:r>
      <w:r>
        <w:rPr>
          <w:rFonts w:ascii="Times New Roman;serif" w:hAnsi="Times New Roman;serif"/>
          <w:b w:val="false"/>
          <w:sz w:val="22"/>
          <w:u w:val="single"/>
        </w:rPr>
        <w:t>Section 2.04(l)</w:t>
      </w:r>
      <w:r>
        <w:rPr>
          <w:rFonts w:ascii="Times New Roman;serif" w:hAnsi="Times New Roman;serif"/>
          <w:b w:val="false"/>
          <w:sz w:val="22"/>
        </w:rPr>
        <w:t xml:space="preserve">, any resignation by Barclays Bank PLC as Administrative Agent pursuant to this </w:t>
      </w:r>
      <w:r>
        <w:rPr>
          <w:rFonts w:ascii="Times New Roman;serif" w:hAnsi="Times New Roman;serif"/>
          <w:b w:val="false"/>
          <w:sz w:val="22"/>
          <w:u w:val="single"/>
        </w:rPr>
        <w:t>Section 8.06</w:t>
      </w:r>
      <w:r>
        <w:rPr>
          <w:rFonts w:ascii="Times New Roman" w:hAnsi="Times New Roman"/>
          <w:sz w:val="20"/>
        </w:rPr>
        <w:t xml:space="preserve"> </w:t>
      </w:r>
      <w:r>
        <w:rPr>
          <w:rFonts w:ascii="Times New Roman;serif" w:hAnsi="Times New Roman;serif"/>
          <w:b w:val="false"/>
          <w:sz w:val="22"/>
        </w:rPr>
        <w:t>shall, unless Barclays Bank PLC gives notice to Bidco and the Borrowers otherwise, also constitute its resignation as an Issuing Bank and Swingline Lender and such resignation as an Issuing Bank and Swingline Lender shall become effective simultaneously with the discharge of the Administrative Agent from its duties and obligations as set forth in the immediately preceding paragraph (except as to already outstanding Letters of Credit, as to which such Issuing Bank shall continue in such capacities until the LC Exposure relating thereto shall be reduced to zero, or until the successor Administrative Agent shall succeed to the role of an Issuing Bank in accordance with the next sentence and perform the actions required by the next sentence). Upon the acceptance of a successor’s appointment as Administrative Agent hereunder, unless Barclays Bank PLC and such successor give notice to Bidco and the Borrowers otherwise,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8.07 </w:t>
      </w:r>
      <w:r>
        <w:rPr>
          <w:rFonts w:ascii="Times New Roman;serif" w:hAnsi="Times New Roman;serif"/>
          <w:b w:val="false"/>
          <w:sz w:val="22"/>
          <w:u w:val="single"/>
        </w:rPr>
        <w:t>Non-Reliance on Administrative Agent and Other Lenders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Lender and the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240"/>
        <w:jc w:val="both"/>
        <w:rPr>
          <w:rFonts w:ascii="Times New Roman" w:hAnsi="Times New Roman"/>
          <w:sz w:val="20"/>
        </w:rPr>
      </w:pPr>
      <w:r>
        <w:rPr>
          <w:rFonts w:ascii="Times New Roman;serif" w:hAnsi="Times New Roman;serif"/>
          <w:b w:val="false"/>
          <w:sz w:val="22"/>
        </w:rPr>
        <w:t>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8.08 </w:t>
      </w:r>
      <w:r>
        <w:rPr>
          <w:rFonts w:ascii="Times New Roman;serif" w:hAnsi="Times New Roman;serif"/>
          <w:b w:val="false"/>
          <w:sz w:val="22"/>
          <w:u w:val="single"/>
        </w:rPr>
        <w:t>No Other Duties, Etc.</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the Issuing Bank hereunder.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8.09 </w:t>
      </w:r>
      <w:r>
        <w:rPr>
          <w:rFonts w:ascii="Times New Roman;serif" w:hAnsi="Times New Roman;serif"/>
          <w:b w:val="false"/>
          <w:sz w:val="22"/>
          <w:u w:val="single"/>
        </w:rPr>
        <w:t>Administrative Agent May File Proofs of Claim</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Borrowers) shall be entitled and empowered, by intervention in such proceeding or otherwise: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Times New Roman;serif" w:hAnsi="Times New Roman;serif"/>
          <w:b w:val="false"/>
          <w:sz w:val="22"/>
          <w:u w:val="single"/>
        </w:rPr>
        <w:t>Sections 2.11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9.03</w:t>
      </w:r>
      <w:r>
        <w:rPr>
          <w:rFonts w:ascii="Times New Roman;serif" w:hAnsi="Times New Roman;serif"/>
          <w:b w:val="false"/>
          <w:sz w:val="22"/>
        </w:rPr>
        <w:t>) allowed in such judicial proceeding;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to collect and receive any monies or other property payable or deliverable on any such claims and to distribute the same;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and any custodian, interim receiver,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sz w:val="22"/>
          <w:u w:val="single"/>
        </w:rPr>
        <w:t>Sections 2.11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9.03</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Nothing contained herein shall be deemed to authorize the Administrative Agent to authorize or consent to or accept or adopt on behalf of any Lender or the Issuing Bank any plan of reorganization, arrangement, adjustment or composition affecting the Secured Obligations or the rights of any Lender or the Issuing Bank to authorize the Administrative Agent to vote in respect of the claim of any Lender or the Issuing Bank or in any such proceeding.</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8.10 </w:t>
      </w:r>
      <w:r>
        <w:rPr>
          <w:rFonts w:ascii="Times New Roman;serif" w:hAnsi="Times New Roman;serif"/>
          <w:b w:val="false"/>
          <w:sz w:val="22"/>
          <w:u w:val="single"/>
        </w:rPr>
        <w:t>No Waiver; Cumulative Remedies; Enforcement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No failure by any Lender, any Issuing Bank or the Administrative Agent to exercise, and no delay by any such Person in exercising, any right, remedy, power or privilege hereunder or under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240"/>
        <w:jc w:val="both"/>
        <w:rPr>
          <w:rFonts w:ascii="Times New Roman" w:hAnsi="Times New Roman"/>
          <w:sz w:val="20"/>
        </w:rPr>
      </w:pPr>
      <w:bookmarkStart w:id="1080" w:name="docxtextref1795"/>
      <w:bookmarkEnd w:id="1080"/>
      <w:r>
        <w:rPr>
          <w:rFonts w:ascii="Times New Roman;serif" w:hAnsi="Times New Roman;serif"/>
          <w:b w:val="false"/>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sz w:val="22"/>
          <w:u w:val="single"/>
        </w:rPr>
        <w:t>Article VII</w:t>
      </w:r>
      <w:r>
        <w:rPr>
          <w:rFonts w:ascii="Times New Roman" w:hAnsi="Times New Roman"/>
          <w:sz w:val="20"/>
        </w:rPr>
        <w:t xml:space="preserve"> </w:t>
      </w:r>
      <w:r>
        <w:rPr>
          <w:rFonts w:ascii="Times New Roman;serif" w:hAnsi="Times New Roman;serif"/>
          <w:b w:val="false"/>
          <w:sz w:val="22"/>
        </w:rPr>
        <w:t xml:space="preserve">for the benefit of all the Lenders and the Issuing Banks;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the foregoing shall not prohibit (a)</w:t>
      </w:r>
      <w:r>
        <w:rPr>
          <w:rFonts w:ascii="Times New Roman" w:hAnsi="Times New Roman"/>
          <w:sz w:val="20"/>
        </w:rPr>
        <w:t xml:space="preserve"> </w:t>
      </w:r>
      <w:r>
        <w:rPr>
          <w:rFonts w:ascii="Times New Roman;serif" w:hAnsi="Times New Roman;serif"/>
          <w:b w:val="false"/>
          <w:sz w:val="22"/>
        </w:rPr>
        <w:t xml:space="preserve">the Administrative Agent from exercising on its own behalf the rights and remedies that inure to its benefit (solely in its capacity as Administrative Agent) hereunder and under the other Loan Documents, </w:t>
      </w:r>
      <w:bookmarkStart w:id="1081" w:name="docxtextref1796"/>
      <w:bookmarkEnd w:id="1081"/>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Issuing Banks or the Swingline Lender from exercising the rights and remedies that inure to its benefit (solely in its capacity as Issuing Bank or Swingline Lender, as the case may be) hereunder and under the other Loan Documents, </w:t>
      </w:r>
      <w:bookmarkStart w:id="1082" w:name="docxtextref1797"/>
      <w:bookmarkEnd w:id="1082"/>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Lender from exercising setoff rights in accordance with </w:t>
      </w:r>
      <w:r>
        <w:rPr>
          <w:rFonts w:ascii="Times New Roman;serif" w:hAnsi="Times New Roman;serif"/>
          <w:b w:val="false"/>
          <w:sz w:val="22"/>
          <w:u w:val="single"/>
        </w:rPr>
        <w:t>Section 9.08</w:t>
      </w:r>
      <w:r>
        <w:rPr>
          <w:rFonts w:ascii="Times New Roman" w:hAnsi="Times New Roman"/>
          <w:sz w:val="20"/>
        </w:rPr>
        <w:t xml:space="preserve"> </w:t>
      </w:r>
      <w:r>
        <w:rPr>
          <w:rFonts w:ascii="Times New Roman;serif" w:hAnsi="Times New Roman;serif"/>
          <w:b w:val="false"/>
          <w:sz w:val="22"/>
        </w:rPr>
        <w:t xml:space="preserve">(subject to the terms of </w:t>
      </w:r>
      <w:r>
        <w:rPr>
          <w:rFonts w:ascii="Times New Roman;serif" w:hAnsi="Times New Roman;serif"/>
          <w:b w:val="false"/>
          <w:sz w:val="22"/>
          <w:u w:val="single"/>
        </w:rPr>
        <w:t>Section 2.17</w:t>
      </w:r>
      <w:r>
        <w:rPr>
          <w:rFonts w:ascii="Times New Roman;serif" w:hAnsi="Times New Roman;serif"/>
          <w:b w:val="false"/>
          <w:sz w:val="22"/>
        </w:rPr>
        <w:t xml:space="preserve">), or </w:t>
      </w:r>
      <w:bookmarkStart w:id="1083" w:name="docxtextref1798"/>
      <w:bookmarkEnd w:id="1083"/>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any Lender from filing proofs of claim or appearing and filing pleadings on its own behalf during the pendency of a proceeding relative to any Loan Party under any Debtor Relief Law; and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if at any time there is no Person acting as Administrative Agent hereunder and under the other Loan Documents, then </w:t>
      </w:r>
      <w:bookmarkStart w:id="1084" w:name="docxtextref1799"/>
      <w:bookmarkEnd w:id="108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Required Lenders shall have the rights otherwise ascribed to the Administrative Agent pursuant to </w:t>
      </w:r>
      <w:r>
        <w:rPr>
          <w:rFonts w:ascii="Times New Roman;serif" w:hAnsi="Times New Roman;serif"/>
          <w:b w:val="false"/>
          <w:sz w:val="22"/>
          <w:u w:val="single"/>
        </w:rPr>
        <w:t>Article VII</w:t>
      </w:r>
      <w:r>
        <w:rPr>
          <w:rFonts w:ascii="Times New Roman" w:hAnsi="Times New Roman"/>
          <w:sz w:val="20"/>
        </w:rPr>
        <w:t xml:space="preserve"> </w:t>
      </w:r>
      <w:r>
        <w:rPr>
          <w:rFonts w:ascii="Times New Roman;serif" w:hAnsi="Times New Roman;serif"/>
          <w:b w:val="false"/>
          <w:sz w:val="22"/>
        </w:rPr>
        <w:t xml:space="preserve">and (ii) in addition to the matters set forth in clauses (b), </w:t>
      </w:r>
      <w:bookmarkStart w:id="1085" w:name="docxtextref1800"/>
      <w:bookmarkEnd w:id="108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and </w:t>
      </w:r>
      <w:bookmarkStart w:id="1086" w:name="docxtextref1801"/>
      <w:bookmarkEnd w:id="1086"/>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of the preceding proviso and subject to </w:t>
      </w:r>
      <w:r>
        <w:rPr>
          <w:rFonts w:ascii="Times New Roman;serif" w:hAnsi="Times New Roman;serif"/>
          <w:b w:val="false"/>
          <w:sz w:val="22"/>
          <w:u w:val="single"/>
        </w:rPr>
        <w:t>Section 2.17</w:t>
      </w:r>
      <w:r>
        <w:rPr>
          <w:rFonts w:ascii="Times New Roman;serif" w:hAnsi="Times New Roman;serif"/>
          <w:b w:val="false"/>
          <w:sz w:val="22"/>
        </w:rPr>
        <w:t>, any Lender may, with the consent of the Required Lenders, enforce any rights and remedies available to it and as authorized by the Required Lenders.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8.11 </w:t>
      </w:r>
      <w:r>
        <w:rPr>
          <w:rFonts w:ascii="Times New Roman;serif" w:hAnsi="Times New Roman;serif"/>
          <w:b w:val="false"/>
          <w:sz w:val="22"/>
          <w:u w:val="single"/>
        </w:rPr>
        <w:t>Withholding Taxes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Without limiting the generality of </w:t>
      </w:r>
      <w:r>
        <w:rPr>
          <w:rFonts w:ascii="Times New Roman;serif" w:hAnsi="Times New Roman;serif"/>
          <w:b w:val="false"/>
          <w:sz w:val="22"/>
          <w:u w:val="single"/>
        </w:rPr>
        <w:t>Section 2.16</w:t>
      </w:r>
      <w:r>
        <w:rPr>
          <w:rFonts w:ascii="Times New Roman;serif" w:hAnsi="Times New Roman;serif"/>
          <w:b w:val="false"/>
          <w:sz w:val="22"/>
        </w:rPr>
        <w:t xml:space="preserve">, to the extent required by any applicable Requirements of Law (as determined in good faith by the Administrative Agent), the Administrative Agent may deduct or withhold from any payment to any Lender an amount equivalent to any applicable withholding Tax. Without limiting or expanding the provisions of </w:t>
      </w:r>
      <w:r>
        <w:rPr>
          <w:rFonts w:ascii="Times New Roman;serif" w:hAnsi="Times New Roman;serif"/>
          <w:b w:val="false"/>
          <w:sz w:val="22"/>
          <w:u w:val="single"/>
        </w:rPr>
        <w:t>Section 2.16</w:t>
      </w:r>
      <w:r>
        <w:rPr>
          <w:rFonts w:ascii="Times New Roman;serif" w:hAnsi="Times New Roman;serif"/>
          <w:b w:val="false"/>
          <w:sz w:val="22"/>
        </w:rPr>
        <w:t xml:space="preserve">,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serif" w:hAnsi="Times New Roman;serif"/>
          <w:b w:val="false"/>
          <w:sz w:val="22"/>
          <w:u w:val="single"/>
        </w:rPr>
        <w:t>Section 8.11</w:t>
      </w:r>
      <w:r>
        <w:rPr>
          <w:rFonts w:ascii="Times New Roman;serif" w:hAnsi="Times New Roman;serif"/>
          <w:b w:val="false"/>
          <w:sz w:val="22"/>
        </w:rPr>
        <w:t xml:space="preserve">. For the avoidance of doubt, a “Lender” shall, for purposes of this </w:t>
      </w:r>
      <w:r>
        <w:rPr>
          <w:rFonts w:ascii="Times New Roman;serif" w:hAnsi="Times New Roman;serif"/>
          <w:b w:val="false"/>
          <w:sz w:val="22"/>
          <w:u w:val="single"/>
        </w:rPr>
        <w:t>Section 8.11</w:t>
      </w:r>
      <w:r>
        <w:rPr>
          <w:rFonts w:ascii="Times New Roman;serif" w:hAnsi="Times New Roman;serif"/>
          <w:b w:val="false"/>
          <w:sz w:val="22"/>
        </w:rPr>
        <w:t xml:space="preserve">, include any Issuing Bank and the Swingline Lender. The agreements in this </w:t>
      </w:r>
      <w:r>
        <w:rPr>
          <w:rFonts w:ascii="Times New Roman;serif" w:hAnsi="Times New Roman;serif"/>
          <w:b w:val="false"/>
          <w:sz w:val="22"/>
          <w:u w:val="single"/>
        </w:rPr>
        <w:t>Section 8.11</w:t>
      </w:r>
      <w:r>
        <w:rPr>
          <w:rFonts w:ascii="Times New Roman" w:hAnsi="Times New Roman"/>
          <w:sz w:val="20"/>
        </w:rPr>
        <w:t xml:space="preserve"> </w:t>
      </w:r>
      <w:r>
        <w:rPr>
          <w:rFonts w:ascii="Times New Roman;serif" w:hAnsi="Times New Roman;serif"/>
          <w:b w:val="false"/>
          <w:sz w:val="22"/>
        </w:rPr>
        <w:t>shall survive the resignation and/or replacement of the Administrative Agent, any assignment of rights by, or the replacement of, a Lender, the termination of the Commitments and the repayment, satisfaction or discharge of all other Loan Document Obligations.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8.12 </w:t>
      </w:r>
      <w:r>
        <w:rPr>
          <w:rFonts w:ascii="Times New Roman;serif" w:hAnsi="Times New Roman;serif"/>
          <w:b w:val="false"/>
          <w:sz w:val="22"/>
          <w:u w:val="single"/>
        </w:rPr>
        <w:t>Certain ERISA Matters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087" w:name="docxtextref1807"/>
      <w:bookmarkEnd w:id="1087"/>
      <w:r>
        <w:rPr>
          <w:rFonts w:ascii="Times New Roman;serif" w:hAnsi="Times New Roman;serif"/>
          <w:b w:val="false"/>
          <w:sz w:val="22"/>
        </w:rPr>
        <w:t>(a) Each Lender (x)</w:t>
      </w:r>
      <w:r>
        <w:rPr>
          <w:rFonts w:ascii="Times New Roman" w:hAnsi="Times New Roman"/>
          <w:sz w:val="20"/>
        </w:rPr>
        <w:t xml:space="preserve"> </w:t>
      </w:r>
      <w:r>
        <w:rPr>
          <w:rFonts w:ascii="Times New Roman;serif" w:hAnsi="Times New Roman;serif"/>
          <w:b w:val="false"/>
          <w:sz w:val="22"/>
        </w:rPr>
        <w:t xml:space="preserve">represents and warrants, as of the date such Person became a Lender party hereto, to, and </w:t>
      </w:r>
      <w:bookmarkStart w:id="1088" w:name="docxtextref1808"/>
      <w:bookmarkEnd w:id="1088"/>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covenants, from the date such Person became a Lender party hereto to the date such Person ceases being a Lender party hereto that at least one of the following is and will be true:</w:t>
      </w:r>
    </w:p>
    <w:p>
      <w:pPr>
        <w:pStyle w:val="TextBody"/>
        <w:bidi w:val="0"/>
        <w:spacing w:before="0" w:after="240"/>
        <w:jc w:val="both"/>
        <w:rPr>
          <w:rFonts w:ascii="Times New Roman" w:hAnsi="Times New Roman"/>
          <w:sz w:val="20"/>
        </w:rPr>
      </w:pPr>
      <w:bookmarkStart w:id="1089" w:name="docxtextref1809"/>
      <w:bookmarkEnd w:id="1089"/>
      <w:r>
        <w:rPr>
          <w:rFonts w:ascii="Times New Roman;serif" w:hAnsi="Times New Roman;serif"/>
          <w:b w:val="false"/>
          <w:sz w:val="22"/>
        </w:rPr>
        <w:t>(i) such Lender is not using “plan assets” (within the meaning of 29</w:t>
      </w:r>
      <w:r>
        <w:rPr>
          <w:rFonts w:ascii="Times New Roman" w:hAnsi="Times New Roman"/>
          <w:sz w:val="20"/>
        </w:rPr>
        <w:t xml:space="preserve"> </w:t>
      </w:r>
      <w:r>
        <w:rPr>
          <w:rFonts w:ascii="Times New Roman;serif" w:hAnsi="Times New Roman;serif"/>
          <w:b w:val="false"/>
          <w:sz w:val="22"/>
        </w:rPr>
        <w:t>CFR § 2510.3-101, as modified by Section 3(42) of ERISA) of one or more Benefit Plans in connection with the Loans, the Letters of Credit or the Commitments,</w:t>
      </w:r>
    </w:p>
    <w:p>
      <w:pPr>
        <w:pStyle w:val="TextBody"/>
        <w:bidi w:val="0"/>
        <w:spacing w:before="0" w:after="240"/>
        <w:jc w:val="both"/>
        <w:rPr>
          <w:rFonts w:ascii="Times New Roman" w:hAnsi="Times New Roman"/>
          <w:sz w:val="20"/>
        </w:rPr>
      </w:pPr>
      <w:bookmarkStart w:id="1090" w:name="docxtextref1815"/>
      <w:bookmarkEnd w:id="1090"/>
      <w:r>
        <w:rPr>
          <w:rFonts w:ascii="Times New Roman;serif" w:hAnsi="Times New Roman;serif"/>
          <w:b w:val="false"/>
          <w:sz w:val="22"/>
        </w:rPr>
        <w:t>(ii) the transaction exemption set forth in one or more PTEs, such as PTE 84-</w:t>
      </w:r>
      <w:bookmarkStart w:id="1091" w:name="docxtextref1810"/>
      <w:bookmarkEnd w:id="1091"/>
      <w:r>
        <w:rPr>
          <w:rFonts w:ascii="Times New Roman;serif" w:hAnsi="Times New Roman;serif"/>
          <w:b w:val="false"/>
          <w:sz w:val="22"/>
        </w:rPr>
        <w:t>14</w:t>
      </w:r>
      <w:r>
        <w:rPr>
          <w:rFonts w:ascii="Times New Roman" w:hAnsi="Times New Roman"/>
          <w:sz w:val="20"/>
        </w:rPr>
        <w:t xml:space="preserve"> </w:t>
      </w:r>
      <w:r>
        <w:rPr>
          <w:rFonts w:ascii="Times New Roman;serif" w:hAnsi="Times New Roman;serif"/>
          <w:b w:val="false"/>
          <w:sz w:val="22"/>
        </w:rPr>
        <w:t xml:space="preserve">(a class exemption for certain transactions determined by independent qualified professional asset managers), PTE </w:t>
      </w:r>
      <w:bookmarkStart w:id="1092" w:name="docxtextref1816"/>
      <w:bookmarkEnd w:id="1092"/>
      <w:r>
        <w:rPr>
          <w:rFonts w:ascii="Times New Roman;serif" w:hAnsi="Times New Roman;serif"/>
          <w:b w:val="false"/>
          <w:sz w:val="22"/>
        </w:rPr>
        <w:t>95-</w:t>
      </w:r>
      <w:bookmarkStart w:id="1093" w:name="docxtextref1811"/>
      <w:bookmarkEnd w:id="1093"/>
      <w:r>
        <w:rPr>
          <w:rFonts w:ascii="Times New Roman;serif" w:hAnsi="Times New Roman;serif"/>
          <w:b w:val="false"/>
          <w:sz w:val="22"/>
        </w:rPr>
        <w:t>60</w:t>
      </w:r>
      <w:r>
        <w:rPr>
          <w:rFonts w:ascii="Times New Roman" w:hAnsi="Times New Roman"/>
          <w:sz w:val="20"/>
        </w:rPr>
        <w:t xml:space="preserve"> </w:t>
      </w:r>
      <w:r>
        <w:rPr>
          <w:rFonts w:ascii="Times New Roman;serif" w:hAnsi="Times New Roman;serif"/>
          <w:b w:val="false"/>
          <w:sz w:val="22"/>
        </w:rPr>
        <w:t xml:space="preserve">(a class exemption for certain transactions involving insurance company general accounts), PTE </w:t>
      </w:r>
      <w:bookmarkStart w:id="1094" w:name="docxtextref1817"/>
      <w:bookmarkEnd w:id="1094"/>
      <w:r>
        <w:rPr>
          <w:rFonts w:ascii="Times New Roman;serif" w:hAnsi="Times New Roman;serif"/>
          <w:b w:val="false"/>
          <w:sz w:val="22"/>
        </w:rPr>
        <w:t>90-</w:t>
      </w:r>
      <w:bookmarkStart w:id="1095" w:name="docxtextref1812"/>
      <w:bookmarkEnd w:id="1095"/>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(a class exemption for certain transactions involving insurance company pooled separate accounts), PTE </w:t>
      </w:r>
      <w:bookmarkStart w:id="1096" w:name="docxtextref1818"/>
      <w:bookmarkEnd w:id="1096"/>
      <w:r>
        <w:rPr>
          <w:rFonts w:ascii="Times New Roman;serif" w:hAnsi="Times New Roman;serif"/>
          <w:b w:val="false"/>
          <w:sz w:val="22"/>
        </w:rPr>
        <w:t>91-</w:t>
      </w:r>
      <w:bookmarkStart w:id="1097" w:name="docxtextref1813"/>
      <w:bookmarkEnd w:id="1097"/>
      <w:r>
        <w:rPr>
          <w:rFonts w:ascii="Times New Roman;serif" w:hAnsi="Times New Roman;serif"/>
          <w:b w:val="false"/>
          <w:sz w:val="22"/>
        </w:rPr>
        <w:t>38</w:t>
      </w:r>
      <w:r>
        <w:rPr>
          <w:rFonts w:ascii="Times New Roman" w:hAnsi="Times New Roman"/>
          <w:sz w:val="20"/>
        </w:rPr>
        <w:t xml:space="preserve"> </w:t>
      </w:r>
      <w:r>
        <w:rPr>
          <w:rFonts w:ascii="Times New Roman;serif" w:hAnsi="Times New Roman;serif"/>
          <w:b w:val="false"/>
          <w:sz w:val="22"/>
        </w:rPr>
        <w:t xml:space="preserve">(a class exemption for certain transactions involving bank collective investment funds) or PTE </w:t>
      </w:r>
      <w:bookmarkStart w:id="1098" w:name="docxtextref1819"/>
      <w:bookmarkEnd w:id="1098"/>
      <w:r>
        <w:rPr>
          <w:rFonts w:ascii="Times New Roman;serif" w:hAnsi="Times New Roman;serif"/>
          <w:b w:val="false"/>
          <w:sz w:val="22"/>
        </w:rPr>
        <w:t>96-</w:t>
      </w:r>
      <w:bookmarkStart w:id="1099" w:name="docxtextref1814"/>
      <w:bookmarkEnd w:id="1099"/>
      <w:r>
        <w:rPr>
          <w:rFonts w:ascii="Times New Roman;serif" w:hAnsi="Times New Roman;serif"/>
          <w:b w:val="false"/>
          <w:sz w:val="22"/>
        </w:rPr>
        <w:t>23</w:t>
      </w:r>
      <w:r>
        <w:rPr>
          <w:rFonts w:ascii="Times New Roman" w:hAnsi="Times New Roman"/>
          <w:sz w:val="20"/>
        </w:rPr>
        <w:t xml:space="preserve"> </w:t>
      </w:r>
      <w:r>
        <w:rPr>
          <w:rFonts w:ascii="Times New Roman;serif" w:hAnsi="Times New Roman;serif"/>
          <w:b w:val="false"/>
          <w:sz w:val="22"/>
        </w:rPr>
        <w:t>(a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sz w:val="20"/>
        </w:rPr>
      </w:pPr>
      <w:bookmarkStart w:id="1100" w:name="docxtextref1820"/>
      <w:bookmarkEnd w:id="1100"/>
      <w:r>
        <w:rPr>
          <w:rFonts w:ascii="Times New Roman;serif" w:hAnsi="Times New Roman;serif"/>
          <w:b w:val="false"/>
          <w:sz w:val="22"/>
        </w:rPr>
        <w:t>(iii) (A) such Lender is an investment fund managed by a “Qualified Professional Asset Manager” (within the meaning of Part VI</w:t>
      </w:r>
      <w:r>
        <w:rPr>
          <w:rFonts w:ascii="Times New Roman" w:hAnsi="Times New Roman"/>
          <w:sz w:val="20"/>
        </w:rPr>
        <w:t xml:space="preserve"> </w:t>
      </w:r>
      <w:r>
        <w:rPr>
          <w:rFonts w:ascii="Times New Roman;serif" w:hAnsi="Times New Roman;serif"/>
          <w:b w:val="false"/>
          <w:sz w:val="22"/>
        </w:rPr>
        <w:t xml:space="preserve">of PTE </w:t>
      </w:r>
      <w:bookmarkStart w:id="1101" w:name="docxtextref1824"/>
      <w:bookmarkEnd w:id="1101"/>
      <w:r>
        <w:rPr>
          <w:rFonts w:ascii="Times New Roman;serif" w:hAnsi="Times New Roman;serif"/>
          <w:b w:val="false"/>
          <w:sz w:val="22"/>
        </w:rPr>
        <w:t>84-</w:t>
      </w:r>
      <w:bookmarkStart w:id="1102" w:name="docxtextref1822"/>
      <w:bookmarkEnd w:id="1102"/>
      <w:r>
        <w:rPr>
          <w:rFonts w:ascii="Times New Roman;serif" w:hAnsi="Times New Roman;serif"/>
          <w:b w:val="false"/>
          <w:sz w:val="22"/>
        </w:rPr>
        <w:t xml:space="preserve">14), </w:t>
      </w:r>
      <w:bookmarkStart w:id="1103" w:name="docxtextref1826"/>
      <w:bookmarkEnd w:id="110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Qualified Professional Asset Manager made the investment decision on behalf of such Lender to enter into, participate in, administer and perform the Loans, the Letters of Credit, the Commitments and this Agreement and </w:t>
      </w:r>
      <w:bookmarkStart w:id="1104" w:name="docxtextref1827"/>
      <w:bookmarkEnd w:id="110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the entrance into, participation in, administration of and performance of the Loans, the Letters of Credit, the Commitments and this Agreement satisfies the requirements of sub-sections (a) through (g) of Part I of PTE 84-14.</w:t>
      </w:r>
      <w:bookmarkStart w:id="1105" w:name="docxtextref1823"/>
      <w:bookmarkEnd w:id="1105"/>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In addition, unless sub-clause (i) in the immediately preceding clause (a)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Agent and their respective Affiliates, and not, for the avoidance of doubt, to or for the benefit of Bidco or any other Loan Party,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jc w:val="center"/>
        <w:rPr>
          <w:rFonts w:ascii="Times New Roman" w:hAnsi="Times New Roman"/>
          <w:sz w:val="20"/>
        </w:rPr>
      </w:pPr>
      <w:r>
        <w:rPr>
          <w:rFonts w:ascii="Times New Roman;serif" w:hAnsi="Times New Roman;serif"/>
          <w:b w:val="false"/>
          <w:caps/>
          <w:sz w:val="22"/>
        </w:rPr>
        <w:t>Article IX</w:t>
      </w:r>
      <w:r>
        <w:rPr>
          <w:rFonts w:ascii="Times New Roman;serif" w:hAnsi="Times New Roman;serif"/>
          <w:b w:val="false"/>
          <w:caps/>
          <w:sz w:val="22"/>
          <w:u w:val="single"/>
        </w:rPr>
        <w:br/>
        <w:br/>
        <w:t>Miscellaneous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9.01 </w:t>
      </w:r>
      <w:r>
        <w:rPr>
          <w:rFonts w:ascii="Times New Roman;serif" w:hAnsi="Times New Roman;serif"/>
          <w:b w:val="false"/>
          <w:sz w:val="22"/>
          <w:u w:val="single"/>
        </w:rPr>
        <w:t>Notices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106" w:name="docxtextref1834"/>
      <w:bookmarkEnd w:id="1106"/>
      <w:r>
        <w:rPr>
          <w:rFonts w:ascii="Times New Roman;serif" w:hAnsi="Times New Roman;serif"/>
          <w:b w:val="false"/>
          <w:sz w:val="22"/>
        </w:rPr>
        <w:t xml:space="preserve">(i) if to Holdings, Bidco, a Borrower, the Administrative Agent, any Issuing Bank or the Swingline Lender, to the address, fax number, e-mail address or telephone number specified for such Person on </w:t>
      </w:r>
      <w:r>
        <w:rPr>
          <w:rFonts w:ascii="Times New Roman;serif" w:hAnsi="Times New Roman;serif"/>
          <w:b w:val="false"/>
          <w:sz w:val="22"/>
          <w:u w:val="single"/>
        </w:rPr>
        <w:t>Schedule 9.01</w:t>
      </w:r>
      <w:r>
        <w:rPr>
          <w:rFonts w:ascii="Times New Roman;serif" w:hAnsi="Times New Roman;serif"/>
          <w:b w:val="false"/>
          <w:sz w:val="22"/>
        </w:rPr>
        <w:t>;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Bidco).</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w:t>
      </w:r>
      <w:r>
        <w:rPr>
          <w:rFonts w:ascii="Times New Roman;serif" w:hAnsi="Times New Roman;serif"/>
          <w:b w:val="false"/>
          <w:sz w:val="22"/>
          <w:u w:val="single"/>
        </w:rPr>
        <w:t>Electronic Communications</w:t>
      </w:r>
      <w:r>
        <w:rPr>
          <w:rFonts w:ascii="Times New Roman;serif" w:hAnsi="Times New Roman;serif"/>
          <w:b w:val="false"/>
          <w:sz w:val="22"/>
        </w:rPr>
        <w:t xml:space="preserve">.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foregoing shall not apply to notices to any Lender, any Issuing Bank or the Swingline Lender pursuant to </w:t>
      </w:r>
      <w:r>
        <w:rPr>
          <w:rFonts w:ascii="Times New Roman;serif" w:hAnsi="Times New Roman;serif"/>
          <w:b w:val="false"/>
          <w:sz w:val="22"/>
          <w:u w:val="single"/>
        </w:rPr>
        <w:t>Article II</w:t>
      </w:r>
      <w:r>
        <w:rPr>
          <w:rFonts w:ascii="Times New Roman" w:hAnsi="Times New Roman"/>
          <w:sz w:val="20"/>
        </w:rPr>
        <w:t xml:space="preserve"> </w:t>
      </w:r>
      <w:r>
        <w:rPr>
          <w:rFonts w:ascii="Times New Roman;serif" w:hAnsi="Times New Roman;serif"/>
          <w:b w:val="false"/>
          <w:sz w:val="22"/>
        </w:rPr>
        <w:t>if such Lender, the Issuing Bank or Swingline Lender, as applicable, has notified the Administrative Agent that it is incapable of receiving notices under such Article by electronic communication.</w:t>
      </w:r>
    </w:p>
    <w:p>
      <w:pPr>
        <w:pStyle w:val="TextBody"/>
        <w:bidi w:val="0"/>
        <w:spacing w:before="0" w:after="240"/>
        <w:jc w:val="both"/>
        <w:rPr>
          <w:rFonts w:ascii="Times New Roman" w:hAnsi="Times New Roman"/>
          <w:sz w:val="20"/>
        </w:rPr>
      </w:pPr>
      <w:bookmarkStart w:id="1107" w:name="docxtextref1836"/>
      <w:bookmarkEnd w:id="1107"/>
      <w:r>
        <w:rPr>
          <w:rFonts w:ascii="Times New Roman;serif" w:hAnsi="Times New Roman;serif"/>
          <w:b w:val="false"/>
          <w:sz w:val="22"/>
        </w:rPr>
        <w:t>Unless the Administrative Agent otherwise prescribes, (i)</w:t>
      </w:r>
      <w:r>
        <w:rPr>
          <w:rFonts w:ascii="Times New Roman" w:hAnsi="Times New Roman"/>
          <w:sz w:val="20"/>
        </w:rPr>
        <w:t xml:space="preserve"> </w:t>
      </w:r>
      <w:r>
        <w:rPr>
          <w:rFonts w:ascii="Times New Roman;serif" w:hAnsi="Times New Roman;serif"/>
          <w:b w:val="false"/>
          <w:sz w:val="22"/>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w:t>
      </w:r>
      <w:r>
        <w:rPr>
          <w:rFonts w:ascii="Times New Roman;serif" w:hAnsi="Times New Roman;serif"/>
          <w:b w:val="false"/>
          <w:sz w:val="22"/>
          <w:u w:val="single"/>
        </w:rPr>
        <w:t>The Platform</w:t>
      </w:r>
      <w:r>
        <w:rPr>
          <w:rFonts w:ascii="Times New Roman;serif" w:hAnsi="Times New Roman;serif"/>
          <w:b w:val="false"/>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erif" w:hAnsi="Times New Roman;serif"/>
          <w:b w:val="false"/>
          <w:sz w:val="22"/>
          <w:u w:val="single"/>
        </w:rPr>
        <w:t>Agent Parties</w:t>
      </w:r>
      <w:r>
        <w:rPr>
          <w:rFonts w:ascii="Times New Roman" w:hAnsi="Times New Roman"/>
          <w:sz w:val="20"/>
        </w:rPr>
        <w:t>”</w:t>
      </w:r>
      <w:r>
        <w:rPr>
          <w:rFonts w:ascii="Times New Roman;serif" w:hAnsi="Times New Roman;serif"/>
          <w:b w:val="false"/>
          <w:sz w:val="22"/>
        </w:rPr>
        <w:t xml:space="preserve">) have any liability to Holdings, Bidco, the Borrowers, any Lender, any Issuing Bank or any other Person for losses, claims, damages, liabilities or expenses of any kind (whether in tort, contract or otherwise) arising out of Bidco,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serif" w:hAnsi="Times New Roman;serif"/>
          <w:b w:val="false"/>
          <w:sz w:val="22"/>
          <w:u w:val="single"/>
        </w:rPr>
        <w:t>provided</w:t>
      </w:r>
      <w:r>
        <w:rPr>
          <w:rFonts w:ascii="Times New Roman;serif" w:hAnsi="Times New Roman;serif"/>
          <w:b w:val="false"/>
          <w:sz w:val="22"/>
        </w:rPr>
        <w:t>,</w:t>
      </w:r>
      <w:r>
        <w:rPr>
          <w:rFonts w:ascii="Times New Roman" w:hAnsi="Times New Roman"/>
          <w:sz w:val="20"/>
          <w:u w:val="single"/>
        </w:rPr>
        <w:t xml:space="preserve"> </w:t>
      </w:r>
      <w:r>
        <w:rPr>
          <w:rFonts w:ascii="Times New Roman;serif" w:hAnsi="Times New Roman;serif"/>
          <w:b w:val="false"/>
          <w:sz w:val="22"/>
          <w:u w:val="single"/>
        </w:rPr>
        <w:t>however</w:t>
      </w:r>
      <w:r>
        <w:rPr>
          <w:rFonts w:ascii="Times New Roman;serif" w:hAnsi="Times New Roman;serif"/>
          <w:b w:val="false"/>
          <w:sz w:val="22"/>
        </w:rPr>
        <w:t>, that in no event shall any Agent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Party have any liability to Holdings, Bidco, the Borrowers, any Lender, any Issuing Bank or any other Person for indirect, special, incidental, consequential or punitive damages (as opposed to direct or actual damages).</w:t>
      </w:r>
    </w:p>
    <w:p>
      <w:pPr>
        <w:pStyle w:val="TextBody"/>
        <w:bidi w:val="0"/>
        <w:spacing w:before="0" w:after="240"/>
        <w:jc w:val="both"/>
        <w:rPr>
          <w:rFonts w:ascii="Times New Roman" w:hAnsi="Times New Roman"/>
          <w:sz w:val="20"/>
        </w:rPr>
      </w:pPr>
      <w:bookmarkStart w:id="1108" w:name="docxtextref1837"/>
      <w:bookmarkEnd w:id="1108"/>
      <w:r>
        <w:rPr>
          <w:rFonts w:ascii="Times New Roman;serif" w:hAnsi="Times New Roman;serif"/>
          <w:b w:val="false"/>
          <w:sz w:val="22"/>
        </w:rPr>
        <w:t xml:space="preserve">(d) </w:t>
      </w:r>
      <w:r>
        <w:rPr>
          <w:rFonts w:ascii="Times New Roman;serif" w:hAnsi="Times New Roman;serif"/>
          <w:b w:val="false"/>
          <w:sz w:val="22"/>
          <w:u w:val="single"/>
        </w:rPr>
        <w:t>Change of Address, Etc</w:t>
      </w:r>
      <w:r>
        <w:rPr>
          <w:rFonts w:ascii="Times New Roman;serif" w:hAnsi="Times New Roman;serif"/>
          <w:b w:val="false"/>
          <w:sz w:val="22"/>
        </w:rPr>
        <w:t>. Each of Holdings, Bidco, the Borrowers, the Administrative Agent, any Issuing Bank and the Swingline Lender may change its address, electronic mail address, fax or telephone number, if applicable, for notices and other communications or website hereunder by notice to the other parties hereto. Each other Lender may change its address, fax or telephone number for notices and other communications hereunder by notice to Bidco, the Borrowers, the Administrative Agent, any Issuing Bank and the Swingline Lender. In addition, each Lender agrees to notify the Administrative Agent from time to time to ensure that the Administrative Agent has on record (i)</w:t>
      </w:r>
      <w:r>
        <w:rPr>
          <w:rFonts w:ascii="Times New Roman" w:hAnsi="Times New Roman"/>
          <w:sz w:val="20"/>
        </w:rPr>
        <w:t xml:space="preserve"> </w:t>
      </w:r>
      <w:r>
        <w:rPr>
          <w:rFonts w:ascii="Times New Roman;serif" w:hAnsi="Times New Roman;serif"/>
          <w:b w:val="false"/>
          <w:sz w:val="22"/>
        </w:rPr>
        <w:t>an effective address, contact name, telephone number, fax number and electronic mail address to which notices and other communications may be sent and (ii) accurate wire instructions for such Lender.</w:t>
      </w:r>
    </w:p>
    <w:p>
      <w:pPr>
        <w:pStyle w:val="TextBody"/>
        <w:bidi w:val="0"/>
        <w:spacing w:before="0" w:after="240"/>
        <w:jc w:val="both"/>
        <w:rPr>
          <w:rFonts w:ascii="Times New Roman" w:hAnsi="Times New Roman"/>
          <w:sz w:val="20"/>
        </w:rPr>
      </w:pPr>
      <w:bookmarkStart w:id="1109" w:name="docxtextref1838"/>
      <w:bookmarkEnd w:id="1109"/>
      <w:r>
        <w:rPr>
          <w:rFonts w:ascii="Times New Roman;serif" w:hAnsi="Times New Roman;serif"/>
          <w:b w:val="false"/>
          <w:sz w:val="22"/>
        </w:rPr>
        <w:t xml:space="preserve">(e) </w:t>
      </w:r>
      <w:r>
        <w:rPr>
          <w:rFonts w:ascii="Times New Roman;serif" w:hAnsi="Times New Roman;serif"/>
          <w:b w:val="false"/>
          <w:sz w:val="22"/>
          <w:u w:val="single"/>
        </w:rPr>
        <w:t>Reliance by Administrative Agent, Issuing Bank and Lenders</w:t>
      </w:r>
      <w:r>
        <w:rPr>
          <w:rFonts w:ascii="Times New Roman;serif" w:hAnsi="Times New Roman;serif"/>
          <w:b w:val="false"/>
          <w:sz w:val="22"/>
        </w:rPr>
        <w:t>. The Administrative Agent, each Issuing Bank and the Lenders shall be entitled to rely and act upon any notices purportedly given by or on behalf of Bidco or the Borrowers even if (i)</w:t>
      </w:r>
      <w:r>
        <w:rPr>
          <w:rFonts w:ascii="Times New Roman" w:hAnsi="Times New Roman"/>
          <w:sz w:val="20"/>
        </w:rPr>
        <w:t xml:space="preserve"> </w:t>
      </w:r>
      <w:r>
        <w:rPr>
          <w:rFonts w:ascii="Times New Roman;serif" w:hAnsi="Times New Roman;serif"/>
          <w:b w:val="false"/>
          <w:sz w:val="22"/>
        </w:rPr>
        <w:t>such notices were not made in a manner specified herein, were incomplete or were not preceded or followed by any other form of notice specified herein, or (ii) the terms thereof, as understood by the recipient, varied from any confirmation thereof. Bidco shall indemnify the Administrative Agent, each Issuing Bank, each Lender and the Related Parties from all losses, costs, expenses and liabilities resulting from the reliance by such Person on each notice purportedly given by or on behalf of Bidco in the absence of gross negligence or willful misconduct as determined in a final and non-appealable judgment by a court of competent jurisdiction. All telephonic communications with the Administrative Agent may be recorded by the Administrative Agent and each of the parties hereto hereby consents to such recording.</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9.02 </w:t>
      </w:r>
      <w:r>
        <w:rPr>
          <w:rFonts w:ascii="Times New Roman;serif" w:hAnsi="Times New Roman;serif"/>
          <w:b w:val="false"/>
          <w:sz w:val="22"/>
          <w:u w:val="single"/>
        </w:rPr>
        <w:t>Waivers; Amendments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10" w:name="docxtextref1840"/>
      <w:bookmarkEnd w:id="1110"/>
      <w:r>
        <w:rPr>
          <w:rFonts w:ascii="Times New Roman;serif" w:hAnsi="Times New Roman;serif"/>
          <w:b w:val="false"/>
          <w:sz w:val="22"/>
        </w:rPr>
        <w:t>(a)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9.02</w:t>
      </w:r>
      <w:r>
        <w:rPr>
          <w:rFonts w:ascii="Times New Roman;serif" w:hAnsi="Times New Roman;serif"/>
          <w:b w:val="false"/>
          <w:sz w:val="22"/>
        </w:rPr>
        <w:t>,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Bidco or Holdings in any case shall entitle Bidco or Holdings to any other or further notice or demand in similar or other circumstances.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Except as provided in </w:t>
      </w:r>
      <w:r>
        <w:rPr>
          <w:rFonts w:ascii="Times New Roman;serif" w:hAnsi="Times New Roman;serif"/>
          <w:b w:val="false"/>
          <w:sz w:val="22"/>
          <w:u w:val="single"/>
        </w:rPr>
        <w:t>Section 2.19</w:t>
      </w:r>
      <w:r>
        <w:rPr>
          <w:rFonts w:ascii="Times New Roman" w:hAnsi="Times New Roman"/>
          <w:sz w:val="20"/>
        </w:rPr>
        <w:t xml:space="preserve"> </w:t>
      </w:r>
      <w:r>
        <w:rPr>
          <w:rFonts w:ascii="Times New Roman;serif" w:hAnsi="Times New Roman;serif"/>
          <w:b w:val="false"/>
          <w:sz w:val="22"/>
        </w:rPr>
        <w:t xml:space="preserve">with respect to any Incremental Facility Amendment, </w:t>
      </w:r>
      <w:r>
        <w:rPr>
          <w:rFonts w:ascii="Times New Roman;serif" w:hAnsi="Times New Roman;serif"/>
          <w:b w:val="false"/>
          <w:sz w:val="22"/>
          <w:u w:val="single"/>
        </w:rPr>
        <w:t>Section 2.20</w:t>
      </w:r>
      <w:r>
        <w:rPr>
          <w:rFonts w:ascii="Times New Roman" w:hAnsi="Times New Roman"/>
          <w:sz w:val="20"/>
        </w:rPr>
        <w:t xml:space="preserve"> </w:t>
      </w:r>
      <w:r>
        <w:rPr>
          <w:rFonts w:ascii="Times New Roman;serif" w:hAnsi="Times New Roman;serif"/>
          <w:b w:val="false"/>
          <w:sz w:val="22"/>
        </w:rPr>
        <w:t xml:space="preserve">with respect to any Refinancing Amendment or </w:t>
      </w:r>
      <w:r>
        <w:rPr>
          <w:rFonts w:ascii="Times New Roman;serif" w:hAnsi="Times New Roman;serif"/>
          <w:b w:val="false"/>
          <w:sz w:val="22"/>
          <w:u w:val="single"/>
        </w:rPr>
        <w:t>Section 2.23</w:t>
      </w:r>
      <w:r>
        <w:rPr>
          <w:rFonts w:ascii="Times New Roman" w:hAnsi="Times New Roman"/>
          <w:sz w:val="20"/>
        </w:rPr>
        <w:t xml:space="preserve"> </w:t>
      </w:r>
      <w:r>
        <w:rPr>
          <w:rFonts w:ascii="Times New Roman;serif" w:hAnsi="Times New Roman;serif"/>
          <w:b w:val="false"/>
          <w:sz w:val="22"/>
        </w:rPr>
        <w:t>with respect to any Permitted Amendment, neither this Agreement, any Loan Document nor any provision hereof or thereof may be waived, amended or modified except, in the case of this Agreement, pursuant to an agreement or agreements in writing entered into by Holdings, Bidco, the Borrowers, the Administrative Agent (to the extent that such waiver, amendment or modification does not affect the rights, duties, privileges or obligations of the Administrative Agent under this Agreement, the Administrative Agent shall execute such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111" w:name="docxtextref1853"/>
      <w:bookmarkEnd w:id="1111"/>
      <w:r>
        <w:rPr>
          <w:rFonts w:ascii="Times New Roman;serif" w:hAnsi="Times New Roman;serif"/>
          <w:b w:val="false"/>
          <w:sz w:val="22"/>
        </w:rPr>
        <w:t xml:space="preserve">waiver, amendment or other modification to the extent approved by the Required Lenders) and the Required Lenders (other than with respect to any waiver, amendment or modification contemplated in the first proviso below)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no such agreement shall (i)</w:t>
      </w:r>
      <w:r>
        <w:rPr>
          <w:rFonts w:ascii="Times New Roman" w:hAnsi="Times New Roman"/>
          <w:sz w:val="20"/>
        </w:rPr>
        <w:t xml:space="preserve"> </w:t>
      </w:r>
      <w:r>
        <w:rPr>
          <w:rFonts w:ascii="Times New Roman;serif" w:hAnsi="Times New Roman;serif"/>
          <w:b w:val="false"/>
          <w:sz w:val="22"/>
        </w:rPr>
        <w:t xml:space="preserve">increase the Commitment of any Lender without the written consent of such Lender (it being understood that a waiver of any condition precedent set forth in </w:t>
      </w:r>
      <w:r>
        <w:rPr>
          <w:rFonts w:ascii="Times New Roman;serif" w:hAnsi="Times New Roman;serif"/>
          <w:b w:val="false"/>
          <w:sz w:val="22"/>
          <w:u w:val="single"/>
        </w:rPr>
        <w:t>Section 4.02</w:t>
      </w:r>
      <w:r>
        <w:rPr>
          <w:rFonts w:ascii="Times New Roman" w:hAnsi="Times New Roman"/>
          <w:sz w:val="20"/>
        </w:rPr>
        <w:t xml:space="preserve"> </w:t>
      </w:r>
      <w:r>
        <w:rPr>
          <w:rFonts w:ascii="Times New Roman;serif" w:hAnsi="Times New Roman;serif"/>
          <w:b w:val="false"/>
          <w:sz w:val="22"/>
        </w:rPr>
        <w:t xml:space="preserve">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Borrowers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only the consent of the Required Lenders shall be necessary to waive any obligation of the Borrowers to pay default interest pursuant to </w:t>
      </w:r>
      <w:r>
        <w:rPr>
          <w:rFonts w:ascii="Times New Roman;serif" w:hAnsi="Times New Roman;serif"/>
          <w:b w:val="false"/>
          <w:sz w:val="22"/>
          <w:u w:val="single"/>
        </w:rPr>
        <w:t>Section 2.12(c)</w:t>
      </w:r>
      <w:r>
        <w:rPr>
          <w:rFonts w:ascii="Times New Roman;serif" w:hAnsi="Times New Roman;serif"/>
          <w:b w:val="false"/>
          <w:sz w:val="22"/>
        </w:rPr>
        <w:t xml:space="preserve">, (iii) postpone the maturity of any Loan (it being understood that a waiver of any Default, Event of Default, mandatory prepayment or mandatory reduction of the Commitments shall not constitute a reduction or forgiveness of principal or an extension of any maturity date, date of any </w:t>
      </w:r>
      <w:bookmarkStart w:id="1112" w:name="docxtextref1849"/>
      <w:bookmarkEnd w:id="1112"/>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amortization payment or date for payment of interest or fees), or the date of any </w:t>
      </w:r>
      <w:bookmarkStart w:id="1113" w:name="docxtextref1850"/>
      <w:bookmarkEnd w:id="1113"/>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amortization payment of the principal amount of any Term Loan under </w:t>
      </w:r>
      <w:r>
        <w:rPr>
          <w:rFonts w:ascii="Times New Roman;serif" w:hAnsi="Times New Roman;serif"/>
          <w:b w:val="false"/>
          <w:sz w:val="22"/>
          <w:u w:val="single"/>
        </w:rPr>
        <w:t>Section 2.09</w:t>
      </w:r>
      <w:r>
        <w:rPr>
          <w:rFonts w:ascii="Times New Roman" w:hAnsi="Times New Roman"/>
          <w:sz w:val="20"/>
        </w:rPr>
        <w:t xml:space="preserve"> </w:t>
      </w:r>
      <w:r>
        <w:rPr>
          <w:rFonts w:ascii="Times New Roman;serif" w:hAnsi="Times New Roman;serif"/>
          <w:b w:val="false"/>
          <w:sz w:val="22"/>
        </w:rPr>
        <w:t xml:space="preserve">or the applicable Refinancing Amendment, or the reimbursement date with respect to any LC Disbursement, or any date for the payment of any interest or fees payable hereunder, or reduce the amount of, waive or excuse any such payment, or postpone the </w:t>
      </w:r>
      <w:bookmarkStart w:id="1114" w:name="docxtextref1851"/>
      <w:bookmarkEnd w:id="1114"/>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date of expiration of any Commitment (it being understood that a waiver of any Default or Event of Default shall not constitute an extension of any maturity date, date of any </w:t>
      </w:r>
      <w:bookmarkStart w:id="1115" w:name="docxtextref1852"/>
      <w:bookmarkEnd w:id="1115"/>
      <w:r>
        <w:rPr>
          <w:rFonts w:ascii="Times New Roman;serif" w:hAnsi="Times New Roman;serif"/>
          <w:b w:val="false"/>
          <w:sz w:val="22"/>
        </w:rPr>
        <w:t>scheduled</w:t>
      </w:r>
      <w:r>
        <w:rPr>
          <w:rFonts w:ascii="Times New Roman" w:hAnsi="Times New Roman"/>
          <w:sz w:val="20"/>
        </w:rPr>
        <w:t xml:space="preserve"> </w:t>
      </w:r>
      <w:r>
        <w:rPr>
          <w:rFonts w:ascii="Times New Roman;serif" w:hAnsi="Times New Roman;serif"/>
          <w:b w:val="false"/>
          <w:sz w:val="22"/>
        </w:rPr>
        <w:t xml:space="preserve">amortization payment or date for payment of interest or fees), without the written consent of each Lender directly and adversely affected thereby, (iv) change any of the provisions of this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 xml:space="preserve">without the written consent of each Lender directly and adversely affected thereby;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w:t>
      </w:r>
      <w:bookmarkStart w:id="1116" w:name="docxtextref1854"/>
      <w:bookmarkEnd w:id="1116"/>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change the percentage set forth in the definition of “Required Lenders”, “Required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Guarantee Agreement (except as expressly provided in the Loan Documents) without the written consent of each Lender (other than a Defaulting Lender), or (vii) release all or substantially all the Collateral from the Liens of the Security Documents, without the written consent of each Lender (other than a Defaulting Lender), except as expressly provided in the Loan Documents;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w:t>
      </w:r>
      <w:bookmarkStart w:id="1117" w:name="docxtextref1855"/>
      <w:bookmarkEnd w:id="1117"/>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no such agreement shall amend, modify or otherwise affect the rights or duties of the Administrative Agent or any Issuing Bank or the Swingline Lender without the prior written consent of the Administrative Agent, such Issuing Bank or the Swingline Lender, as the case may be, </w:t>
      </w:r>
      <w:bookmarkStart w:id="1118" w:name="docxtextref1856"/>
      <w:bookmarkEnd w:id="111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provision of this Agreement or any other Loan Document may be amended by an agreement in writing entered into by Holdings, Bidco, the Borrowers and the Administrative Agent to cure any ambiguity, omission, mistake, defect or inconsistency (as reasonably determined by the Administrative Agent and Bidco) and </w:t>
      </w:r>
      <w:bookmarkStart w:id="1119" w:name="docxtextref1857"/>
      <w:bookmarkEnd w:id="1119"/>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Bidco, the Borrowers and the requisite percentage in interest of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affected Class of Lenders stating that would be required to consent thereto under this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if such Class of Lenders were the only Class of Lenders hereunder at the time.</w:t>
      </w:r>
    </w:p>
    <w:p>
      <w:pPr>
        <w:pStyle w:val="TextBody"/>
        <w:bidi w:val="0"/>
        <w:spacing w:before="0" w:after="240"/>
        <w:jc w:val="both"/>
        <w:rPr>
          <w:rFonts w:ascii="Times New Roman" w:hAnsi="Times New Roman"/>
          <w:sz w:val="20"/>
        </w:rPr>
      </w:pPr>
      <w:bookmarkStart w:id="1120" w:name="docxtextref1859"/>
      <w:bookmarkEnd w:id="1120"/>
      <w:r>
        <w:rPr>
          <w:rFonts w:ascii="Times New Roman;serif" w:hAnsi="Times New Roman;serif"/>
          <w:b w:val="false"/>
          <w:sz w:val="22"/>
        </w:rPr>
        <w:t>Notwithstanding the foregoing, (A)</w:t>
      </w:r>
      <w:r>
        <w:rPr>
          <w:rFonts w:ascii="Times New Roman" w:hAnsi="Times New Roman"/>
          <w:sz w:val="20"/>
        </w:rPr>
        <w:t xml:space="preserve"> </w:t>
      </w:r>
      <w:r>
        <w:rPr>
          <w:rFonts w:ascii="Times New Roman;serif" w:hAnsi="Times New Roman;serif"/>
          <w:b w:val="false"/>
          <w:sz w:val="22"/>
        </w:rPr>
        <w:t xml:space="preserve">this Agreement may be amended (or amended and restated) with the written consent of the Required Lenders, the Administrative Agent, Holdings, Bidco and the Borrowers </w:t>
      </w:r>
      <w:bookmarkStart w:id="1121" w:name="docxtextref1860"/>
      <w:bookmarkEnd w:id="1121"/>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w:t>
      </w:r>
      <w:bookmarkStart w:id="1122" w:name="docxtextref1861"/>
      <w:bookmarkEnd w:id="112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guarantees, collateral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Bidco without the need to obtain the consent of any other Lender if such amendment or waiver is delivered in order </w:t>
      </w:r>
      <w:bookmarkStart w:id="1123" w:name="docxtextref1862"/>
      <w:bookmarkEnd w:id="1123"/>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to comply with local law or advice of local counsel, (ii) to cure ambiguities, defects, omissions or inconsistencies or to make related modifications to provisions of other Loan Documents, (iii) to cause any guarantee, collateral security document or other document to be consistent with this Agreement and the other Loan Documents, (iv) to give effect to the provisions of </w:t>
      </w:r>
      <w:r>
        <w:rPr>
          <w:rFonts w:ascii="Times New Roman;serif" w:hAnsi="Times New Roman;serif"/>
          <w:b w:val="false"/>
          <w:sz w:val="22"/>
          <w:u w:val="single"/>
        </w:rPr>
        <w:t>Section 2.13(b)</w:t>
      </w:r>
      <w:r>
        <w:rPr>
          <w:rFonts w:ascii="Times New Roman" w:hAnsi="Times New Roman"/>
          <w:sz w:val="20"/>
        </w:rPr>
        <w:t xml:space="preserve"> </w:t>
      </w:r>
      <w:r>
        <w:rPr>
          <w:rFonts w:ascii="Times New Roman;serif" w:hAnsi="Times New Roman;serif"/>
          <w:b w:val="false"/>
          <w:sz w:val="22"/>
        </w:rPr>
        <w:t xml:space="preserve">or </w:t>
      </w:r>
      <w:bookmarkStart w:id="1124" w:name="docxtextref1863"/>
      <w:bookmarkEnd w:id="1124"/>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to integrate any Incremental Facility or Credit Agreement Refinancing Indebtedness in a manner consistent with this Agreement and the other Loan Documents.</w:t>
      </w:r>
    </w:p>
    <w:p>
      <w:pPr>
        <w:pStyle w:val="TextBody"/>
        <w:bidi w:val="0"/>
        <w:spacing w:before="0" w:after="240"/>
        <w:jc w:val="both"/>
        <w:rPr>
          <w:rFonts w:ascii="Times New Roman" w:hAnsi="Times New Roman"/>
          <w:sz w:val="20"/>
        </w:rPr>
      </w:pPr>
      <w:bookmarkStart w:id="1125" w:name="docxtextref1873"/>
      <w:bookmarkEnd w:id="1125"/>
      <w:r>
        <w:rPr>
          <w:rFonts w:ascii="Times New Roman;serif" w:hAnsi="Times New Roman;serif"/>
          <w:b w:val="false"/>
          <w:sz w:val="22"/>
        </w:rPr>
        <w:t>(c) In connection with any proposed amendment, modification, waiver or termination (a “</w:t>
      </w:r>
      <w:r>
        <w:rPr>
          <w:rFonts w:ascii="Times New Roman;serif" w:hAnsi="Times New Roman;serif"/>
          <w:b w:val="false"/>
          <w:sz w:val="22"/>
          <w:u w:val="single"/>
        </w:rPr>
        <w:t>Proposed Change</w:t>
      </w:r>
      <w:r>
        <w:rPr>
          <w:rFonts w:ascii="Times New Roman" w:hAnsi="Times New Roman"/>
          <w:sz w:val="20"/>
        </w:rPr>
        <w:t>”</w:t>
      </w:r>
      <w:r>
        <w:rPr>
          <w:rFonts w:ascii="Times New Roman;serif" w:hAnsi="Times New Roman;serif"/>
          <w:b w:val="false"/>
          <w:sz w:val="22"/>
        </w:rPr>
        <w:t>) requiring the consent of all Lenders or all directly and adversely affected Lenders, if the consent of the Required Lenders (and, to the extent any Proposed Change requires the consent of Lenders holding Loans of any Class pursuant to clause (iv) of paragraph (b)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9.02</w:t>
      </w:r>
      <w:r>
        <w:rPr>
          <w:rFonts w:ascii="Times New Roman;serif" w:hAnsi="Times New Roman;serif"/>
          <w:b w:val="false"/>
          <w:sz w:val="22"/>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w:t>
      </w:r>
      <w:bookmarkStart w:id="1126" w:name="docxtextref1874"/>
      <w:bookmarkEnd w:id="1126"/>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9.02</w:t>
      </w:r>
      <w:r>
        <w:rPr>
          <w:rFonts w:ascii="Times New Roman" w:hAnsi="Times New Roman"/>
          <w:sz w:val="20"/>
        </w:rPr>
        <w:t xml:space="preserve"> </w:t>
      </w:r>
      <w:r>
        <w:rPr>
          <w:rFonts w:ascii="Times New Roman;serif" w:hAnsi="Times New Roman;serif"/>
          <w:b w:val="false"/>
          <w:sz w:val="22"/>
        </w:rPr>
        <w:t>being referred to as a “</w:t>
      </w:r>
      <w:r>
        <w:rPr>
          <w:rFonts w:ascii="Times New Roman;serif" w:hAnsi="Times New Roman;serif"/>
          <w:b w:val="false"/>
          <w:sz w:val="22"/>
          <w:u w:val="single"/>
        </w:rPr>
        <w:t>Non-Consenting Lender</w:t>
      </w:r>
      <w:r>
        <w:rPr>
          <w:rFonts w:ascii="Times New Roman" w:hAnsi="Times New Roman"/>
          <w:sz w:val="20"/>
        </w:rPr>
        <w:t>”</w:t>
      </w:r>
      <w:r>
        <w:rPr>
          <w:rFonts w:ascii="Times New Roman;serif" w:hAnsi="Times New Roman;serif"/>
          <w:b w:val="false"/>
          <w:sz w:val="22"/>
        </w:rPr>
        <w:t xml:space="preserve">), then, so long as the Lender that is acting as Administrative Agent is not a Non-Consenting Lender, Bidco or any Borrower may, at its option and at its sole expense and effort, upon notice to such Non-Consenting Lender and the Administrative Agent, either </w:t>
      </w:r>
      <w:bookmarkStart w:id="1127" w:name="docxtextref1875"/>
      <w:bookmarkEnd w:id="1127"/>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if no Specified Event of Default exists, permanently prepay all of the Loans of any Class owing by it to, and terminating any Commitments of, such Non-Consenting Lender or (ii) require such Non-Consenting Lender to assign and delegate, without recourse (in accordance with and subject to the restrictions contained in </w:t>
      </w:r>
      <w:r>
        <w:rPr>
          <w:rFonts w:ascii="Times New Roman;serif" w:hAnsi="Times New Roman;serif"/>
          <w:b w:val="false"/>
          <w:sz w:val="22"/>
          <w:u w:val="single"/>
        </w:rPr>
        <w:t>Section 9.04</w:t>
      </w:r>
      <w:r>
        <w:rPr>
          <w:rFonts w:ascii="Times New Roman;serif" w:hAnsi="Times New Roman;serif"/>
          <w:b w:val="false"/>
          <w:sz w:val="22"/>
        </w:rPr>
        <w:t xml:space="preserve">), all its interests, rights and obligations under this Agreement to an Eligible Assignee that shall assume such obligations (which Eligible Assignee may be another Lender, if a Lender accepts such assignment),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with respect to this clause (ii), </w:t>
      </w:r>
      <w:bookmarkStart w:id="1128" w:name="docxtextref1876"/>
      <w:bookmarkEnd w:id="1128"/>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Bidco shall have received the prior written consent of the Administrative Agent to the extent such consent would be required under </w:t>
      </w:r>
      <w:r>
        <w:rPr>
          <w:rFonts w:ascii="Times New Roman;serif" w:hAnsi="Times New Roman;serif"/>
          <w:b w:val="false"/>
          <w:sz w:val="22"/>
          <w:u w:val="single"/>
        </w:rPr>
        <w:t>Section 9.04(b)</w:t>
      </w:r>
      <w:r>
        <w:rPr>
          <w:rFonts w:ascii="Times New Roman" w:hAnsi="Times New Roman"/>
          <w:sz w:val="20"/>
        </w:rPr>
        <w:t xml:space="preserve"> </w:t>
      </w:r>
      <w:r>
        <w:rPr>
          <w:rFonts w:ascii="Times New Roman;serif" w:hAnsi="Times New Roman;serif"/>
          <w:b w:val="false"/>
          <w:sz w:val="22"/>
        </w:rPr>
        <w:t xml:space="preserve">for an assignment of Loans or Commitments, as applicable (and, if a Revolving Commitment is being assigned, each Issuing Bank and Swingline Lender), which consent shall not unreasonably be withheld, </w:t>
      </w:r>
      <w:bookmarkStart w:id="1129" w:name="docxtextref1877"/>
      <w:bookmarkEnd w:id="112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w:t>
      </w:r>
      <w:r>
        <w:rPr>
          <w:rFonts w:ascii="Times New Roman;serif" w:hAnsi="Times New Roman;serif"/>
          <w:b w:val="false"/>
          <w:sz w:val="22"/>
          <w:u w:val="single"/>
        </w:rPr>
        <w:t>Section 2.10(a)(i)</w:t>
      </w:r>
      <w:r>
        <w:rPr>
          <w:rFonts w:ascii="Times New Roman;serif" w:hAnsi="Times New Roman;serif"/>
          <w:b w:val="false"/>
          <w:sz w:val="22"/>
        </w:rPr>
        <w:t xml:space="preserve">) from the Eligible Assignee (to the extent of such outstanding principal and accrued interest and fees) or the Borrowers (in the case of all other amounts) and </w:t>
      </w:r>
      <w:bookmarkStart w:id="1130" w:name="docxtextref1878"/>
      <w:bookmarkEnd w:id="113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unless waived, the Borrowers or such Eligible Assignee shall have paid to the Administrative Agent the processing and recordation fee specified in </w:t>
      </w:r>
      <w:r>
        <w:rPr>
          <w:rFonts w:ascii="Times New Roman;serif" w:hAnsi="Times New Roman;serif"/>
          <w:b w:val="false"/>
          <w:sz w:val="22"/>
          <w:u w:val="single"/>
        </w:rPr>
        <w:t>Section 9.04(b)</w:t>
      </w:r>
      <w:r>
        <w:rPr>
          <w:rFonts w:ascii="Times New Roman;serif" w:hAnsi="Times New Roman;serif"/>
          <w:b w:val="false"/>
          <w:sz w:val="22"/>
        </w:rPr>
        <w:t xml:space="preserve">. Each party hereto agrees that an assignment required pursuant to this </w:t>
      </w:r>
      <w:r>
        <w:rPr>
          <w:rFonts w:ascii="Times New Roman;serif" w:hAnsi="Times New Roman;serif"/>
          <w:b w:val="false"/>
          <w:sz w:val="22"/>
          <w:u w:val="single"/>
        </w:rPr>
        <w:t>Section 9.02(c)</w:t>
      </w:r>
      <w:r>
        <w:rPr>
          <w:rFonts w:ascii="Times New Roman" w:hAnsi="Times New Roman"/>
          <w:sz w:val="20"/>
        </w:rPr>
        <w:t xml:space="preserve"> </w:t>
      </w:r>
      <w:r>
        <w:rPr>
          <w:rFonts w:ascii="Times New Roman;serif" w:hAnsi="Times New Roman;serif"/>
          <w:b w:val="false"/>
          <w:sz w:val="22"/>
        </w:rPr>
        <w:t xml:space="preserve">may be effected pursuant to an Assignment and Assumption executed by Bidco or a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-199-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behalf of a Non-Consenting Lender and any such documentation so executed by the Administrative Agent shall be effective for purposes of documenting an assignment pursuant to </w:t>
      </w:r>
      <w:r>
        <w:rPr>
          <w:rFonts w:ascii="Times New Roman;serif" w:hAnsi="Times New Roman;serif"/>
          <w:b w:val="false"/>
          <w:sz w:val="22"/>
          <w:u w:val="single"/>
        </w:rPr>
        <w:t>Section 9.04</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31" w:name="docxtextref1880"/>
      <w:bookmarkEnd w:id="1131"/>
      <w:r>
        <w:rPr>
          <w:rFonts w:ascii="Times New Roman;serif" w:hAnsi="Times New Roman;serif"/>
          <w:b w:val="false"/>
          <w:sz w:val="22"/>
        </w:rPr>
        <w:t xml:space="preserve">(d) Notwithstanding anything in this Agreement or the other Loan Documents to the contrary, (i)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w:t>
      </w:r>
      <w:r>
        <w:rPr>
          <w:rFonts w:ascii="Times New Roman;serif" w:hAnsi="Times New Roman;serif"/>
          <w:b w:val="false"/>
          <w:sz w:val="22"/>
          <w:u w:val="single"/>
        </w:rPr>
        <w:t>Section 9.02</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(x)</w:t>
      </w:r>
      <w:r>
        <w:rPr>
          <w:rFonts w:ascii="Times New Roman" w:hAnsi="Times New Roman"/>
          <w:sz w:val="20"/>
        </w:rPr>
        <w:t xml:space="preserve"> </w:t>
      </w:r>
      <w:r>
        <w:rPr>
          <w:rFonts w:ascii="Times New Roman;serif" w:hAnsi="Times New Roman;serif"/>
          <w:b w:val="false"/>
          <w:sz w:val="22"/>
        </w:rPr>
        <w:t xml:space="preserve">the Commitment of any Defaulting Lender may not be increased or extended without the consent of such Lender and </w:t>
      </w:r>
      <w:bookmarkStart w:id="1132" w:name="docxtextref1881"/>
      <w:bookmarkEnd w:id="1132"/>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any waiver, amendment or modification requiring the consent of all Lenders or each affected Lender that affects any Defaulting Lender more adversely than other affected Lenders shall require the consent of such Defaulting Lender and (ii) no Disqualified Lender shall have any right to approve or disapprove any amendment, waiver or consent hereunder or under any of the Loan Documents other than as expressly provided in </w:t>
      </w:r>
      <w:r>
        <w:rPr>
          <w:rFonts w:ascii="Times New Roman;serif" w:hAnsi="Times New Roman;serif"/>
          <w:b w:val="false"/>
          <w:sz w:val="22"/>
          <w:u w:val="single"/>
        </w:rPr>
        <w:t>Section 9.04(h)</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33" w:name="docxtextref1882"/>
      <w:bookmarkEnd w:id="1133"/>
      <w:r>
        <w:rPr>
          <w:rFonts w:ascii="Times New Roman;serif" w:hAnsi="Times New Roman;serif"/>
          <w:b w:val="false"/>
          <w:sz w:val="22"/>
        </w:rPr>
        <w:t xml:space="preserve">(e) Notwithstanding anything in this Agreement or the other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such Affiliated Lender shall be entitled to vote in accordance with its sole discretion in connection with any plan of reorganization (a)</w:t>
      </w:r>
      <w:r>
        <w:rPr>
          <w:rFonts w:ascii="Times New Roman" w:hAnsi="Times New Roman"/>
          <w:sz w:val="20"/>
        </w:rPr>
        <w:t xml:space="preserve"> </w:t>
      </w:r>
      <w:r>
        <w:rPr>
          <w:rFonts w:ascii="Times New Roman;serif" w:hAnsi="Times New Roman;serif"/>
          <w:b w:val="false"/>
          <w:sz w:val="22"/>
        </w:rPr>
        <w:t xml:space="preserve">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Bidco, </w:t>
      </w:r>
      <w:bookmarkStart w:id="1134" w:name="docxtextref1883"/>
      <w:bookmarkEnd w:id="113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that would deprive such Affiliated Lender of its pro rata share of any payments to which it is entitled or </w:t>
      </w:r>
      <w:bookmarkStart w:id="1135" w:name="docxtextref1884"/>
      <w:bookmarkEnd w:id="1135"/>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if such plan of reorganization requires the consent of each Lender or each affected Lender.</w:t>
      </w:r>
    </w:p>
    <w:p>
      <w:pPr>
        <w:pStyle w:val="TextBody"/>
        <w:bidi w:val="0"/>
        <w:spacing w:before="0" w:after="240"/>
        <w:jc w:val="both"/>
        <w:rPr>
          <w:rFonts w:ascii="Times New Roman" w:hAnsi="Times New Roman"/>
          <w:sz w:val="20"/>
        </w:rPr>
      </w:pPr>
      <w:bookmarkStart w:id="1136" w:name="docxtextref1891"/>
      <w:bookmarkEnd w:id="1136"/>
      <w:r>
        <w:rPr>
          <w:rFonts w:ascii="Times New Roman;serif" w:hAnsi="Times New Roman;serif"/>
          <w:b w:val="false"/>
          <w:sz w:val="22"/>
        </w:rPr>
        <w:t xml:space="preserve">(f) Notwithstanding anything in this Agreement or the other Loan Documents to the contrary, only the consent of the Required Revolving Lenders shall be necessary to (1) waive or consent to a waiver of an Event of Default under </w:t>
      </w:r>
      <w:r>
        <w:rPr>
          <w:rFonts w:ascii="Times New Roman;serif" w:hAnsi="Times New Roman;serif"/>
          <w:b w:val="false"/>
          <w:sz w:val="22"/>
          <w:u w:val="single"/>
        </w:rPr>
        <w:t>Section 7.01(d)(ii)</w:t>
      </w:r>
      <w:r>
        <w:rPr>
          <w:rFonts w:ascii="Times New Roman" w:hAnsi="Times New Roman"/>
          <w:sz w:val="20"/>
        </w:rPr>
        <w:t xml:space="preserve"> </w:t>
      </w:r>
      <w:r>
        <w:rPr>
          <w:rFonts w:ascii="Times New Roman;serif" w:hAnsi="Times New Roman;serif"/>
          <w:b w:val="false"/>
          <w:sz w:val="22"/>
        </w:rPr>
        <w:t xml:space="preserve">or waive or amend the conditions set forth in </w:t>
      </w:r>
      <w:r>
        <w:rPr>
          <w:rFonts w:ascii="Times New Roman;serif" w:hAnsi="Times New Roman;serif"/>
          <w:b w:val="false"/>
          <w:sz w:val="22"/>
          <w:u w:val="single"/>
        </w:rPr>
        <w:t>Section 4.02</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4.02</w:t>
      </w:r>
      <w:r>
        <w:rPr>
          <w:rFonts w:ascii="Times New Roman" w:hAnsi="Times New Roman"/>
          <w:sz w:val="20"/>
        </w:rPr>
        <w:t xml:space="preserve"> </w:t>
      </w:r>
      <w:r>
        <w:rPr>
          <w:rFonts w:ascii="Times New Roman;serif" w:hAnsi="Times New Roman;serif"/>
          <w:b w:val="false"/>
          <w:sz w:val="22"/>
        </w:rPr>
        <w:t>may not be waived or amended in a manner that affects the making of any Revolving Borrowing without the consent of the Required Revolving Lenders), (2)</w:t>
      </w:r>
      <w:r>
        <w:rPr>
          <w:rFonts w:ascii="Times New Roman" w:hAnsi="Times New Roman"/>
          <w:sz w:val="20"/>
        </w:rPr>
        <w:t xml:space="preserve"> </w:t>
      </w:r>
      <w:r>
        <w:rPr>
          <w:rFonts w:ascii="Times New Roman;serif" w:hAnsi="Times New Roman;serif"/>
          <w:b w:val="false"/>
          <w:sz w:val="22"/>
        </w:rPr>
        <w:t xml:space="preserve">modify or amend </w:t>
      </w:r>
      <w:r>
        <w:rPr>
          <w:rFonts w:ascii="Times New Roman;serif" w:hAnsi="Times New Roman;serif"/>
          <w:b w:val="false"/>
          <w:sz w:val="22"/>
          <w:u w:val="single"/>
        </w:rPr>
        <w:t>Section 6.07</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Section 6.07</w:t>
      </w:r>
      <w:r>
        <w:rPr>
          <w:rFonts w:ascii="Times New Roman" w:hAnsi="Times New Roman"/>
          <w:sz w:val="20"/>
        </w:rPr>
        <w:t xml:space="preserve"> </w:t>
      </w:r>
      <w:r>
        <w:rPr>
          <w:rFonts w:ascii="Times New Roman;serif" w:hAnsi="Times New Roman;serif"/>
          <w:b w:val="false"/>
          <w:sz w:val="22"/>
        </w:rPr>
        <w:t xml:space="preserve">may not be modified or amended without the consent of the Required Revolving Lenders) or </w:t>
      </w:r>
      <w:r>
        <w:rPr>
          <w:rFonts w:ascii="Times New Roman;serif" w:hAnsi="Times New Roman;serif"/>
          <w:b w:val="false"/>
          <w:sz w:val="22"/>
          <w:u w:val="single"/>
        </w:rPr>
        <w:t>Section 7.02</w:t>
      </w:r>
      <w:r>
        <w:rPr>
          <w:rFonts w:ascii="Times New Roman" w:hAnsi="Times New Roman"/>
          <w:sz w:val="20"/>
        </w:rPr>
        <w:t xml:space="preserve"> </w:t>
      </w:r>
      <w:r>
        <w:rPr>
          <w:rFonts w:ascii="Times New Roman;serif" w:hAnsi="Times New Roman;serif"/>
          <w:b w:val="false"/>
          <w:sz w:val="22"/>
        </w:rPr>
        <w:t xml:space="preserve">(including, in each case, the related definitions, solely to the extent such definitions are used in such Sections (but not otherwise)) or this sentence, </w:t>
      </w:r>
      <w:bookmarkStart w:id="1137" w:name="docxtextref1892"/>
      <w:bookmarkEnd w:id="1137"/>
      <w:r>
        <w:rPr>
          <w:rFonts w:ascii="Times New Roman;serif" w:hAnsi="Times New Roman;serif"/>
          <w:b w:val="false"/>
          <w:sz w:val="22"/>
        </w:rPr>
        <w:t>(3)</w:t>
      </w:r>
      <w:r>
        <w:rPr>
          <w:rFonts w:ascii="Times New Roman" w:hAnsi="Times New Roman"/>
          <w:sz w:val="20"/>
        </w:rPr>
        <w:t xml:space="preserve"> </w:t>
      </w:r>
      <w:r>
        <w:rPr>
          <w:rFonts w:ascii="Times New Roman;serif" w:hAnsi="Times New Roman;serif"/>
          <w:b w:val="false"/>
          <w:sz w:val="22"/>
        </w:rPr>
        <w:t xml:space="preserve">increase or decrease the rate of interest or any fees payable with respect to the Revolving Commitments and the Revolving Loans or (4) amend any other provision of this Agreement in a manner that </w:t>
      </w:r>
      <w:bookmarkStart w:id="1138" w:name="docxtextref1893"/>
      <w:bookmarkEnd w:id="1138"/>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is no less favorable to the Lenders than such provision prior to such amendment, </w:t>
      </w:r>
      <w:bookmarkStart w:id="1139" w:name="docxtextref1894"/>
      <w:bookmarkEnd w:id="113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does not directly and adversely affect any Class of Lenders in any material respect as compared to any other Class of Lenders, and </w:t>
      </w:r>
      <w:bookmarkStart w:id="1140" w:name="docxtextref1895"/>
      <w:bookmarkEnd w:id="1140"/>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does not require the consent of all Lenders or all directly and adversely affected Lenders.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Notwithstanding anything in this Agreement or the other Loan Documents to the contrary, this Agreement may be amended, supplemented or otherwise modified to effect any requisite changes to the definition of “LIBO Rate” as set forth therein and such other related changes as may be applicable thereto, in each case, with only the consent of the Persons set forth in such definition of “LIBO Rate”.</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9.03 </w:t>
      </w:r>
      <w:r>
        <w:rPr>
          <w:rFonts w:ascii="Times New Roman;serif" w:hAnsi="Times New Roman;serif"/>
          <w:b w:val="false"/>
          <w:sz w:val="22"/>
          <w:u w:val="single"/>
        </w:rPr>
        <w:t>Expenses; Indemnity; Damage Waiver</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41" w:name="docxtextref1898"/>
      <w:bookmarkEnd w:id="1141"/>
      <w:r>
        <w:rPr>
          <w:rFonts w:ascii="Times New Roman;serif" w:hAnsi="Times New Roman;serif"/>
          <w:b w:val="false"/>
          <w:sz w:val="22"/>
        </w:rPr>
        <w:t>(a) The Borrowers shall pay, if the Effective Date occurs and the Transactions have been consummated, (i)</w:t>
      </w:r>
      <w:r>
        <w:rPr>
          <w:rFonts w:ascii="Times New Roman" w:hAnsi="Times New Roman"/>
          <w:sz w:val="20"/>
        </w:rPr>
        <w:t xml:space="preserve"> </w:t>
      </w:r>
      <w:r>
        <w:rPr>
          <w:rFonts w:ascii="Times New Roman;serif" w:hAnsi="Times New Roman;serif"/>
          <w:b w:val="false"/>
          <w:sz w:val="22"/>
        </w:rPr>
        <w:t>all reasonable and documented and invoiced out-of-pocket costs and expenses incurred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142" w:name="docxtextref1899"/>
      <w:bookmarkEnd w:id="1142"/>
      <w:r>
        <w:rPr>
          <w:rFonts w:ascii="Times New Roman;serif" w:hAnsi="Times New Roman;serif"/>
          <w:b w:val="false"/>
          <w:sz w:val="22"/>
        </w:rPr>
        <w:t>by the Administrative Agent, the Joint Lead Arrangers, each Issuing Bank, the Swingline Lender, the Lenders and their respective Affiliates (without duplication) (limited, in the case of (x)</w:t>
      </w:r>
      <w:r>
        <w:rPr>
          <w:rFonts w:ascii="Times New Roman" w:hAnsi="Times New Roman"/>
          <w:sz w:val="20"/>
        </w:rPr>
        <w:t xml:space="preserve"> </w:t>
      </w:r>
      <w:r>
        <w:rPr>
          <w:rFonts w:ascii="Times New Roman;serif" w:hAnsi="Times New Roman;serif"/>
          <w:b w:val="false"/>
          <w:sz w:val="22"/>
        </w:rPr>
        <w:t xml:space="preserve">legal fees and expenses, to the reasonable and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Administrative Agent, each Issuing Bank or any Lender affected by such conflict notifies Bidco and the Borrowers of the existence of such conflict and thereafter retains its own counsel, one additional conflicts counsel for the affected Indemnitees similarly situated and </w:t>
      </w:r>
      <w:bookmarkStart w:id="1143" w:name="docxtextref1900"/>
      <w:bookmarkEnd w:id="114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 each case for the 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w:t>
        <w:noBreakHyphen/>
        <w:t xml:space="preserve">of-pocket costs and expenses incurred by each Issuing Bank in connection with the issuance, amendment, renewal or extension of any Letter of Credit or any demand for payment thereunder and (iii) all reasonable and documented and invoiced out-of-pocket expenses incurred by the Administrative Agent, each Issuing Bank or any Lender, including the fees, charges and disbursements of counsel for the Administrative Agent, the Issuing Banks and the Lenders (without duplication) (limited, in the case of </w:t>
      </w:r>
      <w:bookmarkStart w:id="1144" w:name="docxtextref1901"/>
      <w:bookmarkEnd w:id="1144"/>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legal fees and expenses, to the reasonable, documented and invoiced fees, charges and disbursements of one primary counsel and to the extent reasonably determined by the Administrative Agent to be necessary, one local counsel in each relevant material jurisdiction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w:t>
      </w:r>
      <w:bookmarkStart w:id="1145" w:name="docxtextref1902"/>
      <w:bookmarkEnd w:id="1145"/>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the fees and expenses of any other advisor or consultant, to the reasonable, documented and invoiced fees, charges and disbursements of such advisor or consultant, but solely to the extent that such consultant or advisor has been retained with Bidco’s written consent (such consent not to be unreasonably withheld or delayed), in connection with the enforcement or protection of any rights or remedies </w:t>
      </w:r>
      <w:bookmarkStart w:id="1146" w:name="docxtextref1903"/>
      <w:bookmarkEnd w:id="1146"/>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in connection with the Loan Documents (including all such costs and expenses incurred during any legal proceeding, including any proceeding under any Debtor Relief Laws), including its rights under this </w:t>
      </w:r>
      <w:r>
        <w:rPr>
          <w:rFonts w:ascii="Times New Roman;serif" w:hAnsi="Times New Roman;serif"/>
          <w:b w:val="false"/>
          <w:sz w:val="22"/>
          <w:u w:val="single"/>
        </w:rPr>
        <w:t>Section 9.03</w:t>
      </w:r>
      <w:r>
        <w:rPr>
          <w:rFonts w:ascii="Times New Roman" w:hAnsi="Times New Roman"/>
          <w:sz w:val="20"/>
        </w:rPr>
        <w:t xml:space="preserve"> </w:t>
      </w:r>
      <w:r>
        <w:rPr>
          <w:rFonts w:ascii="Times New Roman;serif" w:hAnsi="Times New Roman;serif"/>
          <w:b w:val="false"/>
          <w:sz w:val="22"/>
        </w:rPr>
        <w:t xml:space="preserve">or </w:t>
      </w:r>
      <w:bookmarkStart w:id="1147" w:name="docxtextref1904"/>
      <w:bookmarkEnd w:id="114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in connection with the Loans made or Letters of Credit issued hereunder, including all such out-of</w:t>
        <w:noBreakHyphen/>
        <w:t>pocket costs and expenses incurred during any workout, restructuring or negotiations in respect of such Loans or Letters of Credit.</w:t>
      </w:r>
    </w:p>
    <w:p>
      <w:pPr>
        <w:pStyle w:val="TextBody"/>
        <w:bidi w:val="0"/>
        <w:spacing w:before="0" w:after="240"/>
        <w:jc w:val="both"/>
        <w:rPr>
          <w:rFonts w:ascii="Times New Roman" w:hAnsi="Times New Roman"/>
          <w:sz w:val="20"/>
        </w:rPr>
      </w:pPr>
      <w:bookmarkStart w:id="1148" w:name="docxtextref1907"/>
      <w:bookmarkEnd w:id="1148"/>
      <w:r>
        <w:rPr>
          <w:rFonts w:ascii="Times New Roman;serif" w:hAnsi="Times New Roman;serif"/>
          <w:b w:val="false"/>
          <w:sz w:val="22"/>
        </w:rPr>
        <w:t>(b) Without duplication of the expense reimbursement obligations pursuant to clause (a) above, the Borrowers shall indemnify the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serif" w:hAnsi="Times New Roman;serif"/>
          <w:b w:val="false"/>
          <w:sz w:val="22"/>
          <w:u w:val="single"/>
        </w:rPr>
        <w:t>Indemnitee</w:t>
      </w:r>
      <w:r>
        <w:rPr>
          <w:rFonts w:ascii="Times New Roman" w:hAnsi="Times New Roman"/>
          <w:sz w:val="20"/>
        </w:rPr>
        <w:t>”</w:t>
      </w:r>
      <w:r>
        <w:rPr>
          <w:rFonts w:ascii="Times New Roman;serif" w:hAnsi="Times New Roman;serif"/>
          <w:b w:val="false"/>
          <w:sz w:val="22"/>
        </w:rPr>
        <w:t>) against, and hold each Indemnitee harmless from, any and all losses, claims, damages, liabilities and reasonable and documented and invoiced out-of-pocket fees and expenses (limited, in the case of (x)</w:t>
      </w:r>
      <w:r>
        <w:rPr>
          <w:rFonts w:ascii="Times New Roman" w:hAnsi="Times New Roman"/>
          <w:sz w:val="20"/>
        </w:rPr>
        <w:t xml:space="preserve"> </w:t>
      </w:r>
      <w:r>
        <w:rPr>
          <w:rFonts w:ascii="Times New Roman;serif" w:hAnsi="Times New Roman;serif"/>
          <w:b w:val="false"/>
          <w:sz w:val="22"/>
        </w:rPr>
        <w:t xml:space="preserve">legal fees and expenses, to the reasonable, documented and invoiced fees, charges and disbursements of one counsel for all Indemnitees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w:t>
      </w:r>
      <w:bookmarkStart w:id="1149" w:name="docxtextref1908"/>
      <w:bookmarkEnd w:id="1149"/>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the fees and expenses of any other advisor or consultant, to the reasonable and documented and invoiced fees, charges and disbursements of such advisor or consultant, but solely to the extent that such consultant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150" w:name="docxtextref1909"/>
      <w:bookmarkEnd w:id="1150"/>
      <w:r>
        <w:rPr>
          <w:rFonts w:ascii="Times New Roman;serif" w:hAnsi="Times New Roman;serif"/>
          <w:b w:val="false"/>
          <w:sz w:val="22"/>
        </w:rPr>
        <w:t>or advisor has been retained with Bidco’s consent in writing (such consent not to be unreasonably withheld or delayed)), incurred by or asserted against any Indemnitee by any third party or by Bidco, any Intermediate Parent, Holdings or any Subsidiary to the extent arising out of, in connection with, or as a result of any actual or prospective claim, litigation, investigation or proceeding, whether based on contract, tort or any other theory, whether brought by a third party or by Bidco, any Intermediate Parent, Holdings or any Subsidiary or their Affiliates and regardless of whether any Indemnitee is a party thereto relating to (i)</w:t>
      </w:r>
      <w:r>
        <w:rPr>
          <w:rFonts w:ascii="Times New Roman" w:hAnsi="Times New Roman"/>
          <w:sz w:val="20"/>
        </w:rPr>
        <w:t xml:space="preserve"> </w:t>
      </w:r>
      <w:r>
        <w:rPr>
          <w:rFonts w:ascii="Times New Roman;serif" w:hAnsi="Times New Roman;serif"/>
          <w:b w:val="false"/>
          <w:sz w:val="22"/>
        </w:rPr>
        <w:t xml:space="preserve">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or the syndication of the credit facilities provided for herein, (ii) any Loan or Letter of Credit or the use of the proceeds therefrom or (iii) to the extent in any way arising from or relating to any of the foregoing, any Release or threat of Release of Hazardous Materials on, at, to or from any real property or facility owned, leased or operated by Holdings, any Intermediate Parent, Bidco or any Subsidiary, or any other Environmental Liability of Holdings, any Intermediate Parent, Bidco or any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indemnity shall not, as to any Indemnitee, be available to the extent that such losses, claims, damages, liabilities, costs or related expenses </w:t>
      </w:r>
      <w:bookmarkStart w:id="1151" w:name="docxtextref1910"/>
      <w:bookmarkEnd w:id="1151"/>
      <w:r>
        <w:rPr>
          <w:rFonts w:ascii="Times New Roman;serif" w:hAnsi="Times New Roman;serif"/>
          <w:b w:val="false"/>
          <w:sz w:val="22"/>
        </w:rPr>
        <w:t>(w)</w:t>
      </w:r>
      <w:r>
        <w:rPr>
          <w:rFonts w:ascii="Times New Roman" w:hAnsi="Times New Roman"/>
          <w:sz w:val="20"/>
        </w:rPr>
        <w:t xml:space="preserve"> </w:t>
      </w:r>
      <w:r>
        <w:rPr>
          <w:rFonts w:ascii="Times New Roman;serif" w:hAnsi="Times New Roman;serif"/>
          <w:b w:val="false"/>
          <w:sz w:val="22"/>
        </w:rPr>
        <w:t xml:space="preserve">resulted from the gross negligence, bad faith or willful misconduct of such Indemnitee or its Related Parties (as determined by a court of competent jurisdiction in a final and non-appealable judgment), </w:t>
      </w:r>
      <w:bookmarkStart w:id="1152" w:name="docxtextref1911"/>
      <w:bookmarkEnd w:id="115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resulted from a material breach of the Loan Documents by such Indemnitee or its Related Parties (as determined by a court of competent jurisdiction in a final and non-appealable judgment), </w:t>
      </w:r>
      <w:bookmarkStart w:id="1153" w:name="docxtextref1912"/>
      <w:bookmarkEnd w:id="115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arise from disputes between or among Indemnitees (other than disputes involving claims against the Administrative Agent, the Collateral Agent or the Joint Lead Arrangers, any Issuing Bank or the Swingline Lender, in each case, in their respective capacities) that do not involve an act or omission by Holdings, Bidco or any Restricted Subsidiary or </w:t>
      </w:r>
      <w:bookmarkStart w:id="1154" w:name="docxtextref1913"/>
      <w:bookmarkEnd w:id="1154"/>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resulted from any settlement effected without Bidco’s prior written consent (such consent not to be unreasonably withheld or delayed), but if settled with Bidco’s prior written consent, Bidco will indemnify and hold harmless each Indemnitee from and against any and all losses, claims, damages, liabilities and expenses by reason of such settlement in accordance with this paragraph;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w:t>
      </w:r>
      <w:bookmarkStart w:id="1155" w:name="docxtextref1906"/>
      <w:bookmarkEnd w:id="1155"/>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Bidco shall not, without the prior written consent of the applicable Indemnitee (which consent shall not be unreasonably withheld, delayed or conditioned), effect any settlement of any pending or threatened claim, litigation, investigation or proceeding in respect of which indemnity could have been sought hereunder by such Indemnitee unless </w:t>
      </w:r>
      <w:bookmarkStart w:id="1156" w:name="docxtextref1914"/>
      <w:bookmarkEnd w:id="1156"/>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such settlement includes a full and unconditional release of such Indemnitee in form and substance reasonably satisfactory to such Indemnitee from all liability on claims that are the subject matter of such claim, litigation, investigation or proceeding and </w:t>
      </w:r>
      <w:bookmarkStart w:id="1157" w:name="docxtextref1915"/>
      <w:bookmarkEnd w:id="1157"/>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does not include any statement as to or any admission of fault, culpability or a failure to act by or on behalf of such Indemnitee and (2) to the extent of any amounts paid to an Indemnitee in respect of this </w:t>
      </w:r>
      <w:r>
        <w:rPr>
          <w:rFonts w:ascii="Times New Roman;serif" w:hAnsi="Times New Roman;serif"/>
          <w:b w:val="false"/>
          <w:sz w:val="22"/>
          <w:u w:val="single"/>
        </w:rPr>
        <w:t>Section 9.03</w:t>
      </w:r>
      <w:r>
        <w:rPr>
          <w:rFonts w:ascii="Times New Roman;serif" w:hAnsi="Times New Roman;serif"/>
          <w:b w:val="false"/>
          <w:sz w:val="22"/>
        </w:rPr>
        <w:t xml:space="preserve">, such Indemnitee, by its acceptance of the benefits hereof, agrees to refund and return any and all amounts paid by the Borrowers to it if, pursuant to the operation of any of the foregoing clauses (w) through </w:t>
      </w:r>
      <w:bookmarkStart w:id="1158" w:name="docxtextref1916"/>
      <w:bookmarkEnd w:id="1158"/>
      <w:r>
        <w:rPr>
          <w:rFonts w:ascii="Times New Roman;serif" w:hAnsi="Times New Roman;serif"/>
          <w:b w:val="false"/>
          <w:sz w:val="22"/>
        </w:rPr>
        <w:t>(z), such Indemnitee was not entitled to receipt of such amount.</w:t>
      </w:r>
    </w:p>
    <w:p>
      <w:pPr>
        <w:pStyle w:val="TextBody"/>
        <w:bidi w:val="0"/>
        <w:spacing w:before="0" w:after="240"/>
        <w:jc w:val="both"/>
        <w:rPr>
          <w:rFonts w:ascii="Times New Roman" w:hAnsi="Times New Roman"/>
          <w:sz w:val="20"/>
        </w:rPr>
      </w:pPr>
      <w:bookmarkStart w:id="1159" w:name="docxtextref1920"/>
      <w:bookmarkEnd w:id="1159"/>
      <w:r>
        <w:rPr>
          <w:rFonts w:ascii="Times New Roman;serif" w:hAnsi="Times New Roman;serif"/>
          <w:b w:val="false"/>
          <w:sz w:val="22"/>
        </w:rPr>
        <w:t xml:space="preserve">(c) To the extent that the Borrowers fail to pay any amount required to be paid by it to any Agent or any Lender under paragraph (a) or (b) of this </w:t>
      </w:r>
      <w:r>
        <w:rPr>
          <w:rFonts w:ascii="Times New Roman;serif" w:hAnsi="Times New Roman;serif"/>
          <w:b w:val="false"/>
          <w:sz w:val="22"/>
          <w:u w:val="single"/>
        </w:rPr>
        <w:t>Section 9.03</w:t>
      </w:r>
      <w:r>
        <w:rPr>
          <w:rFonts w:ascii="Times New Roman;serif" w:hAnsi="Times New Roman;serif"/>
          <w:b w:val="false"/>
          <w:sz w:val="22"/>
        </w:rPr>
        <w:t xml:space="preserve">, each Lender severally agrees to pay to such Agent or such Lender, as the case may be, such Lender’s pro rata share (determined as of the time that the applicable unreimbursed expense or indemnity payment is sought) of such unpaid amount; </w:t>
      </w:r>
      <w:r>
        <w:rPr>
          <w:rFonts w:ascii="Times New Roman;serif" w:hAnsi="Times New Roman;serif"/>
          <w:b w:val="false"/>
          <w:sz w:val="22"/>
          <w:u w:val="single"/>
        </w:rPr>
        <w:t xml:space="preserve">provided </w:t>
      </w:r>
      <w:r>
        <w:rPr>
          <w:rFonts w:ascii="Times New Roman;serif" w:hAnsi="Times New Roman;serif"/>
          <w:b w:val="false"/>
          <w:sz w:val="22"/>
        </w:rPr>
        <w:t>that the unreimbursed expense or indemnified loss, claim, damage, liability or related expense, as the case may be, was incurred by or asserted against such Agent or such Lender in its capacity as such. For purposes hereof, a Lender’s “pro rata share” shall be determined based upon its share of the aggregate Revolving Exposures, outstanding Term Loans and unused Commitments at such time. The obligations of the Lenders under this paragraph (c)</w:t>
      </w:r>
      <w:r>
        <w:rPr>
          <w:rFonts w:ascii="Times New Roman" w:hAnsi="Times New Roman"/>
          <w:sz w:val="20"/>
        </w:rPr>
        <w:t xml:space="preserve"> </w:t>
      </w:r>
      <w:r>
        <w:rPr>
          <w:rFonts w:ascii="Times New Roman;serif" w:hAnsi="Times New Roman;serif"/>
          <w:b w:val="false"/>
          <w:sz w:val="22"/>
        </w:rPr>
        <w:t xml:space="preserve">are subject to the last sentence of </w:t>
      </w:r>
      <w:r>
        <w:rPr>
          <w:rFonts w:ascii="Times New Roman;serif" w:hAnsi="Times New Roman;serif"/>
          <w:b w:val="false"/>
          <w:sz w:val="22"/>
          <w:u w:val="single"/>
        </w:rPr>
        <w:t>Section 2.02(a)</w:t>
      </w:r>
      <w:r>
        <w:rPr>
          <w:rFonts w:ascii="Times New Roman" w:hAnsi="Times New Roman"/>
          <w:sz w:val="20"/>
        </w:rPr>
        <w:t xml:space="preserve"> </w:t>
      </w:r>
      <w:r>
        <w:rPr>
          <w:rFonts w:ascii="Times New Roman;serif" w:hAnsi="Times New Roman;serif"/>
          <w:b w:val="false"/>
          <w:sz w:val="22"/>
        </w:rPr>
        <w:t xml:space="preserve">(which shall apply </w:t>
      </w:r>
      <w:r>
        <w:rPr>
          <w:rFonts w:ascii="Times New Roman;serif" w:hAnsi="Times New Roman;serif"/>
          <w:b w:val="false"/>
          <w:i/>
          <w:sz w:val="22"/>
        </w:rPr>
        <w:t>mutatis mutandis</w:t>
      </w:r>
      <w:r>
        <w:rPr>
          <w:rFonts w:ascii="Times New Roman" w:hAnsi="Times New Roman"/>
          <w:sz w:val="20"/>
        </w:rPr>
        <w:t xml:space="preserve"> </w:t>
      </w:r>
      <w:r>
        <w:rPr>
          <w:rFonts w:ascii="Times New Roman;serif" w:hAnsi="Times New Roman;serif"/>
          <w:b w:val="false"/>
          <w:sz w:val="22"/>
        </w:rPr>
        <w:t xml:space="preserve">to the Lenders’ obligations under this paragraph </w:t>
      </w:r>
      <w:bookmarkStart w:id="1160" w:name="docxtextref1921"/>
      <w:bookmarkEnd w:id="1160"/>
      <w:r>
        <w:rPr>
          <w:rFonts w:ascii="Times New Roman;serif" w:hAnsi="Times New Roman;serif"/>
          <w:b w:val="false"/>
          <w:sz w:val="22"/>
        </w:rPr>
        <w:t>(c)).</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To the extent that the Borrowers fail to pay any amount required to be paid by it to any Issuing Bank under paragraph (a) or (b) of this </w:t>
      </w:r>
      <w:r>
        <w:rPr>
          <w:rFonts w:ascii="Times New Roman;serif" w:hAnsi="Times New Roman;serif"/>
          <w:b w:val="false"/>
          <w:sz w:val="22"/>
          <w:u w:val="single"/>
        </w:rPr>
        <w:t>Section 9.03</w:t>
      </w:r>
      <w:r>
        <w:rPr>
          <w:rFonts w:ascii="Times New Roman;serif" w:hAnsi="Times New Roman;serif"/>
          <w:b w:val="false"/>
          <w:sz w:val="22"/>
        </w:rPr>
        <w:t>, each Revolving Lender severally agrees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to pay to such Issuing Bank such Revolving Lender’s pro rata share (determined as of the time that the applicable unreimbursed expense or indemnity payment is sought) of such unpaid amount; </w:t>
      </w:r>
      <w:r>
        <w:rPr>
          <w:rFonts w:ascii="Times New Roman;serif" w:hAnsi="Times New Roman;serif"/>
          <w:b w:val="false"/>
          <w:sz w:val="22"/>
          <w:u w:val="single"/>
        </w:rPr>
        <w:t xml:space="preserve">provided </w:t>
      </w:r>
      <w:r>
        <w:rPr>
          <w:rFonts w:ascii="Times New Roman;serif" w:hAnsi="Times New Roman;serif"/>
          <w:b w:val="false"/>
          <w:sz w:val="22"/>
        </w:rPr>
        <w:t xml:space="preserve">that the unreimbursed expense or indemnified loss, claim, damage, liability or related expense, as the case may be, was incurred by or asserted against such Issuing Bank in its capacity as such. For purposes hereof, a Revolving Lender’s “pro rata share” shall be determined based upon its share of the aggregate Revolving Exposures. The obligations of the Revolving Lenders under this paragraph (d) are subject to the last sentence of </w:t>
      </w:r>
      <w:r>
        <w:rPr>
          <w:rFonts w:ascii="Times New Roman;serif" w:hAnsi="Times New Roman;serif"/>
          <w:b w:val="false"/>
          <w:sz w:val="22"/>
          <w:u w:val="single"/>
        </w:rPr>
        <w:t>Section 2.02(a)</w:t>
      </w:r>
      <w:r>
        <w:rPr>
          <w:rFonts w:ascii="Times New Roman" w:hAnsi="Times New Roman"/>
          <w:sz w:val="20"/>
        </w:rPr>
        <w:t xml:space="preserve"> </w:t>
      </w:r>
      <w:r>
        <w:rPr>
          <w:rFonts w:ascii="Times New Roman;serif" w:hAnsi="Times New Roman;serif"/>
          <w:b w:val="false"/>
          <w:sz w:val="22"/>
        </w:rPr>
        <w:t xml:space="preserve">(which shall apply </w:t>
      </w:r>
      <w:r>
        <w:rPr>
          <w:rFonts w:ascii="Times New Roman;serif" w:hAnsi="Times New Roman;serif"/>
          <w:b w:val="false"/>
          <w:i/>
          <w:sz w:val="22"/>
        </w:rPr>
        <w:t>mutatis mutandis</w:t>
      </w:r>
      <w:r>
        <w:rPr>
          <w:rFonts w:ascii="Times New Roman" w:hAnsi="Times New Roman"/>
          <w:sz w:val="20"/>
        </w:rPr>
        <w:t xml:space="preserve"> </w:t>
      </w:r>
      <w:r>
        <w:rPr>
          <w:rFonts w:ascii="Times New Roman;serif" w:hAnsi="Times New Roman;serif"/>
          <w:b w:val="false"/>
          <w:sz w:val="22"/>
        </w:rPr>
        <w:t>to the Revolving Lenders’ obligations under this paragraph (d)).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 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loss of profits, business or anticipated savings) (whether or not the claim therefor is based on contract, tort or duty imposed by any applicable legal requirement)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the foregoing shall in no event limit the Borrowers’ indemnification obligations under clause (b) above.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(f) In case any proceeding is instituted involving any Indemnitee for which indemnification is to be sought hereunder by such Indemnitee, then such Indemnitee will promptly notify Bidco and the Borrowers of the commencement of any proceeding;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however,</w:t>
      </w:r>
      <w:r>
        <w:rPr>
          <w:rFonts w:ascii="Times New Roman" w:hAnsi="Times New Roman"/>
          <w:sz w:val="20"/>
        </w:rPr>
        <w:t xml:space="preserve"> </w:t>
      </w:r>
      <w:r>
        <w:rPr>
          <w:rFonts w:ascii="Times New Roman;serif" w:hAnsi="Times New Roman;serif"/>
          <w:b w:val="false"/>
          <w:sz w:val="22"/>
        </w:rPr>
        <w:t>that the failure to do so will not relieve the Borrowers from any liability that it may have to such Indemnitee hereunder, except to the extent that the Borrowers are materially prejudiced by such failure.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Notwithstanding anything to the contrary in this Agreement, to the extent permitted by applicable law, no party hereto nor any Indemnitee shall assert, and each hereby waives, any claim against any other Person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except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(h) All amounts due under this </w:t>
      </w:r>
      <w:r>
        <w:rPr>
          <w:rFonts w:ascii="Times New Roman;serif" w:hAnsi="Times New Roman;serif"/>
          <w:b w:val="false"/>
          <w:sz w:val="22"/>
          <w:u w:val="single"/>
        </w:rPr>
        <w:t>Section 9.03</w:t>
      </w:r>
      <w:r>
        <w:rPr>
          <w:rFonts w:ascii="Times New Roman" w:hAnsi="Times New Roman"/>
          <w:sz w:val="20"/>
        </w:rPr>
        <w:t xml:space="preserve"> </w:t>
      </w:r>
      <w:r>
        <w:rPr>
          <w:rFonts w:ascii="Times New Roman;serif" w:hAnsi="Times New Roman;serif"/>
          <w:b w:val="false"/>
          <w:sz w:val="22"/>
        </w:rPr>
        <w:t xml:space="preserve">shall be payable not later than ten (10) Business Days after written demand therefor;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serif" w:hAnsi="Times New Roman;serif"/>
          <w:b w:val="false"/>
          <w:sz w:val="22"/>
          <w:u w:val="single"/>
        </w:rPr>
        <w:t>Section 9.03</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9.04 </w:t>
      </w:r>
      <w:r>
        <w:rPr>
          <w:rFonts w:ascii="Times New Roman;serif" w:hAnsi="Times New Roman;serif"/>
          <w:b w:val="false"/>
          <w:sz w:val="22"/>
          <w:u w:val="single"/>
        </w:rPr>
        <w:t>Successors and Assigns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61" w:name="docxtextref1928"/>
      <w:bookmarkEnd w:id="1161"/>
      <w:r>
        <w:rPr>
          <w:rFonts w:ascii="Times New Roman;serif" w:hAnsi="Times New Roman;serif"/>
          <w:b w:val="false"/>
          <w:sz w:val="22"/>
        </w:rPr>
        <w:t>(a) The provisions of this Agreement shall be binding upon and inure to the benefit of the parties hereto and their respective successors and assigns permitted hereby (including any Affiliate of any Issuing Bank that issues any Letter of Credit), except that (i)</w:t>
      </w:r>
      <w:r>
        <w:rPr>
          <w:rFonts w:ascii="Times New Roman" w:hAnsi="Times New Roman"/>
          <w:sz w:val="20"/>
        </w:rPr>
        <w:t xml:space="preserve"> </w:t>
      </w:r>
      <w:r>
        <w:rPr>
          <w:rFonts w:ascii="Times New Roman;serif" w:hAnsi="Times New Roman;serif"/>
          <w:b w:val="false"/>
          <w:sz w:val="22"/>
        </w:rPr>
        <w:t>the Borrowers may not assign or otherwise transfer any of their rights or obligations hereunder without the prior written consent of each Lender, each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162" w:name="docxtextref1927"/>
      <w:bookmarkEnd w:id="1162"/>
      <w:r>
        <w:rPr>
          <w:rFonts w:ascii="Times New Roman;serif" w:hAnsi="Times New Roman;serif"/>
          <w:b w:val="false"/>
          <w:sz w:val="22"/>
        </w:rPr>
        <w:t xml:space="preserve">Issuing Bank and the acknowledgement of the Administrative Agent (and any attempted assignment or transfer by the Borrowers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w:t>
      </w:r>
      <w:r>
        <w:rPr>
          <w:rFonts w:ascii="Times New Roman;serif" w:hAnsi="Times New Roman;serif"/>
          <w:b w:val="false"/>
          <w:sz w:val="22"/>
          <w:u w:val="single"/>
        </w:rPr>
        <w:t>Section 9.04</w:t>
      </w:r>
      <w:r>
        <w:rPr>
          <w:rFonts w:ascii="Times New Roman;serif" w:hAnsi="Times New Roman;serif"/>
          <w:b w:val="false"/>
          <w:sz w:val="22"/>
        </w:rPr>
        <w:t>.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9.04</w:t>
      </w:r>
      <w:r>
        <w:rPr>
          <w:rFonts w:ascii="Times New Roman;serif" w:hAnsi="Times New Roman;serif"/>
          <w:b w:val="false"/>
          <w:sz w:val="22"/>
        </w:rPr>
        <w:t>), the Indemnitees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sz w:val="20"/>
        </w:rPr>
      </w:pPr>
      <w:bookmarkStart w:id="1163" w:name="docxtextref1933"/>
      <w:bookmarkEnd w:id="1163"/>
      <w:r>
        <w:rPr>
          <w:rFonts w:ascii="Times New Roman;serif" w:hAnsi="Times New Roman;serif"/>
          <w:b w:val="false"/>
          <w:sz w:val="22"/>
        </w:rPr>
        <w:t>(b) (i) Subject to the conditions set forth in paragraphs (b)(ii), (f) and (j)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Bidco) not to be unreasonably withheld or delayed) of (A)</w:t>
      </w:r>
      <w:r>
        <w:rPr>
          <w:rFonts w:ascii="Times New Roman" w:hAnsi="Times New Roman"/>
          <w:sz w:val="20"/>
        </w:rPr>
        <w:t xml:space="preserve"> </w:t>
      </w:r>
      <w:r>
        <w:rPr>
          <w:rFonts w:ascii="Times New Roman;serif" w:hAnsi="Times New Roman;serif"/>
          <w:b w:val="false"/>
          <w:sz w:val="22"/>
        </w:rPr>
        <w:t xml:space="preserve">Bidco;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consent of Bidco shall be required for an assignment </w:t>
      </w:r>
      <w:bookmarkStart w:id="1164" w:name="docxtextref1934"/>
      <w:bookmarkEnd w:id="1164"/>
      <w:r>
        <w:rPr>
          <w:rFonts w:ascii="Times New Roman;serif" w:hAnsi="Times New Roman;serif"/>
          <w:b w:val="false"/>
          <w:sz w:val="22"/>
        </w:rPr>
        <w:t>(w)</w:t>
      </w:r>
      <w:r>
        <w:rPr>
          <w:rFonts w:ascii="Times New Roman" w:hAnsi="Times New Roman"/>
          <w:sz w:val="20"/>
        </w:rPr>
        <w:t xml:space="preserve"> </w:t>
      </w:r>
      <w:r>
        <w:rPr>
          <w:rFonts w:ascii="Times New Roman;serif" w:hAnsi="Times New Roman;serif"/>
          <w:b w:val="false"/>
          <w:sz w:val="22"/>
        </w:rPr>
        <w:t xml:space="preserve">by any Joint Lead Arranger (or its Affiliate) to the extent that an assignment by such Joint Lead Arranger (or such Affiliate) is made in the primary syndication to Eligible Assignees to whom Bidco has consented or to any other Joint Lead Arranger (or its Affiliate), </w:t>
      </w:r>
      <w:bookmarkStart w:id="1165" w:name="docxtextref1935"/>
      <w:bookmarkEnd w:id="1165"/>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by a Term Lender to any Lender, an Affiliate of any Lender or an Approved Fund, </w:t>
      </w:r>
      <w:bookmarkStart w:id="1166" w:name="docxtextref1936"/>
      <w:bookmarkEnd w:id="116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if a Specified Event of Default has occurred and is continuing (other than with respect to any assignment to a Disqualified Lender) or </w:t>
      </w:r>
      <w:bookmarkStart w:id="1167" w:name="docxtextref1937"/>
      <w:bookmarkEnd w:id="1167"/>
      <w:r>
        <w:rPr>
          <w:rFonts w:ascii="Times New Roman;serif" w:hAnsi="Times New Roman;serif"/>
          <w:b w:val="false"/>
          <w:sz w:val="22"/>
        </w:rPr>
        <w:t>(z)</w:t>
      </w:r>
      <w:r>
        <w:rPr>
          <w:rFonts w:ascii="Times New Roman" w:hAnsi="Times New Roman"/>
          <w:sz w:val="20"/>
        </w:rPr>
        <w:t xml:space="preserve"> </w:t>
      </w:r>
      <w:r>
        <w:rPr>
          <w:rFonts w:ascii="Times New Roman;serif" w:hAnsi="Times New Roman;serif"/>
          <w:b w:val="false"/>
          <w:sz w:val="22"/>
        </w:rPr>
        <w:t xml:space="preserve">by a Revolving Lender to another Revolving Lender or an Affiliate of a Revolving Lender;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no assignee contemplated by the immediately preceding proviso shall be entitled to receive any greater payment under </w:t>
      </w:r>
      <w:r>
        <w:rPr>
          <w:rFonts w:ascii="Times New Roman;serif" w:hAnsi="Times New Roman;serif"/>
          <w:b w:val="false"/>
          <w:sz w:val="22"/>
          <w:u w:val="single"/>
        </w:rPr>
        <w:t>Section 2.14</w:t>
      </w:r>
      <w:r>
        <w:rPr>
          <w:rFonts w:ascii="Times New Roman" w:hAnsi="Times New Roman"/>
          <w:sz w:val="20"/>
        </w:rPr>
        <w:t xml:space="preserve"> </w:t>
      </w:r>
      <w:r>
        <w:rPr>
          <w:rFonts w:ascii="Times New Roman;serif" w:hAnsi="Times New Roman;serif"/>
          <w:b w:val="false"/>
          <w:sz w:val="22"/>
        </w:rPr>
        <w:t xml:space="preserve">than the applicable assignor would have been entitled to receive with respect to the assignment made to such assignee, unless the assignment to such assignee is made with Bidco’s prior written consent;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Bidco shall have the right to withhold its consent to any assignment if in order for such assignment to comply with applicable law, Bidco would be required to obtain the consent of, or make any filing or registration with, any Governmental Authority, </w:t>
      </w:r>
      <w:bookmarkStart w:id="1168" w:name="docxtextref1938"/>
      <w:bookmarkEnd w:id="116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the Administrative Agent;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no consent of the Administrative Agent shall be required for an assignment of a Term Loan to </w:t>
      </w:r>
      <w:bookmarkStart w:id="1169" w:name="docxtextref1939"/>
      <w:bookmarkEnd w:id="1169"/>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a Lender, an Affiliate of a Lender or an Approved Fund or </w:t>
      </w:r>
      <w:bookmarkStart w:id="1170" w:name="docxtextref1940"/>
      <w:bookmarkEnd w:id="1170"/>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subject to </w:t>
      </w:r>
      <w:r>
        <w:rPr>
          <w:rFonts w:ascii="Times New Roman;serif" w:hAnsi="Times New Roman;serif"/>
          <w:b w:val="false"/>
          <w:sz w:val="22"/>
          <w:u w:val="single"/>
        </w:rPr>
        <w:t>Section 9.04(f)</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(g)</w:t>
      </w:r>
      <w:r>
        <w:rPr>
          <w:rFonts w:ascii="Times New Roman;serif" w:hAnsi="Times New Roman;serif"/>
          <w:b w:val="false"/>
          <w:sz w:val="22"/>
        </w:rPr>
        <w:t xml:space="preserve">, an Affiliated Lender, Holdings, Bidco or any of its Subsidiaries and </w:t>
      </w:r>
      <w:bookmarkStart w:id="1171" w:name="docxtextref1942"/>
      <w:bookmarkEnd w:id="117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solely in the case of Revolving Loans and Revolving Commitments, each Issuing Bank and the Swingline Lender (not to be unreasonably withheld or delayed);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for the avoidance of doubt, no consent of any Issuing Bank or the Swingline Lender shall be required for an assignment of all or any portion of a Term Loan or Term Commitment. Notwithstanding anything in this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to the contrary, if Bidco has not given the Administrative Agent written notice of its objection to an assignment of Term Loans within ten (10) Business Days after written notice of such assignment, Bidco shall be deemed to have consented to such assignment.</w:t>
      </w:r>
    </w:p>
    <w:p>
      <w:pPr>
        <w:pStyle w:val="TextBody"/>
        <w:bidi w:val="0"/>
        <w:spacing w:before="0" w:after="240"/>
        <w:jc w:val="both"/>
        <w:rPr>
          <w:rFonts w:ascii="Times New Roman" w:hAnsi="Times New Roman"/>
          <w:sz w:val="20"/>
        </w:rPr>
      </w:pPr>
      <w:bookmarkStart w:id="1172" w:name="docxtextref1949"/>
      <w:bookmarkEnd w:id="1172"/>
      <w:r>
        <w:rPr>
          <w:rFonts w:ascii="Times New Roman;serif" w:hAnsi="Times New Roman;serif"/>
          <w:b w:val="false"/>
          <w:sz w:val="22"/>
        </w:rPr>
        <w:t>(ii) Assignments shall be subject to the following additional conditions: (A)</w:t>
      </w:r>
      <w:r>
        <w:rPr>
          <w:rFonts w:ascii="Times New Roman" w:hAnsi="Times New Roman"/>
          <w:sz w:val="20"/>
        </w:rPr>
        <w:t xml:space="preserve"> </w:t>
      </w:r>
      <w:r>
        <w:rPr>
          <w:rFonts w:ascii="Times New Roman;serif" w:hAnsi="Times New Roman;serif"/>
          <w:b w:val="false"/>
          <w:sz w:val="22"/>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$2,500,000 (and integral multiples thereof) or, in the case of a Term Loan, $1,000,000 (and integral multiples thereof), unless Bidco and the Administrative Agent otherwise consent (in each case, such consent not to be unreasonably withheld or delayed);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no such consent of Bidco shall be required if a Specified Event of Default has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173" w:name="docxtextref1950"/>
      <w:bookmarkEnd w:id="1173"/>
      <w:r>
        <w:rPr>
          <w:rFonts w:ascii="Times New Roman;serif" w:hAnsi="Times New Roman;serif"/>
          <w:b w:val="false"/>
          <w:sz w:val="22"/>
        </w:rPr>
        <w:t>occurred and is continuing, (B)</w:t>
      </w:r>
      <w:r>
        <w:rPr>
          <w:rFonts w:ascii="Times New Roman" w:hAnsi="Times New Roman"/>
          <w:sz w:val="20"/>
        </w:rPr>
        <w:t xml:space="preserve"> </w:t>
      </w:r>
      <w:r>
        <w:rPr>
          <w:rFonts w:ascii="Times New Roman;serif" w:hAnsi="Times New Roman;serif"/>
          <w:b w:val="false"/>
          <w:sz w:val="22"/>
        </w:rPr>
        <w:t xml:space="preserve">each partial assignment shall be made as an assignment of a proportionate part of all the assigning Lender’s rights and obligations under this Agreement;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this clause (B) shall not be construed to prohibit assignment of a proportionate part of all the assigning Lender’s rights and obligations in respect of one Class of Commitments or Loans, </w:t>
      </w:r>
      <w:bookmarkStart w:id="1174" w:name="docxtextref1951"/>
      <w:bookmarkEnd w:id="117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the Administrative Agent, in its sole discretion, may elect to waive or reduce such processing and recordation fee;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any such Assignment and Assumption shall include a representation by the assignee that the assignee is not a Disqualified Lender or an Affiliate of a Disqualified Lender; </w:t>
      </w:r>
      <w:r>
        <w:rPr>
          <w:rFonts w:ascii="Times New Roman;serif" w:hAnsi="Times New Roman;serif"/>
          <w:b w:val="false"/>
          <w:sz w:val="22"/>
          <w:u w:val="single"/>
        </w:rPr>
        <w:t>provided further</w:t>
      </w:r>
      <w:r>
        <w:rPr>
          <w:rFonts w:ascii="Times New Roman" w:hAnsi="Times New Roman"/>
          <w:sz w:val="20"/>
        </w:rPr>
        <w:t xml:space="preserve"> </w:t>
      </w:r>
      <w:r>
        <w:rPr>
          <w:rFonts w:ascii="Times New Roman;serif" w:hAnsi="Times New Roman;serif"/>
          <w:b w:val="false"/>
          <w:sz w:val="22"/>
        </w:rPr>
        <w:t xml:space="preserve">that assignments made pursuant to </w:t>
      </w:r>
      <w:r>
        <w:rPr>
          <w:rFonts w:ascii="Times New Roman;serif" w:hAnsi="Times New Roman;serif"/>
          <w:b w:val="false"/>
          <w:sz w:val="22"/>
          <w:u w:val="single"/>
        </w:rPr>
        <w:t>Section 2.18(b)</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Section 9.02(c)</w:t>
      </w:r>
      <w:r>
        <w:rPr>
          <w:rFonts w:ascii="Times New Roman" w:hAnsi="Times New Roman"/>
          <w:sz w:val="20"/>
        </w:rPr>
        <w:t xml:space="preserve"> </w:t>
      </w:r>
      <w:r>
        <w:rPr>
          <w:rFonts w:ascii="Times New Roman;serif" w:hAnsi="Times New Roman;serif"/>
          <w:b w:val="false"/>
          <w:sz w:val="22"/>
        </w:rPr>
        <w:t xml:space="preserve">shall not require the signature of the assigning Lender to become effective, </w:t>
      </w:r>
      <w:bookmarkStart w:id="1175" w:name="docxtextref1952"/>
      <w:bookmarkEnd w:id="1175"/>
      <w:r>
        <w:rPr>
          <w:rFonts w:ascii="Times New Roman;serif" w:hAnsi="Times New Roman;serif"/>
          <w:b w:val="false"/>
          <w:sz w:val="22"/>
        </w:rPr>
        <w:t>(D)</w:t>
      </w:r>
      <w:r>
        <w:rPr>
          <w:rFonts w:ascii="Times New Roman" w:hAnsi="Times New Roman"/>
          <w:sz w:val="20"/>
        </w:rPr>
        <w:t xml:space="preserve"> </w:t>
      </w:r>
      <w:r>
        <w:rPr>
          <w:rFonts w:ascii="Times New Roman;serif" w:hAnsi="Times New Roman;serif"/>
          <w:b w:val="false"/>
          <w:sz w:val="22"/>
        </w:rPr>
        <w:t xml:space="preserve">the assignee, if it shall not be a Lender, shall deliver to the Administrative Agent any tax forms required by </w:t>
      </w:r>
      <w:r>
        <w:rPr>
          <w:rFonts w:ascii="Times New Roman;serif" w:hAnsi="Times New Roman;serif"/>
          <w:b w:val="false"/>
          <w:sz w:val="22"/>
          <w:u w:val="single"/>
        </w:rPr>
        <w:t>Section 2.16(e)</w:t>
      </w:r>
      <w:r>
        <w:rPr>
          <w:rFonts w:ascii="Times New Roman" w:hAnsi="Times New Roman"/>
          <w:sz w:val="20"/>
        </w:rPr>
        <w:t xml:space="preserve"> </w:t>
      </w:r>
      <w:r>
        <w:rPr>
          <w:rFonts w:ascii="Times New Roman;serif" w:hAnsi="Times New Roman;serif"/>
          <w:b w:val="false"/>
          <w:sz w:val="22"/>
        </w:rPr>
        <w:t xml:space="preserve">and an Administrative Questionnaire in which the assignee designates one or more credit contacts to whom all syndicate-level information (which may contain Material Non-Public Information about Bidco, the Loan Parties and their Related Parties or their respective securities) will be made available and who may receive such information in accordance with the assignee’s compliance procedures and applicable laws, including Federal and state securities laws and </w:t>
      </w:r>
      <w:bookmarkStart w:id="1176" w:name="docxtextref1953"/>
      <w:bookmarkEnd w:id="1176"/>
      <w:r>
        <w:rPr>
          <w:rFonts w:ascii="Times New Roman;serif" w:hAnsi="Times New Roman;serif"/>
          <w:b w:val="false"/>
          <w:sz w:val="22"/>
        </w:rPr>
        <w:t>(E)</w:t>
      </w:r>
      <w:r>
        <w:rPr>
          <w:rFonts w:ascii="Times New Roman" w:hAnsi="Times New Roman"/>
          <w:sz w:val="20"/>
        </w:rPr>
        <w:t xml:space="preserve"> </w:t>
      </w:r>
      <w:r>
        <w:rPr>
          <w:rFonts w:ascii="Times New Roman;serif" w:hAnsi="Times New Roman;serif"/>
          <w:b w:val="false"/>
          <w:sz w:val="22"/>
        </w:rPr>
        <w:t xml:space="preserve">unless Bidco otherwise consents, no assignment of all or any portion of the Revolving Commitment of a Lender that is also the Swingline Lender or an Issuing Bank may be made unless </w:t>
      </w:r>
      <w:bookmarkStart w:id="1177" w:name="docxtextref1947"/>
      <w:bookmarkEnd w:id="1177"/>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the assignee shall be or become a Swingline Lender and/or an Issuing Bank, as applicable, and assume a ratable portion of the rights and obligations of such assignor in its capacity as Swingline Lender and/or Issuing Bank, as applicable, or </w:t>
      </w:r>
      <w:bookmarkStart w:id="1178" w:name="docxtextref1948"/>
      <w:bookmarkEnd w:id="1178"/>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w:t>
      </w:r>
      <w:r>
        <w:rPr>
          <w:rFonts w:ascii="Times New Roman;serif" w:hAnsi="Times New Roman;serif"/>
          <w:b w:val="false"/>
          <w:sz w:val="22"/>
          <w:u w:val="single"/>
        </w:rPr>
        <w:t>Section 2.04(b)</w:t>
      </w:r>
      <w:r>
        <w:rPr>
          <w:rFonts w:ascii="Times New Roman" w:hAnsi="Times New Roman"/>
          <w:sz w:val="20"/>
        </w:rPr>
        <w:t xml:space="preserve"> </w:t>
      </w:r>
      <w:r>
        <w:rPr>
          <w:rFonts w:ascii="Times New Roman;serif" w:hAnsi="Times New Roman;serif"/>
          <w:b w:val="false"/>
          <w:sz w:val="22"/>
        </w:rPr>
        <w:t xml:space="preserve">by an amount not to exceed the difference between the assignor’s Revolving Commitment prior to such assignment and the assignor’s Revolving Commitment following such assignment;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no such consent of Bidco shall be required if a Specified Event of Default has occurred and is continuing.</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(iii) Subject to acceptance and recording thereof pursuant to paragraph (b)(v) of this </w:t>
      </w:r>
      <w:r>
        <w:rPr>
          <w:rFonts w:ascii="Times New Roman;serif" w:hAnsi="Times New Roman;serif"/>
          <w:b w:val="false"/>
          <w:sz w:val="22"/>
          <w:u w:val="single"/>
        </w:rPr>
        <w:t>Section 9.04</w:t>
      </w:r>
      <w:r>
        <w:rPr>
          <w:rFonts w:ascii="Times New Roman;serif" w:hAnsi="Times New Roman;serif"/>
          <w:b w:val="false"/>
          <w:sz w:val="22"/>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Times New Roman;serif" w:hAnsi="Times New Roman;serif"/>
          <w:b w:val="false"/>
          <w:sz w:val="22"/>
          <w:u w:val="single"/>
        </w:rPr>
        <w:t>Sections 2.14</w:t>
      </w:r>
      <w:r>
        <w:rPr>
          <w:rFonts w:ascii="Times New Roman;serif" w:hAnsi="Times New Roman;serif"/>
          <w:b w:val="false"/>
          <w:sz w:val="22"/>
        </w:rPr>
        <w:t xml:space="preserve">, </w:t>
      </w:r>
      <w:r>
        <w:rPr>
          <w:rFonts w:ascii="Times New Roman;serif" w:hAnsi="Times New Roman;serif"/>
          <w:b w:val="false"/>
          <w:sz w:val="22"/>
          <w:u w:val="single"/>
        </w:rPr>
        <w:t>2.15</w:t>
      </w:r>
      <w:r>
        <w:rPr>
          <w:rFonts w:ascii="Times New Roman;serif" w:hAnsi="Times New Roman;serif"/>
          <w:b w:val="false"/>
          <w:sz w:val="22"/>
        </w:rPr>
        <w:t xml:space="preserve">, </w:t>
      </w:r>
      <w:r>
        <w:rPr>
          <w:rFonts w:ascii="Times New Roman;serif" w:hAnsi="Times New Roman;serif"/>
          <w:b w:val="false"/>
          <w:sz w:val="22"/>
          <w:u w:val="single"/>
        </w:rPr>
        <w:t>2.16</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9.03</w:t>
      </w:r>
      <w:r>
        <w:rPr>
          <w:rFonts w:ascii="Times New Roman" w:hAnsi="Times New Roman"/>
          <w:sz w:val="20"/>
        </w:rPr>
        <w:t xml:space="preserve"> </w:t>
      </w:r>
      <w:r>
        <w:rPr>
          <w:rFonts w:ascii="Times New Roman;serif" w:hAnsi="Times New Roman;serif"/>
          <w:b w:val="false"/>
          <w:sz w:val="22"/>
        </w:rPr>
        <w:t xml:space="preserve">and to any fees payable hereunder that have accrued for such Lender’s account but have not yet been paid). Any assignment or transfer by a Lender of rights or obligations under this Agreement that does not comply with this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 xml:space="preserve">shall be treated for purposes of this Agreement as a sale by such Lender of a participation in such rights and obligations in accordance with paragraph (c)(i) of this </w:t>
      </w:r>
      <w:r>
        <w:rPr>
          <w:rFonts w:ascii="Times New Roman;serif" w:hAnsi="Times New Roman;serif"/>
          <w:b w:val="false"/>
          <w:sz w:val="22"/>
          <w:u w:val="single"/>
        </w:rPr>
        <w:t>Section 9.04</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(iv) The Administrative Agent, acting for this purpose as a non-fiduciary agent of Bidco,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each Lender pursuant to the terms hereof from time to time (the “</w:t>
      </w:r>
      <w:r>
        <w:rPr>
          <w:rFonts w:ascii="Times New Roman;serif" w:hAnsi="Times New Roman;serif"/>
          <w:b w:val="false"/>
          <w:sz w:val="22"/>
          <w:u w:val="single"/>
        </w:rPr>
        <w:t>Register</w:t>
      </w:r>
      <w:r>
        <w:rPr>
          <w:rFonts w:ascii="Times New Roman" w:hAnsi="Times New Roman"/>
          <w:sz w:val="20"/>
        </w:rPr>
        <w:t>”</w:t>
      </w:r>
      <w:r>
        <w:rPr>
          <w:rFonts w:ascii="Times New Roman;serif" w:hAnsi="Times New Roman;serif"/>
          <w:b w:val="false"/>
          <w:sz w:val="22"/>
        </w:rPr>
        <w:t>). Notwithstanding the foregoing, in no event shall the Administrative Agent be obligated to ascertain, monitor or inquire as to whether any Lender is an Affiliated Lender, nor shall the Administrative Agent be obligated to monitor the aggregate amount of the Loans held by Affiliated Lenders. The entries in the Register shall be conclusive absent manifest error, and Holdings, Bidco,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Bidco, the Borrowers, the Issuing Banks (with respect to Revolving Lenders only), the Collateral Agent, affiliates of the Administrative Agent and any Lender (in each case as to its own interest, but not the interest of any other Lender), at any reasonable time and from time to time upon reasonable prior notice.</w:t>
      </w:r>
    </w:p>
    <w:p>
      <w:pPr>
        <w:pStyle w:val="TextBody"/>
        <w:bidi w:val="0"/>
        <w:spacing w:before="0" w:after="240"/>
        <w:jc w:val="both"/>
        <w:rPr>
          <w:rFonts w:ascii="Times New Roman" w:hAnsi="Times New Roman"/>
          <w:sz w:val="20"/>
        </w:rPr>
      </w:pPr>
      <w:bookmarkStart w:id="1179" w:name="docxtextref1964"/>
      <w:bookmarkEnd w:id="1179"/>
      <w:r>
        <w:rPr>
          <w:rFonts w:ascii="Times New Roman;serif" w:hAnsi="Times New Roman;serif"/>
          <w:b w:val="false"/>
          <w:sz w:val="22"/>
        </w:rPr>
        <w:t xml:space="preserve">(v) Upon its receipt of a duly completed Assignment and Assumption executed by an assigning Lender and an assignee, the assignee’s completed Administrative Questionnaire and any tax forms required by </w:t>
      </w:r>
      <w:r>
        <w:rPr>
          <w:rFonts w:ascii="Times New Roman;serif" w:hAnsi="Times New Roman;serif"/>
          <w:b w:val="false"/>
          <w:sz w:val="22"/>
          <w:u w:val="single"/>
        </w:rPr>
        <w:t>Section 2.16(e)</w:t>
      </w:r>
      <w:r>
        <w:rPr>
          <w:rFonts w:ascii="Times New Roman" w:hAnsi="Times New Roman"/>
          <w:sz w:val="20"/>
        </w:rPr>
        <w:t xml:space="preserve"> </w:t>
      </w:r>
      <w:r>
        <w:rPr>
          <w:rFonts w:ascii="Times New Roman;serif" w:hAnsi="Times New Roman;serif"/>
          <w:b w:val="false"/>
          <w:sz w:val="22"/>
        </w:rPr>
        <w:t>(unless the assignee shall already be a Lender hereunder), the processing and recordation fee referred to in paragraph (b)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 xml:space="preserve">and any written consent to such assignment required by paragraph </w:t>
      </w:r>
      <w:bookmarkStart w:id="1180" w:name="docxtextref1965"/>
      <w:bookmarkEnd w:id="118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9.04</w:t>
      </w:r>
      <w:r>
        <w:rPr>
          <w:rFonts w:ascii="Times New Roman;serif" w:hAnsi="Times New Roman;serif"/>
          <w:b w:val="false"/>
          <w:sz w:val="22"/>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sz w:val="20"/>
        </w:rPr>
      </w:pPr>
      <w:bookmarkStart w:id="1181" w:name="docxtextref1975"/>
      <w:bookmarkEnd w:id="1181"/>
      <w:r>
        <w:rPr>
          <w:rFonts w:ascii="Times New Roman;serif" w:hAnsi="Times New Roman;serif"/>
          <w:b w:val="false"/>
          <w:sz w:val="22"/>
        </w:rPr>
        <w:t>(c) (i) Any Lender may, without the consent of Bidco, the Borrowers, the Administrative Agent, the Issuing Banks or the Swingline Lender, sell participations to one or more banks or other Persons (other than to a Person that is not an Eligible Assignee) (a “</w:t>
      </w:r>
      <w:r>
        <w:rPr>
          <w:rFonts w:ascii="Times New Roman;serif" w:hAnsi="Times New Roman;serif"/>
          <w:b w:val="false"/>
          <w:sz w:val="22"/>
          <w:u w:val="single"/>
        </w:rPr>
        <w:t>Participant</w:t>
      </w:r>
      <w:r>
        <w:rPr>
          <w:rFonts w:ascii="Times New Roman" w:hAnsi="Times New Roman"/>
          <w:sz w:val="20"/>
        </w:rPr>
        <w:t>”</w:t>
      </w:r>
      <w:r>
        <w:rPr>
          <w:rFonts w:ascii="Times New Roman;serif" w:hAnsi="Times New Roman;serif"/>
          <w:b w:val="false"/>
          <w:sz w:val="22"/>
        </w:rPr>
        <w:t xml:space="preserve">) in all or a portion of such Lender’s rights and obligations under this Agreement (including all or a portion of its Commitment and the Loans owing to it);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(A)</w:t>
      </w:r>
      <w:r>
        <w:rPr>
          <w:rFonts w:ascii="Times New Roman" w:hAnsi="Times New Roman"/>
          <w:sz w:val="20"/>
        </w:rPr>
        <w:t xml:space="preserve"> </w:t>
      </w:r>
      <w:r>
        <w:rPr>
          <w:rFonts w:ascii="Times New Roman;serif" w:hAnsi="Times New Roman;serif"/>
          <w:b w:val="false"/>
          <w:sz w:val="22"/>
        </w:rPr>
        <w:t xml:space="preserve">such Lender’s obligations under this Agreement shall remain unchanged, </w:t>
      </w:r>
      <w:bookmarkStart w:id="1182" w:name="docxtextref1976"/>
      <w:bookmarkEnd w:id="1182"/>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such Lender shall remain solely responsible to the other parties hereto for the performance of such obligations and </w:t>
      </w:r>
      <w:bookmarkStart w:id="1183" w:name="docxtextref1977"/>
      <w:bookmarkEnd w:id="1183"/>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Holdings, Bidco,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agreement or instrument may provide that such Lender will not, without the consent of the Participant, agree to any amendment, modification or waiver described in clauses (i), (ii), (iii), (vi) and (vii) of the first proviso to </w:t>
      </w:r>
      <w:r>
        <w:rPr>
          <w:rFonts w:ascii="Times New Roman;serif" w:hAnsi="Times New Roman;serif"/>
          <w:b w:val="false"/>
          <w:sz w:val="22"/>
          <w:u w:val="single"/>
        </w:rPr>
        <w:t>Section 9.02(b)</w:t>
      </w:r>
      <w:r>
        <w:rPr>
          <w:rFonts w:ascii="Times New Roman" w:hAnsi="Times New Roman"/>
          <w:sz w:val="20"/>
        </w:rPr>
        <w:t xml:space="preserve"> </w:t>
      </w:r>
      <w:r>
        <w:rPr>
          <w:rFonts w:ascii="Times New Roman;serif" w:hAnsi="Times New Roman;serif"/>
          <w:b w:val="false"/>
          <w:sz w:val="22"/>
        </w:rPr>
        <w:t xml:space="preserve">that directly and adversely affects such Participant. Subject to paragraph (c)(iii) of this Section, Bidco agrees that each Participant shall be entitled to the benefits of </w:t>
      </w:r>
      <w:r>
        <w:rPr>
          <w:rFonts w:ascii="Times New Roman;serif" w:hAnsi="Times New Roman;serif"/>
          <w:b w:val="false"/>
          <w:sz w:val="22"/>
          <w:u w:val="single"/>
        </w:rPr>
        <w:t>Sections 2.14</w:t>
      </w:r>
      <w:r>
        <w:rPr>
          <w:rFonts w:ascii="Times New Roman;serif" w:hAnsi="Times New Roman;serif"/>
          <w:b w:val="false"/>
          <w:sz w:val="22"/>
        </w:rPr>
        <w:t xml:space="preserve">, </w:t>
      </w:r>
      <w:r>
        <w:rPr>
          <w:rFonts w:ascii="Times New Roman;serif" w:hAnsi="Times New Roman;serif"/>
          <w:b w:val="false"/>
          <w:sz w:val="22"/>
          <w:u w:val="single"/>
        </w:rPr>
        <w:t>2.15</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2.16</w:t>
      </w:r>
      <w:r>
        <w:rPr>
          <w:rFonts w:ascii="Times New Roman" w:hAnsi="Times New Roman"/>
          <w:sz w:val="20"/>
        </w:rPr>
        <w:t xml:space="preserve"> </w:t>
      </w:r>
      <w:r>
        <w:rPr>
          <w:rFonts w:ascii="Times New Roman;serif" w:hAnsi="Times New Roman;serif"/>
          <w:b w:val="false"/>
          <w:sz w:val="22"/>
        </w:rPr>
        <w:t xml:space="preserve">(subject to the obligations and limitations thereof and </w:t>
      </w:r>
      <w:r>
        <w:rPr>
          <w:rFonts w:ascii="Times New Roman;serif" w:hAnsi="Times New Roman;serif"/>
          <w:b w:val="false"/>
          <w:sz w:val="22"/>
          <w:u w:val="single"/>
        </w:rPr>
        <w:t>Section 2.18</w:t>
      </w:r>
      <w:r>
        <w:rPr>
          <w:rFonts w:ascii="Times New Roman;serif" w:hAnsi="Times New Roman;serif"/>
          <w:b w:val="false"/>
          <w:sz w:val="22"/>
        </w:rPr>
        <w:t xml:space="preserve">, it being understood that any tax forms required by </w:t>
      </w:r>
      <w:r>
        <w:rPr>
          <w:rFonts w:ascii="Times New Roman;serif" w:hAnsi="Times New Roman;serif"/>
          <w:b w:val="false"/>
          <w:sz w:val="22"/>
          <w:u w:val="single"/>
        </w:rPr>
        <w:t>Section 2.16(e)</w:t>
      </w:r>
      <w:r>
        <w:rPr>
          <w:rFonts w:ascii="Times New Roman" w:hAnsi="Times New Roman"/>
          <w:sz w:val="20"/>
        </w:rPr>
        <w:t xml:space="preserve"> </w:t>
      </w:r>
      <w:r>
        <w:rPr>
          <w:rFonts w:ascii="Times New Roman;serif" w:hAnsi="Times New Roman;serif"/>
          <w:b w:val="false"/>
          <w:sz w:val="22"/>
        </w:rPr>
        <w:t xml:space="preserve">shall be provided solely to the participating Lender) to the same extent as if it were a Lender and had acquired its interest by assignment pursuant to paragraph </w:t>
      </w:r>
      <w:bookmarkStart w:id="1184" w:name="docxtextref1973"/>
      <w:bookmarkEnd w:id="1184"/>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9.04</w:t>
      </w:r>
      <w:r>
        <w:rPr>
          <w:rFonts w:ascii="Times New Roman;serif" w:hAnsi="Times New Roman;serif"/>
          <w:b w:val="false"/>
          <w:sz w:val="22"/>
        </w:rPr>
        <w:t>. To the extent permitted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by law, each Participant also shall be entitled to the benefits of </w:t>
      </w:r>
      <w:r>
        <w:rPr>
          <w:rFonts w:ascii="Times New Roman;serif" w:hAnsi="Times New Roman;serif"/>
          <w:b w:val="false"/>
          <w:sz w:val="22"/>
          <w:u w:val="single"/>
        </w:rPr>
        <w:t>Section 9.08</w:t>
      </w:r>
      <w:r>
        <w:rPr>
          <w:rFonts w:ascii="Times New Roman" w:hAnsi="Times New Roman"/>
          <w:sz w:val="20"/>
        </w:rPr>
        <w:t xml:space="preserve"> </w:t>
      </w:r>
      <w:r>
        <w:rPr>
          <w:rFonts w:ascii="Times New Roman;serif" w:hAnsi="Times New Roman;serif"/>
          <w:b w:val="false"/>
          <w:sz w:val="22"/>
        </w:rPr>
        <w:t xml:space="preserve">as though it were a Lender;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such Participant agrees to be subject to </w:t>
      </w:r>
      <w:r>
        <w:rPr>
          <w:rFonts w:ascii="Times New Roman;serif" w:hAnsi="Times New Roman;serif"/>
          <w:b w:val="false"/>
          <w:sz w:val="22"/>
          <w:u w:val="single"/>
        </w:rPr>
        <w:t>Section 2.17(c)</w:t>
      </w:r>
      <w:r>
        <w:rPr>
          <w:rFonts w:ascii="Times New Roman" w:hAnsi="Times New Roman"/>
          <w:sz w:val="20"/>
        </w:rPr>
        <w:t xml:space="preserve"> </w:t>
      </w:r>
      <w:r>
        <w:rPr>
          <w:rFonts w:ascii="Times New Roman;serif" w:hAnsi="Times New Roman;serif"/>
          <w:b w:val="false"/>
          <w:sz w:val="22"/>
        </w:rPr>
        <w:t>as though it were a Lender.</w:t>
      </w:r>
    </w:p>
    <w:p>
      <w:pPr>
        <w:pStyle w:val="TextBody"/>
        <w:bidi w:val="0"/>
        <w:spacing w:before="0" w:after="240"/>
        <w:jc w:val="both"/>
        <w:rPr>
          <w:rFonts w:ascii="Times New Roman" w:hAnsi="Times New Roman"/>
          <w:sz w:val="20"/>
        </w:rPr>
      </w:pPr>
      <w:r>
        <w:rPr>
          <w:rFonts w:ascii="Times New Roman;serif" w:hAnsi="Times New Roman;serif"/>
          <w:b w:val="false"/>
          <w:sz w:val="22"/>
        </w:rPr>
        <w:t>(ii) Each Lender that sells a participation shall, acting solely for this purpose as a non-fiduciary agent of Bidco, maintain a register on which it enters the name and address of each Participant and the principal amounts (and related interest amounts) of each participant’s interest in the Loans or other obligations under this Agreement (the “</w:t>
      </w:r>
      <w:r>
        <w:rPr>
          <w:rFonts w:ascii="Times New Roman;serif" w:hAnsi="Times New Roman;serif"/>
          <w:b w:val="false"/>
          <w:sz w:val="22"/>
          <w:u w:val="single"/>
        </w:rPr>
        <w:t>Participant Register</w:t>
      </w:r>
      <w:r>
        <w:rPr>
          <w:rFonts w:ascii="Times New Roman" w:hAnsi="Times New Roman"/>
          <w:sz w:val="20"/>
        </w:rPr>
        <w:t>”</w:t>
      </w:r>
      <w:r>
        <w:rPr>
          <w:rFonts w:ascii="Times New Roman;serif" w:hAnsi="Times New Roman;serif"/>
          <w:b w:val="false"/>
          <w:sz w:val="22"/>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for U.S. federal income tax purposes.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(iii) A Participant (other than a Revolving Lender pursuant to </w:t>
      </w:r>
      <w:r>
        <w:rPr>
          <w:rFonts w:ascii="Times New Roman;serif" w:hAnsi="Times New Roman;serif"/>
          <w:b w:val="false"/>
          <w:sz w:val="22"/>
          <w:u w:val="single"/>
        </w:rPr>
        <w:t>Section 2.04(e)</w:t>
      </w:r>
      <w:r>
        <w:rPr>
          <w:rFonts w:ascii="Times New Roman;serif" w:hAnsi="Times New Roman;serif"/>
          <w:b w:val="false"/>
          <w:sz w:val="22"/>
        </w:rPr>
        <w:t xml:space="preserve">) shall not be entitled to receive any greater payment under </w:t>
      </w:r>
      <w:r>
        <w:rPr>
          <w:rFonts w:ascii="Times New Roman;serif" w:hAnsi="Times New Roman;serif"/>
          <w:b w:val="false"/>
          <w:sz w:val="22"/>
          <w:u w:val="single"/>
        </w:rPr>
        <w:t>Section 2.13</w:t>
      </w:r>
      <w:r>
        <w:rPr>
          <w:rFonts w:ascii="Times New Roman;serif" w:hAnsi="Times New Roman;serif"/>
          <w:b w:val="false"/>
          <w:sz w:val="22"/>
        </w:rPr>
        <w:t xml:space="preserve">, </w:t>
      </w:r>
      <w:r>
        <w:rPr>
          <w:rFonts w:ascii="Times New Roman;serif" w:hAnsi="Times New Roman;serif"/>
          <w:b w:val="false"/>
          <w:sz w:val="22"/>
          <w:u w:val="single"/>
        </w:rPr>
        <w:t>2.14</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2.15</w:t>
      </w:r>
      <w:r>
        <w:rPr>
          <w:rFonts w:ascii="Times New Roman" w:hAnsi="Times New Roman"/>
          <w:sz w:val="20"/>
        </w:rPr>
        <w:t xml:space="preserve"> </w:t>
      </w:r>
      <w:r>
        <w:rPr>
          <w:rFonts w:ascii="Times New Roman;serif" w:hAnsi="Times New Roman;serif"/>
          <w:b w:val="false"/>
          <w:sz w:val="22"/>
        </w:rPr>
        <w:t>than the applicable Lender would have been entitled to receive with respect to the participation sold to such Participant, unless the sale of the participation to such Participant is made with Bidco’s prior written consent.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Any Lender may, without the consent of Bidco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 xml:space="preserve">shall not apply to any such pledge or assignment of a security interest,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bookmarkStart w:id="1185" w:name="docxtextref1984"/>
      <w:bookmarkEnd w:id="1185"/>
      <w:r>
        <w:rPr>
          <w:rFonts w:ascii="Times New Roman;serif" w:hAnsi="Times New Roman;serif"/>
          <w:b w:val="false"/>
          <w:sz w:val="22"/>
        </w:rPr>
        <w:t>(e)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Bidco and the Administrative Agent, the applicable pro rata share of Loans previously requested but not funded by the Defaulting Lender, to each of which the applicable assignee and assignor hereby irrevocably consent), to (x)</w:t>
      </w:r>
      <w:r>
        <w:rPr>
          <w:rFonts w:ascii="Times New Roman" w:hAnsi="Times New Roman"/>
          <w:sz w:val="20"/>
        </w:rPr>
        <w:t xml:space="preserve"> </w:t>
      </w:r>
      <w:r>
        <w:rPr>
          <w:rFonts w:ascii="Times New Roman;serif" w:hAnsi="Times New Roman;serif"/>
          <w:b w:val="false"/>
          <w:sz w:val="22"/>
        </w:rPr>
        <w:t xml:space="preserve">pay and satisfy in full all payment liabilities then owed by such Defaulting Lender to the Administrative Agent or any Lender hereunder (and interest accrued thereon) and </w:t>
      </w:r>
      <w:bookmarkStart w:id="1186" w:name="docxtextref1985"/>
      <w:bookmarkEnd w:id="1186"/>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(f) Notwithstanding anything to the contrary herein, any Lender may, at any time, assign all or a portion of its rights and obligations under this Agreement to an Affiliated Lender subject to the following limitations:</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Affiliated Lenders (other than Affiliated Debt Funds) will not receive information provided solely to Lenders by the Administrative Agent or any Lender and will not be permitted to attend or participate in meetings attended solely by the Lenders and the Administrative Agent, other than the right to receives notices of Borrowings, notices of prepayments and other administrative notices in respect of its Loans or Commitments required to be delivered to Lenders pursuant to </w:t>
      </w:r>
      <w:r>
        <w:rPr>
          <w:rFonts w:ascii="Times New Roman;serif" w:hAnsi="Times New Roman;serif"/>
          <w:b w:val="false"/>
          <w:sz w:val="22"/>
          <w:u w:val="single"/>
        </w:rPr>
        <w:t>Article II</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87" w:name="docxtextref1990"/>
      <w:bookmarkEnd w:id="1187"/>
      <w:r>
        <w:rPr>
          <w:rFonts w:ascii="Times New Roman;serif" w:hAnsi="Times New Roman;serif"/>
          <w:b w:val="false"/>
          <w:sz w:val="22"/>
        </w:rPr>
        <w:t xml:space="preserve">(ii) for purposes of any amendment, waiver or modification of any Loan Document (including such modifications pursuant to </w:t>
      </w:r>
      <w:r>
        <w:rPr>
          <w:rFonts w:ascii="Times New Roman;serif" w:hAnsi="Times New Roman;serif"/>
          <w:b w:val="false"/>
          <w:sz w:val="22"/>
          <w:u w:val="single"/>
        </w:rPr>
        <w:t>Section 9.02</w:t>
      </w:r>
      <w:r>
        <w:rPr>
          <w:rFonts w:ascii="Times New Roman;serif" w:hAnsi="Times New Roman;serif"/>
          <w:b w:val="false"/>
          <w:sz w:val="22"/>
        </w:rPr>
        <w:t xml:space="preserve">), or, subject to </w:t>
      </w:r>
      <w:r>
        <w:rPr>
          <w:rFonts w:ascii="Times New Roman;serif" w:hAnsi="Times New Roman;serif"/>
          <w:b w:val="false"/>
          <w:sz w:val="22"/>
          <w:u w:val="single"/>
        </w:rPr>
        <w:t>Section 9.02(e)</w:t>
      </w:r>
      <w:r>
        <w:rPr>
          <w:rFonts w:ascii="Times New Roman;serif" w:hAnsi="Times New Roman;serif"/>
          <w:b w:val="false"/>
          <w:sz w:val="22"/>
        </w:rPr>
        <w:t>, any plan of reorganization pursuant to the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w:t>
      </w:r>
      <w:r>
        <w:rPr>
          <w:rFonts w:ascii="Times New Roman" w:hAnsi="Times New Roman"/>
          <w:sz w:val="20"/>
        </w:rPr>
        <w:t xml:space="preserve"> </w:t>
      </w:r>
      <w:r>
        <w:rPr>
          <w:rFonts w:ascii="Times New Roman;serif" w:hAnsi="Times New Roman;serif"/>
          <w:b w:val="false"/>
          <w:sz w:val="22"/>
        </w:rPr>
        <w:t xml:space="preserve">deemed not to be in good faith and </w:t>
      </w:r>
      <w:bookmarkStart w:id="1188" w:name="docxtextref1991"/>
      <w:bookmarkEnd w:id="1188"/>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designated” pursuant to Section 1126(e) of the Bankruptcy Code such that the vote is not counted in determining whether the applicable class has accepted or rejected such plan in accordance with Section 1126(c) of the Bankruptcy Code;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Affiliated Debt Funds, will not be subject to such voting limitations and will be entitled to vote as any other Lender;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Affiliated Debt Funds may not account for more than </w:t>
      </w:r>
      <w:bookmarkStart w:id="1189" w:name="docxtextref1989"/>
      <w:bookmarkEnd w:id="1189"/>
      <w:r>
        <w:rPr>
          <w:rFonts w:ascii="Times New Roman;serif" w:hAnsi="Times New Roman;serif"/>
          <w:b w:val="false"/>
          <w:sz w:val="22"/>
        </w:rPr>
        <w:t>49.9% of the “Required Lenders” in any Required Lender vote;</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(iii) the aggregate principal amount of Term Loans purchased by assignment pursuant to this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and held at any one time by Affiliated Lenders (other than Affiliated Debt Funds) may not exceed 25% of the aggregate principal amount of all Term Loans outstanding at the time of such purchase, after giving effect to any substantially simultaneous cancellations thereof;</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(iv) Affiliated Lenders shall clearly identify themselves as an Affiliated Lender in the loan assignment documentation. In no event shall the Administrative Agent be obligated to ascertain, monitor or inquire as to whether any lender is an Affiliated Lender or Affiliated Debt Fund nor shall the Administrative Agent be obligated to monitor the number of Affiliated Lenders or Affiliated Debt Funds or the aggregate amount of Term Loans or Incremental Term Loans held by Affiliated Lenders or Affiliated Debt Funds;</w:t>
      </w:r>
    </w:p>
    <w:p>
      <w:pPr>
        <w:pStyle w:val="TextBody"/>
        <w:bidi w:val="0"/>
        <w:spacing w:before="0" w:after="240"/>
        <w:jc w:val="both"/>
        <w:rPr>
          <w:rFonts w:ascii="Times New Roman" w:hAnsi="Times New Roman"/>
          <w:sz w:val="20"/>
        </w:rPr>
      </w:pPr>
      <w:bookmarkStart w:id="1190" w:name="docxtextref1993"/>
      <w:bookmarkEnd w:id="1190"/>
      <w:r>
        <w:rPr>
          <w:rFonts w:ascii="Times New Roman;serif" w:hAnsi="Times New Roman;serif"/>
          <w:b w:val="false"/>
          <w:sz w:val="22"/>
        </w:rPr>
        <w:t>(v) each Lender making such assignment to such Affiliated Lender acknowledges and agrees that in connection with such assignment, (1)</w:t>
      </w:r>
      <w:r>
        <w:rPr>
          <w:rFonts w:ascii="Times New Roman" w:hAnsi="Times New Roman"/>
          <w:sz w:val="20"/>
        </w:rPr>
        <w:t xml:space="preserve"> </w:t>
      </w:r>
      <w:r>
        <w:rPr>
          <w:rFonts w:ascii="Times New Roman;serif" w:hAnsi="Times New Roman;serif"/>
          <w:b w:val="false"/>
          <w:sz w:val="22"/>
        </w:rPr>
        <w:t xml:space="preserve">such Affiliated Lender then may have, and later may come into possession of Material Non-Public Information, </w:t>
      </w:r>
      <w:bookmarkStart w:id="1191" w:name="docxtextref1994"/>
      <w:bookmarkEnd w:id="1191"/>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and</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(vi) Affiliated Lenders may not purchase Revolving Loans, including pursuant to this </w:t>
      </w:r>
      <w:r>
        <w:rPr>
          <w:rFonts w:ascii="Times New Roman;serif" w:hAnsi="Times New Roman;serif"/>
          <w:b w:val="false"/>
          <w:sz w:val="22"/>
          <w:u w:val="single"/>
        </w:rPr>
        <w:t>Section 9.04</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192" w:name="docxtextref1999"/>
      <w:bookmarkEnd w:id="1192"/>
      <w:r>
        <w:rPr>
          <w:rFonts w:ascii="Times New Roman;serif" w:hAnsi="Times New Roman;serif"/>
          <w:b w:val="false"/>
          <w:sz w:val="22"/>
        </w:rPr>
        <w:t>(g) Any Lender may, at any time, assign all or a portion of its Term Loans (but not Revolving Loans) to Holdings or any of its subsidiaries, through (x)</w:t>
      </w:r>
      <w:r>
        <w:rPr>
          <w:rFonts w:ascii="Times New Roman" w:hAnsi="Times New Roman"/>
          <w:sz w:val="20"/>
        </w:rPr>
        <w:t xml:space="preserve"> </w:t>
      </w:r>
      <w:r>
        <w:rPr>
          <w:rFonts w:ascii="Times New Roman;serif" w:hAnsi="Times New Roman;serif"/>
          <w:b w:val="false"/>
          <w:sz w:val="22"/>
        </w:rPr>
        <w:t xml:space="preserve">Dutch auctions or other offers to purchase open to all Lenders on a pro rata basis in accordance with procedures of the type described in </w:t>
      </w:r>
      <w:r>
        <w:rPr>
          <w:rFonts w:ascii="Times New Roman;serif" w:hAnsi="Times New Roman;serif"/>
          <w:b w:val="false"/>
          <w:sz w:val="22"/>
          <w:u w:val="single"/>
        </w:rPr>
        <w:t>Section 2.10(a)(ii)</w:t>
      </w:r>
      <w:r>
        <w:rPr>
          <w:rFonts w:ascii="Times New Roman" w:hAnsi="Times New Roman"/>
          <w:sz w:val="20"/>
        </w:rPr>
        <w:t xml:space="preserve"> </w:t>
      </w:r>
      <w:r>
        <w:rPr>
          <w:rFonts w:ascii="Times New Roman;serif" w:hAnsi="Times New Roman;serif"/>
          <w:b w:val="false"/>
          <w:sz w:val="22"/>
        </w:rPr>
        <w:t xml:space="preserve">or other customary procedures acceptable to the Administrative Agent and/or </w:t>
      </w:r>
      <w:bookmarkStart w:id="1193" w:name="docxtextref2000"/>
      <w:bookmarkEnd w:id="119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open market purchases on a non-pro rata basis,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t>
      </w:r>
      <w:bookmarkStart w:id="1194" w:name="docxtextref2001"/>
      <w:bookmarkEnd w:id="1194"/>
      <w:r>
        <w:rPr>
          <w:rFonts w:ascii="Times New Roman;serif" w:hAnsi="Times New Roman;serif"/>
          <w:b w:val="false"/>
          <w:sz w:val="22"/>
        </w:rPr>
        <w:t>(i)</w:t>
      </w:r>
      <w:r>
        <w:rPr>
          <w:rFonts w:ascii="Times New Roman" w:hAnsi="Times New Roman"/>
          <w:sz w:val="20"/>
        </w:rPr>
        <w:t xml:space="preserve"> </w:t>
      </w:r>
      <w:r>
        <w:rPr>
          <w:rFonts w:ascii="Times New Roman;serif" w:hAnsi="Times New Roman;serif"/>
          <w:b w:val="false"/>
          <w:sz w:val="22"/>
        </w:rPr>
        <w:t xml:space="preserve">the Borrowers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w:t>
      </w:r>
      <w:bookmarkStart w:id="1195" w:name="docxtextref1997"/>
      <w:bookmarkEnd w:id="1195"/>
      <w:r>
        <w:rPr>
          <w:rFonts w:ascii="Times New Roman;serif" w:hAnsi="Times New Roman;serif"/>
          <w:b w:val="false"/>
          <w:sz w:val="22"/>
        </w:rPr>
        <w:t>(1)</w:t>
      </w:r>
      <w:r>
        <w:rPr>
          <w:rFonts w:ascii="Times New Roman" w:hAnsi="Times New Roman"/>
          <w:sz w:val="20"/>
        </w:rPr>
        <w:t xml:space="preserve"> </w:t>
      </w:r>
      <w:r>
        <w:rPr>
          <w:rFonts w:ascii="Times New Roman;serif" w:hAnsi="Times New Roman;serif"/>
          <w:b w:val="false"/>
          <w:sz w:val="22"/>
        </w:rPr>
        <w:t xml:space="preserve">Holdings or its subsidiaries then may have, and later may come into possession of Material Non-Public Information, </w:t>
      </w:r>
      <w:bookmarkStart w:id="1196" w:name="docxtextref1998"/>
      <w:bookmarkEnd w:id="1196"/>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w:t>
      </w:r>
    </w:p>
    <w:p>
      <w:pPr>
        <w:pStyle w:val="TextBody"/>
        <w:bidi w:val="0"/>
        <w:spacing w:before="0" w:after="240"/>
        <w:jc w:val="both"/>
        <w:rPr>
          <w:rFonts w:ascii="Times New Roman" w:hAnsi="Times New Roman"/>
          <w:sz w:val="20"/>
        </w:rPr>
      </w:pPr>
      <w:bookmarkStart w:id="1197" w:name="docxtextref2006"/>
      <w:bookmarkEnd w:id="1197"/>
      <w:r>
        <w:rPr>
          <w:rFonts w:ascii="Times New Roman;serif" w:hAnsi="Times New Roman;serif"/>
          <w:b w:val="false"/>
          <w:sz w:val="22"/>
        </w:rPr>
        <w:t xml:space="preserve">(h) Notwithstanding the foregoing, no assignment may be made or participation sold to a Disqualified Lender without the prior written consent of Bidco;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Bidco to such Lender and the Administrative Agent and otherwise in accordance with </w:t>
      </w:r>
      <w:r>
        <w:rPr>
          <w:rFonts w:ascii="Times New Roman;serif" w:hAnsi="Times New Roman;serif"/>
          <w:b w:val="false"/>
          <w:sz w:val="22"/>
          <w:u w:val="single"/>
        </w:rPr>
        <w:t>Section 2.18(b)</w:t>
      </w:r>
      <w:r>
        <w:rPr>
          <w:rFonts w:ascii="Times New Roman;serif" w:hAnsi="Times New Roman;serif"/>
          <w:b w:val="false"/>
          <w:sz w:val="22"/>
        </w:rPr>
        <w:t>, as applicable: (1)</w:t>
      </w:r>
      <w:r>
        <w:rPr>
          <w:rFonts w:ascii="Times New Roman" w:hAnsi="Times New Roman"/>
          <w:sz w:val="20"/>
        </w:rPr>
        <w:t xml:space="preserve"> </w:t>
      </w:r>
      <w:r>
        <w:rPr>
          <w:rFonts w:ascii="Times New Roman;serif" w:hAnsi="Times New Roman;serif"/>
          <w:b w:val="false"/>
          <w:sz w:val="22"/>
        </w:rPr>
        <w:t xml:space="preserve">such Lender shall promptly assign all Loans and Commitments held by such Lender to an Eligible Assignee;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t>
      </w:r>
      <w:bookmarkStart w:id="1198" w:name="docxtextref2008"/>
      <w:bookmarkEnd w:id="1198"/>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the Administrative Agent shall not have any obligation to Bidco, such Lender or any other Person to find such a replacement Lender, </w:t>
      </w:r>
      <w:bookmarkStart w:id="1199" w:name="docxtextref2009"/>
      <w:bookmarkEnd w:id="1199"/>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Bidco shall not have any obligation to such Disqualified Lender or any other Person to find such a replacement Lender or accept or consent to any such assignment to itself or any other Person subject to Bidco’s consent in accordance with </w:t>
      </w:r>
      <w:r>
        <w:rPr>
          <w:rFonts w:ascii="Times New Roman;serif" w:hAnsi="Times New Roman;serif"/>
          <w:b w:val="false"/>
          <w:sz w:val="22"/>
          <w:u w:val="single"/>
        </w:rPr>
        <w:t>Section 9.04(b)(i)</w:t>
      </w:r>
      <w:r>
        <w:rPr>
          <w:rFonts w:ascii="Times New Roman" w:hAnsi="Times New Roman"/>
          <w:sz w:val="20"/>
        </w:rPr>
        <w:t xml:space="preserve"> </w:t>
      </w:r>
      <w:r>
        <w:rPr>
          <w:rFonts w:ascii="Times New Roman;serif" w:hAnsi="Times New Roman;serif"/>
          <w:b w:val="false"/>
          <w:sz w:val="22"/>
        </w:rPr>
        <w:t xml:space="preserve">and </w:t>
      </w:r>
      <w:bookmarkStart w:id="1200" w:name="docxtextref2010"/>
      <w:bookmarkEnd w:id="1200"/>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the assignment of such Loans and/or Commitments, as the case may be, shall be at par plus accrued and unpaid interest and fees; </w:t>
      </w:r>
      <w:bookmarkStart w:id="1201" w:name="docxtextref2007"/>
      <w:bookmarkEnd w:id="1201"/>
      <w:r>
        <w:rPr>
          <w:rFonts w:ascii="Times New Roman;serif" w:hAnsi="Times New Roman;serif"/>
          <w:b w:val="false"/>
          <w:sz w:val="22"/>
        </w:rPr>
        <w:t>(2)</w:t>
      </w:r>
      <w:r>
        <w:rPr>
          <w:rFonts w:ascii="Times New Roman" w:hAnsi="Times New Roman"/>
          <w:sz w:val="20"/>
        </w:rPr>
        <w:t xml:space="preserve"> </w:t>
      </w:r>
      <w:r>
        <w:rPr>
          <w:rFonts w:ascii="Times New Roman;serif" w:hAnsi="Times New Roman;serif"/>
          <w:b w:val="false"/>
          <w:sz w:val="22"/>
        </w:rPr>
        <w:t xml:space="preserve">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w:t>
      </w:r>
      <w:r>
        <w:rPr>
          <w:rFonts w:ascii="Times New Roman;serif" w:hAnsi="Times New Roman;serif"/>
          <w:b w:val="false"/>
          <w:sz w:val="22"/>
          <w:u w:val="single"/>
        </w:rPr>
        <w:t>Section 9.02</w:t>
      </w:r>
      <w:r>
        <w:rPr>
          <w:rFonts w:ascii="Times New Roman;serif" w:hAnsi="Times New Roman;serif"/>
          <w:b w:val="false"/>
          <w:sz w:val="22"/>
        </w:rPr>
        <w:t xml:space="preserve">);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t>
      </w:r>
      <w:bookmarkStart w:id="1202" w:name="docxtextref2011"/>
      <w:bookmarkEnd w:id="1202"/>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the Commitment of any Disqualified Lender may not be increased or extended without the consent of such Lender and </w:t>
      </w:r>
      <w:bookmarkStart w:id="1203" w:name="docxtextref2012"/>
      <w:bookmarkEnd w:id="1203"/>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-209-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Times New Roman;serif" w:hAnsi="Times New Roman;serif"/>
          <w:b w:val="false"/>
          <w:sz w:val="22"/>
          <w:u w:val="single"/>
        </w:rPr>
        <w:t>Article II</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 Notwithstanding the foregoing, any Affiliated Lender shall be permitted, at its option, to contribute any Term Loans so assigned to such Affiliated Lender pursuant to this </w:t>
      </w:r>
      <w:r>
        <w:rPr>
          <w:rFonts w:ascii="Times New Roman;serif" w:hAnsi="Times New Roman;serif"/>
          <w:b w:val="false"/>
          <w:sz w:val="22"/>
          <w:u w:val="single"/>
        </w:rPr>
        <w:t>Section 9.04</w:t>
      </w:r>
      <w:r>
        <w:rPr>
          <w:rFonts w:ascii="Times New Roman" w:hAnsi="Times New Roman"/>
          <w:sz w:val="20"/>
        </w:rPr>
        <w:t xml:space="preserve"> </w:t>
      </w:r>
      <w:r>
        <w:rPr>
          <w:rFonts w:ascii="Times New Roman;serif" w:hAnsi="Times New Roman;serif"/>
          <w:b w:val="false"/>
          <w:sz w:val="22"/>
        </w:rPr>
        <w:t xml:space="preserve">to Holdings or any of its subsidiaries for purposes of cancellation, which contribution may be made (including, with Bidco’s consent, to Bidco, whether through Holdings or any Intermediate Parent or otherwise), in exchange for Qualified Equity Interests of Holdings, any Intermediate Parent or Bidco or Indebtedness of Bidco to the extent such Indebtedness is permitted to be incurred pursuant to </w:t>
      </w:r>
      <w:r>
        <w:rPr>
          <w:rFonts w:ascii="Times New Roman;serif" w:hAnsi="Times New Roman;serif"/>
          <w:b w:val="false"/>
          <w:sz w:val="22"/>
          <w:u w:val="single"/>
        </w:rPr>
        <w:t>Section 6.01</w:t>
      </w:r>
      <w:r>
        <w:rPr>
          <w:rFonts w:ascii="Times New Roman" w:hAnsi="Times New Roman"/>
          <w:sz w:val="20"/>
        </w:rPr>
        <w:t xml:space="preserve"> </w:t>
      </w:r>
      <w:r>
        <w:rPr>
          <w:rFonts w:ascii="Times New Roman;serif" w:hAnsi="Times New Roman;serif"/>
          <w:b w:val="false"/>
          <w:sz w:val="22"/>
        </w:rPr>
        <w:t>at such time.</w:t>
      </w:r>
    </w:p>
    <w:p>
      <w:pPr>
        <w:pStyle w:val="TextBody"/>
        <w:bidi w:val="0"/>
        <w:spacing w:before="0" w:after="240"/>
        <w:jc w:val="both"/>
        <w:rPr>
          <w:rFonts w:ascii="Times New Roman" w:hAnsi="Times New Roman"/>
          <w:sz w:val="20"/>
        </w:rPr>
      </w:pPr>
      <w:r>
        <w:rPr>
          <w:rFonts w:ascii="Times New Roman;serif" w:hAnsi="Times New Roman;serif"/>
          <w:b w:val="false"/>
          <w:sz w:val="22"/>
        </w:rPr>
        <w:t>(j) Notwithstanding anything to the contrary in any Loan Document, on or prior to the expiry of the Certain Funds Period: (i) any assignment transfer, sub-participation or other syndication by a Lender of all or a portion of its rights and obligations under this Agreement (including all or a portion of its Commitment and the Loans at the time owing to it) shall require the prior written consent of Bidco (in its sole discretion) and (ii) if any Lender as at the date of this Agreement (an “</w:t>
      </w:r>
      <w:r>
        <w:rPr>
          <w:rFonts w:ascii="Times New Roman;serif" w:hAnsi="Times New Roman;serif"/>
          <w:b w:val="false"/>
          <w:sz w:val="22"/>
          <w:u w:val="single"/>
        </w:rPr>
        <w:t>Existing Lender</w:t>
      </w:r>
      <w:r>
        <w:rPr>
          <w:rFonts w:ascii="Times New Roman" w:hAnsi="Times New Roman"/>
          <w:sz w:val="20"/>
        </w:rPr>
        <w:t>”</w:t>
      </w:r>
      <w:r>
        <w:rPr>
          <w:rFonts w:ascii="Times New Roman;serif" w:hAnsi="Times New Roman;serif"/>
          <w:b w:val="false"/>
          <w:sz w:val="22"/>
        </w:rPr>
        <w:t>) assigns, transfers, sub-participates or syndicates its rights and obligations under this Agreement (including all or a portion of its Commitment and the Loans at the time owing to it) to an Eligible Assignee, the Existing Lender shall remain on risk and liable to fund any amount which any Eligible Assignee (or subsequent Eligible Assignee) is obliged to fund during the Certain Funds Period but has failed to fund on that date, as if such transfer never occurred.</w:t>
      </w:r>
    </w:p>
    <w:p>
      <w:pPr>
        <w:pStyle w:val="TextBody"/>
        <w:bidi w:val="0"/>
        <w:spacing w:before="0" w:after="240"/>
        <w:jc w:val="both"/>
        <w:rPr>
          <w:rFonts w:ascii="Times New Roman" w:hAnsi="Times New Roman"/>
          <w:sz w:val="20"/>
        </w:rPr>
      </w:pPr>
      <w:r>
        <w:rPr>
          <w:rFonts w:ascii="Times New Roman;serif" w:hAnsi="Times New Roman;serif"/>
          <w:b w:val="false"/>
          <w:sz w:val="22"/>
        </w:rPr>
        <w:t>(k) Each party agrees that in case of any assignment, transfer and/or novation permitted under, and made in accordance with, the provisions of this Agreement or any Loan Document, any security interest provided pursuant to a Security Document and the guarantees given under this Agreement shall be preserved for the benefit of the Collateral Agent, the new Lender, the Participant and the remaining Secured Parties (including for purposes of article 1278 and article 1281 of the Luxembourg Civil Code).</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9.05 </w:t>
      </w:r>
      <w:r>
        <w:rPr>
          <w:rFonts w:ascii="Times New Roman;serif" w:hAnsi="Times New Roman;serif"/>
          <w:b w:val="false"/>
          <w:sz w:val="22"/>
          <w:u w:val="single"/>
        </w:rPr>
        <w:t>Survival</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w:t>
      </w:r>
      <w:r>
        <w:rPr>
          <w:rFonts w:ascii="Times New Roman;serif" w:hAnsi="Times New Roman;serif"/>
          <w:b w:val="false"/>
          <w:sz w:val="22"/>
          <w:u w:val="single"/>
        </w:rPr>
        <w:t>Sections 2.14</w:t>
      </w:r>
      <w:r>
        <w:rPr>
          <w:rFonts w:ascii="Times New Roman;serif" w:hAnsi="Times New Roman;serif"/>
          <w:b w:val="false"/>
          <w:sz w:val="22"/>
        </w:rPr>
        <w:t xml:space="preserve">, </w:t>
      </w:r>
      <w:r>
        <w:rPr>
          <w:rFonts w:ascii="Times New Roman;serif" w:hAnsi="Times New Roman;serif"/>
          <w:b w:val="false"/>
          <w:sz w:val="22"/>
          <w:u w:val="single"/>
        </w:rPr>
        <w:t>2.15</w:t>
      </w:r>
      <w:r>
        <w:rPr>
          <w:rFonts w:ascii="Times New Roman;serif" w:hAnsi="Times New Roman;serif"/>
          <w:b w:val="false"/>
          <w:sz w:val="22"/>
        </w:rPr>
        <w:t xml:space="preserve">, </w:t>
      </w:r>
      <w:r>
        <w:rPr>
          <w:rFonts w:ascii="Times New Roman;serif" w:hAnsi="Times New Roman;serif"/>
          <w:b w:val="false"/>
          <w:sz w:val="22"/>
          <w:u w:val="single"/>
        </w:rPr>
        <w:t>2.16</w:t>
      </w:r>
      <w:r>
        <w:rPr>
          <w:rFonts w:ascii="Times New Roman;serif" w:hAnsi="Times New Roman;serif"/>
          <w:b w:val="false"/>
          <w:sz w:val="22"/>
        </w:rPr>
        <w:t xml:space="preserve">, </w:t>
      </w:r>
      <w:r>
        <w:rPr>
          <w:rFonts w:ascii="Times New Roman;serif" w:hAnsi="Times New Roman;serif"/>
          <w:b w:val="false"/>
          <w:sz w:val="22"/>
          <w:u w:val="single"/>
        </w:rPr>
        <w:t>8.11</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9.03</w:t>
      </w:r>
      <w:r>
        <w:rPr>
          <w:rFonts w:ascii="Times New Roman" w:hAnsi="Times New Roman"/>
          <w:sz w:val="20"/>
        </w:rPr>
        <w:t xml:space="preserve"> </w:t>
      </w:r>
      <w:r>
        <w:rPr>
          <w:rFonts w:ascii="Times New Roman;serif" w:hAnsi="Times New Roman;serif"/>
          <w:b w:val="false"/>
          <w:sz w:val="22"/>
        </w:rPr>
        <w:t xml:space="preserve">and </w:t>
      </w:r>
      <w:r>
        <w:rPr>
          <w:rFonts w:ascii="Times New Roman;serif" w:hAnsi="Times New Roman;serif"/>
          <w:b w:val="false"/>
          <w:sz w:val="22"/>
          <w:u w:val="single"/>
        </w:rPr>
        <w:t>Article VIII</w:t>
      </w:r>
      <w:r>
        <w:rPr>
          <w:rFonts w:ascii="Times New Roman" w:hAnsi="Times New Roman"/>
          <w:sz w:val="20"/>
        </w:rPr>
        <w:t xml:space="preserve"> </w:t>
      </w:r>
      <w:r>
        <w:rPr>
          <w:rFonts w:ascii="Times New Roman;serif" w:hAnsi="Times New Roman;serif"/>
          <w:b w:val="false"/>
          <w:sz w:val="22"/>
        </w:rPr>
        <w:t>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pursuant to arrangements reasonably satisfactory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to the applicable Issuing Bank),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serif" w:hAnsi="Times New Roman;serif"/>
          <w:b w:val="false"/>
          <w:sz w:val="22"/>
          <w:u w:val="single"/>
        </w:rPr>
        <w:t>Section 2.04(e)</w:t>
      </w:r>
      <w:r>
        <w:rPr>
          <w:rFonts w:ascii="Times New Roman" w:hAnsi="Times New Roman"/>
          <w:sz w:val="20"/>
        </w:rPr>
        <w:t xml:space="preserve"> </w:t>
      </w:r>
      <w:r>
        <w:rPr>
          <w:rFonts w:ascii="Times New Roman;serif" w:hAnsi="Times New Roman;serif"/>
          <w:b w:val="false"/>
          <w:sz w:val="22"/>
        </w:rPr>
        <w:t xml:space="preserve">or </w:t>
      </w:r>
      <w:r>
        <w:rPr>
          <w:rFonts w:ascii="Times New Roman;serif" w:hAnsi="Times New Roman;serif"/>
          <w:b w:val="false"/>
          <w:sz w:val="22"/>
          <w:u w:val="single"/>
        </w:rPr>
        <w:t>(f)</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9.06 </w:t>
      </w:r>
      <w:r>
        <w:rPr>
          <w:rFonts w:ascii="Times New Roman;serif" w:hAnsi="Times New Roman;serif"/>
          <w:b w:val="false"/>
          <w:sz w:val="22"/>
          <w:u w:val="single"/>
        </w:rPr>
        <w:t>Counterparts; Integration; Effectiveness</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sz w:val="22"/>
          <w:u w:val="single"/>
        </w:rPr>
        <w:t>Section 4.01</w:t>
      </w:r>
      <w:r>
        <w:rPr>
          <w:rFonts w:ascii="Times New Roman;serif" w:hAnsi="Times New Roman;serif"/>
          <w:b w:val="false"/>
          <w:sz w:val="22"/>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9.07 </w:t>
      </w:r>
      <w:r>
        <w:rPr>
          <w:rFonts w:ascii="Times New Roman;serif" w:hAnsi="Times New Roman;serif"/>
          <w:b w:val="false"/>
          <w:sz w:val="22"/>
          <w:u w:val="single"/>
        </w:rPr>
        <w:t>Severability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serif" w:hAnsi="Times New Roman;serif"/>
          <w:b w:val="false"/>
          <w:sz w:val="22"/>
          <w:u w:val="single"/>
        </w:rPr>
        <w:t>Section 9.07</w:t>
      </w:r>
      <w:r>
        <w:rPr>
          <w:rFonts w:ascii="Times New Roman;serif" w:hAnsi="Times New Roman;serif"/>
          <w:b w:val="false"/>
          <w:sz w:val="22"/>
        </w:rPr>
        <w:t>, if and to the extent that the enforceability of any provisions in this Agreement relating to Defaulting Lenders shall be limited by Debtor Relief Laws or the Legal Reservations, as determined in good faith by the Administrative Agent, the Issuing Banks or the Swingline Lender, as applicable, then such provisions shall be deemed to be in effect only to the extent not so limited.</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9.08 </w:t>
      </w:r>
      <w:r>
        <w:rPr>
          <w:rFonts w:ascii="Times New Roman;serif" w:hAnsi="Times New Roman;serif"/>
          <w:b w:val="false"/>
          <w:sz w:val="22"/>
          <w:u w:val="single"/>
        </w:rPr>
        <w:t>Right of Setoff</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204" w:name="docxtextref2027"/>
      <w:bookmarkEnd w:id="1204"/>
      <w:r>
        <w:rPr>
          <w:rFonts w:ascii="Times New Roman;serif" w:hAnsi="Times New Roman;serif"/>
          <w:b w:val="false"/>
          <w:sz w:val="22"/>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a Borrower (excluding, for the avoidance of doubt, any Settlement Assets except to effect Settlement Payments such Lender is obligated to make to a third party in respect of such Settlement Assets or as otherwise agreed in writing between the applicable Borrower and such Lender) against any of and all the obligations of the Borrowers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in the event that any Defaulting Lender shall exercise any such right of setoff, (x)</w:t>
      </w:r>
      <w:r>
        <w:rPr>
          <w:rFonts w:ascii="Times New Roman" w:hAnsi="Times New Roman"/>
          <w:sz w:val="20"/>
        </w:rPr>
        <w:t xml:space="preserve"> </w:t>
      </w:r>
      <w:r>
        <w:rPr>
          <w:rFonts w:ascii="Times New Roman;serif" w:hAnsi="Times New Roman;serif"/>
          <w:b w:val="false"/>
          <w:sz w:val="22"/>
        </w:rPr>
        <w:t xml:space="preserve">all amounts so set off shall be paid over immediately to the Administrative Agent for further application in accordance with the provisions of </w:t>
      </w:r>
      <w:r>
        <w:rPr>
          <w:rFonts w:ascii="Times New Roman;serif" w:hAnsi="Times New Roman;serif"/>
          <w:b w:val="false"/>
          <w:sz w:val="22"/>
          <w:u w:val="single"/>
        </w:rPr>
        <w:t>Section 2.21</w:t>
      </w:r>
      <w:r>
        <w:rPr>
          <w:rFonts w:ascii="Times New Roman" w:hAnsi="Times New Roman"/>
          <w:sz w:val="20"/>
        </w:rPr>
        <w:t xml:space="preserve"> </w:t>
      </w:r>
      <w:r>
        <w:rPr>
          <w:rFonts w:ascii="Times New Roman;serif" w:hAnsi="Times New Roman;serif"/>
          <w:b w:val="false"/>
          <w:sz w:val="22"/>
        </w:rPr>
        <w:t xml:space="preserve">and, pending such payment, shall be segregated by such Defaulting Lender from its other funds and deemed held in trust for the benefit of the Administrative Agent and the Lenders and </w:t>
      </w:r>
      <w:bookmarkStart w:id="1205" w:name="docxtextref2028"/>
      <w:bookmarkEnd w:id="1205"/>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the Defaulting Lender shall provide promptly to the Administrative Agent a statement describing in reasonable detail the Secured Obligations owing to such</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Defaulting Lender as to which it exercised such right of setoff. The applicable Lender and applicable Issuing Bank shall notify the applicable Borrower and the Administrative Agent of such setoff and application;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any failure to give or any delay in giving such notice shall not affect the validity of any such setoff and application under this </w:t>
      </w:r>
      <w:r>
        <w:rPr>
          <w:rFonts w:ascii="Times New Roman;serif" w:hAnsi="Times New Roman;serif"/>
          <w:b w:val="false"/>
          <w:sz w:val="22"/>
          <w:u w:val="single"/>
        </w:rPr>
        <w:t>Section 9.08</w:t>
      </w:r>
      <w:r>
        <w:rPr>
          <w:rFonts w:ascii="Times New Roman;serif" w:hAnsi="Times New Roman;serif"/>
          <w:b w:val="false"/>
          <w:sz w:val="22"/>
        </w:rPr>
        <w:t xml:space="preserve">. The rights of each Lender and each Issuing Bank under this </w:t>
      </w:r>
      <w:r>
        <w:rPr>
          <w:rFonts w:ascii="Times New Roman;serif" w:hAnsi="Times New Roman;serif"/>
          <w:b w:val="false"/>
          <w:sz w:val="22"/>
          <w:u w:val="single"/>
        </w:rPr>
        <w:t>Section 9.08</w:t>
      </w:r>
      <w:r>
        <w:rPr>
          <w:rFonts w:ascii="Times New Roman" w:hAnsi="Times New Roman"/>
          <w:sz w:val="20"/>
        </w:rPr>
        <w:t xml:space="preserve"> </w:t>
      </w:r>
      <w:r>
        <w:rPr>
          <w:rFonts w:ascii="Times New Roman;serif" w:hAnsi="Times New Roman;serif"/>
          <w:b w:val="false"/>
          <w:sz w:val="22"/>
        </w:rPr>
        <w:t>are in addition to other rights and remedies (including other rights of setoff) that such Lender or such Issuing Bank may have. Notwithstanding the foregoing, no amount set off from any Loan Party (other than the Borrowers) shall be applied to any Excluded Swap Obligation of such Loan Party (other than the Borrowers).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9.09 </w:t>
      </w:r>
      <w:r>
        <w:rPr>
          <w:rFonts w:ascii="Times New Roman;serif" w:hAnsi="Times New Roman;serif"/>
          <w:b w:val="false"/>
          <w:sz w:val="22"/>
          <w:u w:val="single"/>
        </w:rPr>
        <w:t>Governing Law; Jurisdiction; Consent to Service of Process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This Agreement shall be construed in accordance with and governed by the laws of the State of New York.</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to enforce any award or judgment or exercise any rights under the Security Documents against any Collateral in any other forum in which Collateral is located.</w:t>
      </w:r>
    </w:p>
    <w:p>
      <w:pPr>
        <w:pStyle w:val="TextBody"/>
        <w:bidi w:val="0"/>
        <w:spacing w:before="0" w:after="240"/>
        <w:jc w:val="both"/>
        <w:rPr>
          <w:rFonts w:ascii="Times New Roman" w:hAnsi="Times New Roman"/>
          <w:sz w:val="20"/>
        </w:rPr>
      </w:pPr>
      <w:bookmarkStart w:id="1206" w:name="docxtextref2035"/>
      <w:bookmarkEnd w:id="1206"/>
      <w:r>
        <w:rPr>
          <w:rFonts w:ascii="Times New Roman;serif" w:hAnsi="Times New Roman;serif"/>
          <w:b w:val="false"/>
          <w:sz w:val="22"/>
        </w:rPr>
        <w:t>(c)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w:t>
      </w:r>
      <w:r>
        <w:rPr>
          <w:rFonts w:ascii="Times New Roman" w:hAnsi="Times New Roman"/>
          <w:sz w:val="20"/>
        </w:rPr>
        <w:t xml:space="preserve"> </w:t>
      </w:r>
      <w:r>
        <w:rPr>
          <w:rFonts w:ascii="Times New Roman;serif" w:hAnsi="Times New Roman;serif"/>
          <w:b w:val="false"/>
          <w:sz w:val="22"/>
        </w:rPr>
        <w:t xml:space="preserve">of this </w:t>
      </w:r>
      <w:r>
        <w:rPr>
          <w:rFonts w:ascii="Times New Roman;serif" w:hAnsi="Times New Roman;serif"/>
          <w:b w:val="false"/>
          <w:sz w:val="22"/>
          <w:u w:val="single"/>
        </w:rPr>
        <w:t>Section 9.09</w:t>
      </w:r>
      <w:r>
        <w:rPr>
          <w:rFonts w:ascii="Times New Roman;serif" w:hAnsi="Times New Roman;serif"/>
          <w:b w:val="false"/>
          <w:sz w:val="22"/>
        </w:rPr>
        <w:t>. Each of the parties hereto hereby irrevocably waives, to the fullest extent permitted by law, the defense of an inconvenient forum to the maintenance of such action or proceeding in any such court.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(d) Each party to this Agreement irrevocably consents to service of process in the manner provided for notices in </w:t>
      </w:r>
      <w:r>
        <w:rPr>
          <w:rFonts w:ascii="Times New Roman;serif" w:hAnsi="Times New Roman;serif"/>
          <w:b w:val="false"/>
          <w:sz w:val="22"/>
          <w:u w:val="single"/>
        </w:rPr>
        <w:t>Section 9.01</w:t>
      </w:r>
      <w:r>
        <w:rPr>
          <w:rFonts w:ascii="Times New Roman;serif" w:hAnsi="Times New Roman;serif"/>
          <w:b w:val="false"/>
          <w:sz w:val="22"/>
        </w:rPr>
        <w:t xml:space="preserve">. Nothing in any Loan Document will affect the right of any party to this Agreement to serve process in any other manner permitted by law. Without limiting the other provisions of this </w:t>
      </w:r>
      <w:r>
        <w:rPr>
          <w:rFonts w:ascii="Times New Roman;serif" w:hAnsi="Times New Roman;serif"/>
          <w:b w:val="false"/>
          <w:sz w:val="22"/>
          <w:u w:val="single"/>
        </w:rPr>
        <w:t>Section 9.09</w:t>
      </w:r>
      <w:r>
        <w:rPr>
          <w:rFonts w:ascii="Times New Roman" w:hAnsi="Times New Roman"/>
          <w:sz w:val="20"/>
        </w:rPr>
        <w:t xml:space="preserve"> </w:t>
      </w:r>
      <w:r>
        <w:rPr>
          <w:rFonts w:ascii="Times New Roman;serif" w:hAnsi="Times New Roman;serif"/>
          <w:b w:val="false"/>
          <w:sz w:val="22"/>
        </w:rPr>
        <w:t>and in addition to the service of process provided for herein, the Finco Borrower, Bidco and Holdings hereby irrevocably designate, appoints and empowers the U.S. Borrower (and the U.S. Borrower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If for any reason the U.S. Borrower shall cease to be available to act as such, the Finco Borrower, Bidco and Holdings agree to promptly designate a new authorized designee, appointee and agent in New York City on the terms and for the purposes of this provision reasonably satisfactory to the Administrative Agent under this Agreement.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9.10 </w:t>
      </w:r>
      <w:r>
        <w:rPr>
          <w:rFonts w:ascii="Times New Roman;serif" w:hAnsi="Times New Roman;serif"/>
          <w:b w:val="false"/>
          <w:sz w:val="22"/>
          <w:u w:val="single"/>
        </w:rPr>
        <w:t>WAIVER OF JURY TRIAL</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EACH PARTY HERETO HEREBY WAIVES, TO THE FULLEST EXTENT PERMITTED BY APPLICABLE LAW, ANY RIGHT IT MAY HAVE TO A TRIAL BY JURY IN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207" w:name="docxtextref2038"/>
      <w:bookmarkEnd w:id="1207"/>
      <w:r>
        <w:rPr>
          <w:rFonts w:ascii="Times New Roman;serif" w:hAnsi="Times New Roman;serif"/>
          <w:b w:val="false"/>
          <w:sz w:val="22"/>
        </w:rPr>
        <w:t>LEGAL PROCEEDING DIRECTLY OR INDIRECTLY ARISING OUT OF OR RELATING TO ANY LOAN DOCUMENT OR THE TRANSACTIONS CONTEMPLATED THEREBY (WHETHER BASED ON CONTRACT, TORT OR ANY OTHER THEORY). EACH PARTY HERETO (A)</w:t>
      </w:r>
      <w:r>
        <w:rPr>
          <w:rFonts w:ascii="Times New Roman" w:hAnsi="Times New Roman"/>
          <w:sz w:val="20"/>
        </w:rPr>
        <w:t xml:space="preserve"> </w:t>
      </w:r>
      <w:r>
        <w:rPr>
          <w:rFonts w:ascii="Times New Roman;serif" w:hAnsi="Times New Roman;serif"/>
          <w:b w:val="false"/>
          <w:sz w:val="22"/>
        </w:rPr>
        <w:t xml:space="preserve">CERTIFIES THAT NO REPRESENTATIVE, AGENT OR ATTORNEY OF ANY OTHER PARTY HAS REPRESENTED, EXPRESSLY OR OTHERWISE, THAT SUCH OTHER PARTY WOULD NOT, IN THE EVENT OF LITIGATION, SEEK TO ENFORCE THE FOREGOING WAIVER AND </w:t>
      </w:r>
      <w:bookmarkStart w:id="1208" w:name="docxtextref2039"/>
      <w:bookmarkEnd w:id="120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ACKNOWLEDGES THAT IT AND THE OTHER PARTIES HERETO HAVE BEEN INDUCED TO ENTER INTO THIS AGREEMENT BY, AMONG OTHER THINGS, THE MUTUAL WAIVERS AND CERTIFICATIONS IN THIS </w:t>
      </w:r>
      <w:r>
        <w:rPr>
          <w:rFonts w:ascii="Times New Roman;serif" w:hAnsi="Times New Roman;serif"/>
          <w:b w:val="false"/>
          <w:sz w:val="22"/>
          <w:u w:val="single"/>
        </w:rPr>
        <w:t>SECTION 9.10</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9.11 </w:t>
      </w:r>
      <w:r>
        <w:rPr>
          <w:rFonts w:ascii="Times New Roman;serif" w:hAnsi="Times New Roman;serif"/>
          <w:b w:val="false"/>
          <w:sz w:val="22"/>
          <w:u w:val="single"/>
        </w:rPr>
        <w:t>Headings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9.12 </w:t>
      </w:r>
      <w:r>
        <w:rPr>
          <w:rFonts w:ascii="Times New Roman;serif" w:hAnsi="Times New Roman;serif"/>
          <w:b w:val="false"/>
          <w:sz w:val="22"/>
          <w:u w:val="single"/>
        </w:rPr>
        <w:t>Confidentiality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209" w:name="docxtextref2046"/>
      <w:bookmarkEnd w:id="1209"/>
      <w:r>
        <w:rPr>
          <w:rFonts w:ascii="Times New Roman;serif" w:hAnsi="Times New Roman;serif"/>
          <w:b w:val="false"/>
          <w:sz w:val="22"/>
        </w:rPr>
        <w:t>(a) Each of the Administrative Agent, the Issuing Banks and the Lenders agrees to maintain the confidentiality of the Information (as defined below), except that Information may be disclosed (i)</w:t>
      </w:r>
      <w:r>
        <w:rPr>
          <w:rFonts w:ascii="Times New Roman" w:hAnsi="Times New Roman"/>
          <w:sz w:val="20"/>
        </w:rPr>
        <w:t xml:space="preserve"> </w:t>
      </w:r>
      <w:r>
        <w:rPr>
          <w:rFonts w:ascii="Times New Roman;serif" w:hAnsi="Times New Roman;serif"/>
          <w:b w:val="false"/>
          <w:sz w:val="22"/>
        </w:rPr>
        <w:t xml:space="preserve">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w:t>
      </w:r>
      <w:r>
        <w:rPr>
          <w:rFonts w:ascii="Times New Roman;serif" w:hAnsi="Times New Roman;serif"/>
          <w:b w:val="false"/>
          <w:sz w:val="22"/>
          <w:u w:val="single"/>
        </w:rPr>
        <w:t>Section 9.12</w:t>
      </w:r>
      <w:r>
        <w:rPr>
          <w:rFonts w:ascii="Times New Roman" w:hAnsi="Times New Roman"/>
          <w:sz w:val="20"/>
        </w:rPr>
        <w:t xml:space="preserve"> </w:t>
      </w:r>
      <w:r>
        <w:rPr>
          <w:rFonts w:ascii="Times New Roman;serif" w:hAnsi="Times New Roman;serif"/>
          <w:b w:val="false"/>
          <w:sz w:val="22"/>
        </w:rPr>
        <w:t xml:space="preserve">shall constitute a breach of this </w:t>
      </w:r>
      <w:r>
        <w:rPr>
          <w:rFonts w:ascii="Times New Roman;serif" w:hAnsi="Times New Roman;serif"/>
          <w:b w:val="false"/>
          <w:sz w:val="22"/>
          <w:u w:val="single"/>
        </w:rPr>
        <w:t>Section 9.12</w:t>
      </w:r>
      <w:r>
        <w:rPr>
          <w:rFonts w:ascii="Times New Roman" w:hAnsi="Times New Roman"/>
          <w:sz w:val="20"/>
        </w:rPr>
        <w:t xml:space="preserve"> </w:t>
      </w:r>
      <w:r>
        <w:rPr>
          <w:rFonts w:ascii="Times New Roman;serif" w:hAnsi="Times New Roman;serif"/>
          <w:b w:val="false"/>
          <w:sz w:val="22"/>
        </w:rPr>
        <w:t xml:space="preserve">by the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w:t>
      </w:r>
      <w:bookmarkStart w:id="1210" w:name="docxtextref2047"/>
      <w:bookmarkEnd w:id="1210"/>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solely to the extent permitted by law and other than in connection with routine audits and reviews by regulatory and self-regulatory authorities, each Lender and the Administrative Agent shall notify Bidco and the Borrowers as promptly as practicable of any such requested or required disclosure in connection with any legal or regulatory proceeding and </w:t>
      </w:r>
      <w:bookmarkStart w:id="1211" w:name="docxtextref2048"/>
      <w:bookmarkEnd w:id="1211"/>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 xml:space="preserve">in the case of clause (ii) only, each Lender and the Administrative Agent shall use commercially reasonable efforts to ensure that such Information is kept confidential in connection with the exercise of such remedies; and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u w:val="single"/>
        </w:rPr>
        <w:t>further</w:t>
      </w:r>
      <w:r>
        <w:rPr>
          <w:rFonts w:ascii="Times New Roman" w:hAnsi="Times New Roman"/>
          <w:sz w:val="20"/>
        </w:rPr>
        <w:t xml:space="preserve"> </w:t>
      </w:r>
      <w:r>
        <w:rPr>
          <w:rFonts w:ascii="Times New Roman;serif" w:hAnsi="Times New Roman;serif"/>
          <w:b w:val="false"/>
          <w:sz w:val="22"/>
        </w:rPr>
        <w:t xml:space="preserve">that in no event shall any Lender or the Administrative Agent be obligated or required to return any materials furnished by Bidco or any Subsidiary of Holdings, (iii) to any other party to this Agreement, (iv) subject to an agreement containing confidentiality undertakings substantially similar to those of this </w:t>
      </w:r>
      <w:r>
        <w:rPr>
          <w:rFonts w:ascii="Times New Roman;serif" w:hAnsi="Times New Roman;serif"/>
          <w:b w:val="false"/>
          <w:sz w:val="22"/>
          <w:u w:val="single"/>
        </w:rPr>
        <w:t>Section 9.12</w:t>
      </w:r>
      <w:r>
        <w:rPr>
          <w:rFonts w:ascii="Times New Roman;serif" w:hAnsi="Times New Roman;serif"/>
          <w:b w:val="false"/>
          <w:sz w:val="22"/>
        </w:rPr>
        <w:t xml:space="preserve">, to </w:t>
      </w:r>
      <w:bookmarkStart w:id="1212" w:name="docxtextref2049"/>
      <w:bookmarkEnd w:id="1212"/>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any assignee of or Participant in, or any prospective assignee of or Participant in, any of its rights or obligations under this Agreement, </w:t>
      </w:r>
      <w:bookmarkStart w:id="1213" w:name="docxtextref2050"/>
      <w:bookmarkEnd w:id="121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any actual or prospective counterparty (or its advisors) to any Swap Agreement or derivative transaction relating to any Loan Party or its Subsidiaries and its obligations under the Loan Documents or </w:t>
      </w:r>
      <w:bookmarkStart w:id="1214" w:name="docxtextref2051"/>
      <w:bookmarkEnd w:id="121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any pledgee referred to in </w:t>
      </w:r>
      <w:r>
        <w:rPr>
          <w:rFonts w:ascii="Times New Roman;serif" w:hAnsi="Times New Roman;serif"/>
          <w:b w:val="false"/>
          <w:sz w:val="22"/>
          <w:u w:val="single"/>
        </w:rPr>
        <w:t>Section 9.04(d)</w:t>
      </w:r>
      <w:r>
        <w:rPr>
          <w:rFonts w:ascii="Times New Roman;serif" w:hAnsi="Times New Roman;serif"/>
          <w:b w:val="false"/>
          <w:sz w:val="22"/>
        </w:rPr>
        <w:t xml:space="preserve">, </w:t>
      </w:r>
      <w:bookmarkStart w:id="1215" w:name="docxtextref2052"/>
      <w:bookmarkEnd w:id="1215"/>
      <w:r>
        <w:rPr>
          <w:rFonts w:ascii="Times New Roman;serif" w:hAnsi="Times New Roman;serif"/>
          <w:b w:val="false"/>
          <w:sz w:val="22"/>
        </w:rPr>
        <w:t>(v)</w:t>
      </w:r>
      <w:r>
        <w:rPr>
          <w:rFonts w:ascii="Times New Roman" w:hAnsi="Times New Roman"/>
          <w:sz w:val="20"/>
        </w:rPr>
        <w:t xml:space="preserve"> </w:t>
      </w:r>
      <w:r>
        <w:rPr>
          <w:rFonts w:ascii="Times New Roman;serif" w:hAnsi="Times New Roman;serif"/>
          <w:b w:val="false"/>
          <w:sz w:val="22"/>
        </w:rPr>
        <w:t xml:space="preserve">if required by any rating agency;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w:t>
      </w:r>
      <w:r>
        <w:rPr>
          <w:rFonts w:ascii="Times New Roman;serif" w:hAnsi="Times New Roman;serif"/>
          <w:b w:val="false"/>
          <w:sz w:val="22"/>
          <w:u w:val="single"/>
        </w:rPr>
        <w:t>e.g</w:t>
      </w:r>
      <w:r>
        <w:rPr>
          <w:rFonts w:ascii="Times New Roman;serif" w:hAnsi="Times New Roman;serif"/>
          <w:b w:val="false"/>
          <w:sz w:val="22"/>
        </w:rPr>
        <w:t xml:space="preserve">., identities of parties, maturity dates, interest rates, etc.) on a confidential basis, or (vii) to the extent such Information </w:t>
      </w:r>
      <w:bookmarkStart w:id="1216" w:name="docxtextref2053"/>
      <w:bookmarkEnd w:id="1216"/>
      <w:r>
        <w:rPr>
          <w:rFonts w:ascii="Times New Roman;serif" w:hAnsi="Times New Roman;serif"/>
          <w:b w:val="false"/>
          <w:sz w:val="22"/>
        </w:rPr>
        <w:t>(x)</w:t>
      </w:r>
      <w:r>
        <w:rPr>
          <w:rFonts w:ascii="Times New Roman" w:hAnsi="Times New Roman"/>
          <w:sz w:val="20"/>
        </w:rPr>
        <w:t xml:space="preserve"> </w:t>
      </w:r>
      <w:r>
        <w:rPr>
          <w:rFonts w:ascii="Times New Roman;serif" w:hAnsi="Times New Roman;serif"/>
          <w:b w:val="false"/>
          <w:sz w:val="22"/>
        </w:rPr>
        <w:t xml:space="preserve">becomes publicly available other than as a result of a breach of this </w:t>
      </w:r>
      <w:r>
        <w:rPr>
          <w:rFonts w:ascii="Times New Roman;serif" w:hAnsi="Times New Roman;serif"/>
          <w:b w:val="false"/>
          <w:sz w:val="22"/>
          <w:u w:val="single"/>
        </w:rPr>
        <w:t>Section 9.12</w:t>
      </w:r>
      <w:r>
        <w:rPr>
          <w:rFonts w:ascii="Times New Roman;serif" w:hAnsi="Times New Roman;serif"/>
          <w:b w:val="false"/>
          <w:sz w:val="22"/>
        </w:rPr>
        <w:t xml:space="preserve">, </w:t>
      </w:r>
      <w:bookmarkStart w:id="1217" w:name="docxtextref2054"/>
      <w:bookmarkEnd w:id="1217"/>
      <w:r>
        <w:rPr>
          <w:rFonts w:ascii="Times New Roman;serif" w:hAnsi="Times New Roman;serif"/>
          <w:b w:val="false"/>
          <w:sz w:val="22"/>
        </w:rPr>
        <w:t>(y)</w:t>
      </w:r>
      <w:r>
        <w:rPr>
          <w:rFonts w:ascii="Times New Roman" w:hAnsi="Times New Roman"/>
          <w:sz w:val="20"/>
        </w:rPr>
        <w:t xml:space="preserve"> </w:t>
      </w:r>
      <w:r>
        <w:rPr>
          <w:rFonts w:ascii="Times New Roman;serif" w:hAnsi="Times New Roman;serif"/>
          <w:b w:val="false"/>
          <w:sz w:val="22"/>
        </w:rPr>
        <w:t>becomes available to the Administrative Agent, any Issuing Bank, any Lender or any of their respective Affiliates on a nonconfidential basis from a source other than Holdings, Bidco or any Subsidiary, which source is not known by the recipient of such information to be subject to a confidentiality obligation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218" w:name="docxtextref2055"/>
      <w:bookmarkEnd w:id="1218"/>
      <w:r>
        <w:rPr>
          <w:rFonts w:ascii="Times New Roman;serif" w:hAnsi="Times New Roman;serif"/>
          <w:b w:val="false"/>
          <w:sz w:val="22"/>
        </w:rPr>
        <w:t>or (z)</w:t>
      </w:r>
      <w:r>
        <w:rPr>
          <w:rFonts w:ascii="Times New Roman" w:hAnsi="Times New Roman"/>
          <w:sz w:val="20"/>
        </w:rPr>
        <w:t xml:space="preserve"> </w:t>
      </w:r>
      <w:r>
        <w:rPr>
          <w:rFonts w:ascii="Times New Roman;serif" w:hAnsi="Times New Roman;serif"/>
          <w:b w:val="false"/>
          <w:sz w:val="22"/>
        </w:rPr>
        <w:t>is independently developed without the use of other Information. For the purposes hereof, “</w:t>
      </w:r>
      <w:r>
        <w:rPr>
          <w:rFonts w:ascii="Times New Roman;serif" w:hAnsi="Times New Roman;serif"/>
          <w:b w:val="false"/>
          <w:sz w:val="22"/>
          <w:u w:val="single"/>
        </w:rPr>
        <w:t>Information</w:t>
      </w:r>
      <w:r>
        <w:rPr>
          <w:rFonts w:ascii="Times New Roman" w:hAnsi="Times New Roman"/>
          <w:sz w:val="20"/>
        </w:rPr>
        <w:t xml:space="preserve">” </w:t>
      </w:r>
      <w:r>
        <w:rPr>
          <w:rFonts w:ascii="Times New Roman;serif" w:hAnsi="Times New Roman;serif"/>
          <w:b w:val="false"/>
          <w:sz w:val="22"/>
        </w:rPr>
        <w:t xml:space="preserve">means all information received from or on behalf of Holdings or Bidco relating to Holdings, Bidco, any other Subsidiary or their business, other than any such information that is available to the Administrative Agent, any Issuing Bank or any Lender on a nonconfidential basis prior to disclosure by Holdings, Bidco or any Subsidiary;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in the case of information received from Holdings, Bidco or any Subsidiary after the Effective Date, such information is clearly identified at the time of delivery as confidential. Any Person required to maintain the confidentiality of Information as provided in this </w:t>
      </w:r>
      <w:r>
        <w:rPr>
          <w:rFonts w:ascii="Times New Roman;serif" w:hAnsi="Times New Roman;serif"/>
          <w:b w:val="false"/>
          <w:sz w:val="22"/>
          <w:u w:val="single"/>
        </w:rPr>
        <w:t>Section 9.12</w:t>
      </w:r>
      <w:r>
        <w:rPr>
          <w:rFonts w:ascii="Times New Roman" w:hAnsi="Times New Roman"/>
          <w:sz w:val="20"/>
        </w:rPr>
        <w:t xml:space="preserve"> </w:t>
      </w:r>
      <w:r>
        <w:rPr>
          <w:rFonts w:ascii="Times New Roman;serif" w:hAnsi="Times New Roman;serif"/>
          <w:b w:val="false"/>
          <w:sz w:val="22"/>
        </w:rPr>
        <w:t>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Bidco’s prior written consent.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EACH LENDER ACKNOWLEDGES THAT INFORMATION (AS DEFINED IN </w:t>
      </w:r>
      <w:r>
        <w:rPr>
          <w:rFonts w:ascii="Times New Roman;serif" w:hAnsi="Times New Roman;serif"/>
          <w:b w:val="false"/>
          <w:sz w:val="22"/>
          <w:u w:val="single"/>
        </w:rPr>
        <w:t>SECTION 9.12(A)</w:t>
      </w:r>
      <w:r>
        <w:rPr>
          <w:rFonts w:ascii="Times New Roman;serif" w:hAnsi="Times New Roman;serif"/>
          <w:b w:val="false"/>
          <w:sz w:val="22"/>
        </w:rPr>
        <w:t>) FURNISHED TO IT PURSUANT TO THIS AGREEMENT MAY INCLUDE MATERIAL NON-PUBLIC INFORMATION CONCERNING HOLDINGS, BIDCO,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 ALL INFORMATION, INCLUDING REQUESTS FOR WAIVERS AND AMENDMENTS FURNISHED BY BIDCO, THE BORROWERS OR THE ADMINISTRATIVE AGENT PURSUANT TO, OR IN THE COURSE OF ADMINISTERING, THIS AGREEMENT, WILL BE SYNDICATE-LEVEL INFORMATION, WHICH MAY CONTAIN MATERIAL NON-PUBLIC INFORMATION ABOUT HOLDINGS, BIDCO, THE LOAN PARTIES AND THEIR RELATED PARTIES OR THEIR RESPECTIVE SECURITIES. ACCORDINGLY, EACH LENDER REPRESENTS TO BIDCO AND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9.13 </w:t>
      </w:r>
      <w:r>
        <w:rPr>
          <w:rFonts w:ascii="Times New Roman;serif" w:hAnsi="Times New Roman;serif"/>
          <w:b w:val="false"/>
          <w:sz w:val="22"/>
          <w:u w:val="single"/>
        </w:rPr>
        <w:t>USA PATRIOT Act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Lender that is subject to the USA PATRIOT Act and the Beneficial Ownership Regulation and the Administrative Agent (for itself and not on behalf of any Lender) hereby notifies Bidco and the Borrowers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9.14 </w:t>
      </w:r>
      <w:r>
        <w:rPr>
          <w:rFonts w:ascii="Times New Roman;serif" w:hAnsi="Times New Roman;serif"/>
          <w:b w:val="false"/>
          <w:sz w:val="22"/>
          <w:u w:val="single"/>
        </w:rPr>
        <w:t>Release of Liens and Guarantees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219" w:name="docxtextref2058"/>
      <w:bookmarkEnd w:id="1219"/>
      <w:r>
        <w:rPr>
          <w:rFonts w:ascii="Times New Roman;serif" w:hAnsi="Times New Roman;serif"/>
          <w:b w:val="false"/>
          <w:sz w:val="22"/>
        </w:rPr>
        <w:t>(a) A Subsidiary Loan Party shall automatically be released from its obligations under the Loan Documents, and all security interests created by the Security Documents in Collateral owned by such Subsidiary Loan Party shall be automatically released, (1)</w:t>
      </w:r>
      <w:r>
        <w:rPr>
          <w:rFonts w:ascii="Times New Roman" w:hAnsi="Times New Roman"/>
          <w:sz w:val="20"/>
        </w:rPr>
        <w:t xml:space="preserve"> </w:t>
      </w:r>
      <w:r>
        <w:rPr>
          <w:rFonts w:ascii="Times New Roman;serif" w:hAnsi="Times New Roman;serif"/>
          <w:b w:val="false"/>
          <w:sz w:val="22"/>
        </w:rPr>
        <w:t>upon the consummation of any transaction or designation permitted by this Agreement as a result of which such Subsidiary Loan Party ceases to be a Restricted Subsidiary (including pursuant to a permitted merger with a Subsidiary that is not a Loan Party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220" w:name="docxtextref2059"/>
      <w:bookmarkEnd w:id="1220"/>
      <w:r>
        <w:rPr>
          <w:rFonts w:ascii="Times New Roman;serif" w:hAnsi="Times New Roman;serif"/>
          <w:b w:val="false"/>
          <w:sz w:val="22"/>
        </w:rPr>
        <w:t>or a designation as an Unrestricted Subsidiary) or becomes an Excluded Subsidiary (other than solely as a result of becoming a Non-Wholly Owned Subsidiary) or (2)</w:t>
      </w:r>
      <w:r>
        <w:rPr>
          <w:rFonts w:ascii="Times New Roman" w:hAnsi="Times New Roman"/>
          <w:sz w:val="20"/>
        </w:rPr>
        <w:t xml:space="preserve"> </w:t>
      </w:r>
      <w:r>
        <w:rPr>
          <w:rFonts w:ascii="Times New Roman;serif" w:hAnsi="Times New Roman;serif"/>
          <w:b w:val="false"/>
          <w:sz w:val="22"/>
        </w:rPr>
        <w:t xml:space="preserve">at the written election of Bidco or any Borrower, in connection with a transaction permitted under this Agreement, as a result of which such Subsidiary Loan Party ceases to be a Wholly Owned Subsidiary, unless the primary purpose (as reasonably determined by Bidco) of such transaction was to release such Subsidiary Loan Party from its obligations under the Loan Documents; </w:t>
      </w:r>
      <w:r>
        <w:rPr>
          <w:rFonts w:ascii="Times New Roman;serif" w:hAnsi="Times New Roman;serif"/>
          <w:b w:val="false"/>
          <w:sz w:val="22"/>
          <w:u w:val="single"/>
        </w:rPr>
        <w:t>provided</w:t>
      </w:r>
      <w:r>
        <w:rPr>
          <w:rFonts w:ascii="Times New Roman" w:hAnsi="Times New Roman"/>
          <w:sz w:val="20"/>
        </w:rPr>
        <w:t xml:space="preserve"> </w:t>
      </w:r>
      <w:r>
        <w:rPr>
          <w:rFonts w:ascii="Times New Roman;serif" w:hAnsi="Times New Roman;serif"/>
          <w:b w:val="false"/>
          <w:sz w:val="22"/>
        </w:rPr>
        <w:t xml:space="preserve">that, if so required by this Agreement, the Required Lenders shall have consented to such transaction and the terms of such consent shall not have provided otherwise. Upon any sale, disposition or other transfer by any Loan Party (other than to Holdings, any Intermediate Parent, Bidco, any Borrower or any Subsidiary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Loan Documents and all security interests created by the Security Documents shall be automatically released. In connection with any termination or release pursuant to this </w:t>
      </w:r>
      <w:r>
        <w:rPr>
          <w:rFonts w:ascii="Times New Roman;serif" w:hAnsi="Times New Roman;serif"/>
          <w:b w:val="false"/>
          <w:sz w:val="22"/>
          <w:u w:val="single"/>
        </w:rPr>
        <w:t>Section 9.14</w:t>
      </w:r>
      <w:r>
        <w:rPr>
          <w:rFonts w:ascii="Times New Roman;serif" w:hAnsi="Times New Roman;serif"/>
          <w:b w:val="false"/>
          <w:sz w:val="22"/>
        </w:rPr>
        <w:t>, the Administrative Agent or the Collateral Agent, as the case may be, shall execute and deliver to any Loan Party, at such Loan Party’s expense, all documents that such Loan Party shall reasonably request to file or register in any office, or to evidence such termination or release, so long as Bidco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w:t>
      </w:r>
    </w:p>
    <w:p>
      <w:pPr>
        <w:pStyle w:val="TextBody"/>
        <w:bidi w:val="0"/>
        <w:spacing w:before="0" w:after="240"/>
        <w:jc w:val="both"/>
        <w:rPr>
          <w:rFonts w:ascii="Times New Roman" w:hAnsi="Times New Roman"/>
          <w:sz w:val="20"/>
        </w:rPr>
      </w:pPr>
      <w:bookmarkStart w:id="1221" w:name="docxtextref2061"/>
      <w:bookmarkEnd w:id="1221"/>
      <w:r>
        <w:rPr>
          <w:rFonts w:ascii="Times New Roman;serif" w:hAnsi="Times New Roman;serif"/>
          <w:b w:val="false"/>
          <w:sz w:val="22"/>
        </w:rPr>
        <w:t>(b) The Administrative Agent or the Collateral Agent, as the case may be, will, at the Borrowers’ expense, execute and deliver to the applicable Loan Party or file or register in any office such documents as such Loan Party may reasonably request to subordinate its Lien on any property granted to or held by the Administrative Agent or the Collateral Agent, as the case may be, under any Loan Document to the holder of any Lien on such property that is permitted by clause (6)</w:t>
      </w:r>
      <w:r>
        <w:rPr>
          <w:rFonts w:ascii="Times New Roman" w:hAnsi="Times New Roman"/>
          <w:sz w:val="20"/>
        </w:rPr>
        <w:t xml:space="preserve"> </w:t>
      </w:r>
      <w:r>
        <w:rPr>
          <w:rFonts w:ascii="Times New Roman;serif" w:hAnsi="Times New Roman;serif"/>
          <w:b w:val="false"/>
          <w:sz w:val="22"/>
        </w:rPr>
        <w:t xml:space="preserve">of the definition of “Permitted Liens” (solely with respect to the reference to </w:t>
      </w:r>
      <w:r>
        <w:rPr>
          <w:rFonts w:ascii="Times New Roman;serif" w:hAnsi="Times New Roman;serif"/>
          <w:b w:val="false"/>
          <w:sz w:val="22"/>
          <w:u w:val="single"/>
        </w:rPr>
        <w:t>Section 6.01(b)(iii)</w:t>
      </w:r>
      <w:r>
        <w:rPr>
          <w:rFonts w:ascii="Times New Roman;serif" w:hAnsi="Times New Roman;serif"/>
          <w:b w:val="false"/>
          <w:sz w:val="22"/>
        </w:rPr>
        <w:t xml:space="preserve">) and clause </w:t>
      </w:r>
      <w:bookmarkStart w:id="1222" w:name="docxtextref2062"/>
      <w:bookmarkEnd w:id="1222"/>
      <w:r>
        <w:rPr>
          <w:rFonts w:ascii="Times New Roman;serif" w:hAnsi="Times New Roman;serif"/>
          <w:b w:val="false"/>
          <w:sz w:val="22"/>
        </w:rPr>
        <w:t>(8)</w:t>
      </w:r>
      <w:r>
        <w:rPr>
          <w:rFonts w:ascii="Times New Roman" w:hAnsi="Times New Roman"/>
          <w:sz w:val="20"/>
        </w:rPr>
        <w:t xml:space="preserve"> </w:t>
      </w:r>
      <w:r>
        <w:rPr>
          <w:rFonts w:ascii="Times New Roman;serif" w:hAnsi="Times New Roman;serif"/>
          <w:b w:val="false"/>
          <w:sz w:val="22"/>
        </w:rPr>
        <w:t>of the definition of “Permitted Liens”.</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Each of the Lenders and the Issuing Banks irrevocably authorizes the Administrative Agent or the Collateral Agent, as the case may be, to provide any release or evidence of release, termination or subordination contemplated by this </w:t>
      </w:r>
      <w:r>
        <w:rPr>
          <w:rFonts w:ascii="Times New Roman;serif" w:hAnsi="Times New Roman;serif"/>
          <w:b w:val="false"/>
          <w:sz w:val="22"/>
          <w:u w:val="single"/>
        </w:rPr>
        <w:t>Section 9.14</w:t>
      </w:r>
      <w:r>
        <w:rPr>
          <w:rFonts w:ascii="Times New Roman;serif" w:hAnsi="Times New Roman;serif"/>
          <w:b w:val="false"/>
          <w:sz w:val="22"/>
        </w:rPr>
        <w:t xml:space="preserve">.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Times New Roman;serif" w:hAnsi="Times New Roman;serif"/>
          <w:b w:val="false"/>
          <w:sz w:val="22"/>
          <w:u w:val="single"/>
        </w:rPr>
        <w:t>Section 9.14</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9.15 </w:t>
      </w:r>
      <w:r>
        <w:rPr>
          <w:rFonts w:ascii="Times New Roman;serif" w:hAnsi="Times New Roman;serif"/>
          <w:b w:val="false"/>
          <w:sz w:val="22"/>
          <w:u w:val="single"/>
        </w:rPr>
        <w:t>No Advisory or Fiduciary Responsibility</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223" w:name="docxtextref2065"/>
      <w:bookmarkEnd w:id="1223"/>
      <w:r>
        <w:rPr>
          <w:rFonts w:ascii="Times New Roman;serif" w:hAnsi="Times New Roman;serif"/>
          <w:b w:val="false"/>
          <w:sz w:val="22"/>
        </w:rPr>
        <w:t>In connection with all aspects of each transaction contemplated hereby (including in connection with any amendment, waiver or other modification hereof or of any other Loan Document), each of Bidco, the Borrowers and Holdings acknowledges and agrees that (i)</w:t>
      </w:r>
      <w:r>
        <w:rPr>
          <w:rFonts w:ascii="Times New Roman" w:hAnsi="Times New Roman"/>
          <w:sz w:val="20"/>
        </w:rPr>
        <w:t xml:space="preserve"> </w:t>
      </w:r>
      <w:bookmarkStart w:id="1224" w:name="docxtextref2066"/>
      <w:bookmarkEnd w:id="1224"/>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the arranging and other services regarding this Agreement provided by the Administrative Agent, the Joint Lead Arrangers, the Issuing Banks and the Lenders are arm’s-length commercial transactions between the Borrowers, Holdings and their respective Affiliates, on the one hand, and the Administrative Agent, the Joint Lead Arrangers,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bookmarkStart w:id="1225" w:name="docxtextref2067"/>
      <w:bookmarkEnd w:id="1225"/>
      <w:r>
        <w:rPr>
          <w:rFonts w:ascii="Times New Roman;serif" w:hAnsi="Times New Roman;serif"/>
          <w:b w:val="false"/>
          <w:sz w:val="22"/>
        </w:rPr>
        <w:t>the Issuing Banks and the Lenders on the other hand, (B)</w:t>
      </w:r>
      <w:r>
        <w:rPr>
          <w:rFonts w:ascii="Times New Roman" w:hAnsi="Times New Roman"/>
          <w:sz w:val="20"/>
        </w:rPr>
        <w:t xml:space="preserve"> </w:t>
      </w:r>
      <w:r>
        <w:rPr>
          <w:rFonts w:ascii="Times New Roman;serif" w:hAnsi="Times New Roman;serif"/>
          <w:b w:val="false"/>
          <w:sz w:val="22"/>
        </w:rPr>
        <w:t xml:space="preserve">each of Bidco, the Borrowers and Holdings has consulted its own legal, accounting, regulatory and tax advisors to the extent it has deemed appropriate, and </w:t>
      </w:r>
      <w:bookmarkStart w:id="1226" w:name="docxtextref2068"/>
      <w:bookmarkEnd w:id="1226"/>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 xml:space="preserve">each of Bidco, the Borrowers and Holdings is capable of evaluating, and understands and accepts, the terms, risks and conditions of the transactions contemplated hereby and by the other Loan Documents; (ii) </w:t>
      </w:r>
      <w:bookmarkStart w:id="1227" w:name="docxtextref2069"/>
      <w:bookmarkEnd w:id="1227"/>
      <w:r>
        <w:rPr>
          <w:rFonts w:ascii="Times New Roman;serif" w:hAnsi="Times New Roman;serif"/>
          <w:b w:val="false"/>
          <w:sz w:val="22"/>
        </w:rPr>
        <w:t>(A)</w:t>
      </w:r>
      <w:r>
        <w:rPr>
          <w:rFonts w:ascii="Times New Roman" w:hAnsi="Times New Roman"/>
          <w:sz w:val="20"/>
        </w:rPr>
        <w:t xml:space="preserve"> </w:t>
      </w:r>
      <w:r>
        <w:rPr>
          <w:rFonts w:ascii="Times New Roman;serif" w:hAnsi="Times New Roman;serif"/>
          <w:b w:val="false"/>
          <w:sz w:val="22"/>
        </w:rPr>
        <w:t xml:space="preserve">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Bidco, the Borrowers, Holdings, any of their respective Affiliates or any other Person and </w:t>
      </w:r>
      <w:bookmarkStart w:id="1228" w:name="docxtextref2070"/>
      <w:bookmarkEnd w:id="1228"/>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none of the Administrative Agent, the Joint Lead Arrangers, the Issuing Banks and the Lenders has any obligation to Bidco, the Borrowers, Holdings or any of their respective Affiliates with respect to the transactions contemplated hereby except those obligations expressly set forth herein and in the other Loan Documents; and (iii) the Administrative Agent, the Joint Lead Arrangers, the Issuing Banks and the Lenders and their respective Affiliates may be engaged in a broad range of transactions that involve interests that differ from those of Bidco, the Borrowers, Holdings and their respective Affiliates, and none of the Administrative Agent, the Joint Lead Arrangers, the Issuing Banks and the Lenders has any obligation to disclose any of such interests to Bidco, the Borrowers, Holdings or any of their respective Affiliates. To the fullest extent permitted by law, each of Bidco, the Borrowers and Holdings hereby waives and releases any claims that it may have against the Administrative Agent, the Joint Lead Arrangers, the Issuing Banks and the Lenders with respect to any breach or alleged breach of agency or fiduciary duty in connection with any aspect of any transaction contemplated hereby.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9.16 </w:t>
      </w:r>
      <w:r>
        <w:rPr>
          <w:rFonts w:ascii="Times New Roman;serif" w:hAnsi="Times New Roman;serif"/>
          <w:b w:val="false"/>
          <w:sz w:val="22"/>
          <w:u w:val="single"/>
        </w:rPr>
        <w:t>Interest Rate Limitation</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229" w:name="docxtextref2071"/>
      <w:bookmarkEnd w:id="1229"/>
      <w:r>
        <w:rPr>
          <w:rFonts w:ascii="Times New Roman;serif" w:hAnsi="Times New Roman;serif"/>
          <w:b w:val="false"/>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sz w:val="22"/>
          <w:u w:val="single"/>
        </w:rPr>
        <w:t>Maximum Rate</w:t>
      </w:r>
      <w:r>
        <w:rPr>
          <w:rFonts w:ascii="Times New Roman" w:hAnsi="Times New Roman"/>
          <w:sz w:val="20"/>
        </w:rPr>
        <w:t>”</w:t>
      </w:r>
      <w:r>
        <w:rPr>
          <w:rFonts w:ascii="Times New Roman;serif" w:hAnsi="Times New Roman;serif"/>
          <w:b w:val="false"/>
          <w:sz w:val="22"/>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w:t>
      </w:r>
      <w:r>
        <w:rPr>
          <w:rFonts w:ascii="Times New Roman" w:hAnsi="Times New Roman"/>
          <w:sz w:val="20"/>
        </w:rPr>
        <w:t xml:space="preserve"> </w:t>
      </w:r>
      <w:r>
        <w:rPr>
          <w:rFonts w:ascii="Times New Roman;serif" w:hAnsi="Times New Roman;serif"/>
          <w:b w:val="false"/>
          <w:sz w:val="22"/>
        </w:rPr>
        <w:t xml:space="preserve">characterize any payment that is not principal as an expense, fee or premium rather than interest, </w:t>
      </w:r>
      <w:bookmarkStart w:id="1230" w:name="docxtextref2072"/>
      <w:bookmarkEnd w:id="1230"/>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exclude voluntary prepayments and the effects thereof, and </w:t>
      </w:r>
      <w:bookmarkStart w:id="1231" w:name="docxtextref2073"/>
      <w:bookmarkEnd w:id="1231"/>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amortize, prorate, allocate and spread in equal or unequal parts the total amount of interest throughout the contemplated term of the obligations hereunder.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9.17 </w:t>
      </w:r>
      <w:r>
        <w:rPr>
          <w:rFonts w:ascii="Times New Roman;serif" w:hAnsi="Times New Roman;serif"/>
          <w:b w:val="false"/>
          <w:sz w:val="22"/>
          <w:u w:val="single"/>
        </w:rPr>
        <w:t>Intercreditor Agreements</w:t>
      </w:r>
      <w:r>
        <w:rPr>
          <w:rFonts w:ascii="Times New Roman;serif" w:hAnsi="Times New Roman;serif"/>
          <w:b w:val="false"/>
          <w:sz w:val="22"/>
        </w:rPr>
        <w:t>.</w:t>
      </w:r>
    </w:p>
    <w:p>
      <w:pPr>
        <w:pStyle w:val="TextBody"/>
        <w:bidi w:val="0"/>
        <w:spacing w:before="0" w:after="240"/>
        <w:jc w:val="both"/>
        <w:rPr>
          <w:rFonts w:ascii="Times New Roman" w:hAnsi="Times New Roman"/>
          <w:sz w:val="20"/>
        </w:rPr>
      </w:pPr>
      <w:bookmarkStart w:id="1232" w:name="docxtextref2074"/>
      <w:bookmarkEnd w:id="1232"/>
      <w:r>
        <w:rPr>
          <w:rFonts w:ascii="Times New Roman;serif" w:hAnsi="Times New Roman;serif"/>
          <w:b w:val="false"/>
          <w:sz w:val="22"/>
        </w:rPr>
        <w:t>(a) Notwithstanding anything to the contrary in this Agreement or in any other Loan Document: (a)</w:t>
      </w:r>
      <w:r>
        <w:rPr>
          <w:rFonts w:ascii="Times New Roman" w:hAnsi="Times New Roman"/>
          <w:sz w:val="20"/>
        </w:rPr>
        <w:t xml:space="preserve"> </w:t>
      </w:r>
      <w:r>
        <w:rPr>
          <w:rFonts w:ascii="Times New Roman;serif" w:hAnsi="Times New Roman;serif"/>
          <w:b w:val="false"/>
          <w:sz w:val="22"/>
        </w:rPr>
        <w:t xml:space="preserve">the Liens granted to the Collateral Agent in favor of the Secured Parties pursuant to the Loan Documents and the exercise of any right related to any Collateral shall be subject, in each case, to the terms of the Pari Passu Intercreditor Agreement and Customary Intercreditor Agreements then in effect, </w:t>
      </w:r>
      <w:bookmarkStart w:id="1233" w:name="docxtextref2075"/>
      <w:bookmarkEnd w:id="1233"/>
      <w:r>
        <w:rPr>
          <w:rFonts w:ascii="Times New Roman;serif" w:hAnsi="Times New Roman;serif"/>
          <w:b w:val="false"/>
          <w:sz w:val="22"/>
        </w:rPr>
        <w:t>(b)</w:t>
      </w:r>
      <w:r>
        <w:rPr>
          <w:rFonts w:ascii="Times New Roman" w:hAnsi="Times New Roman"/>
          <w:sz w:val="20"/>
        </w:rPr>
        <w:t xml:space="preserve"> </w:t>
      </w:r>
      <w:r>
        <w:rPr>
          <w:rFonts w:ascii="Times New Roman;serif" w:hAnsi="Times New Roman;serif"/>
          <w:b w:val="false"/>
          <w:sz w:val="22"/>
        </w:rPr>
        <w:t xml:space="preserve">in the event of any conflict between the express terms and provisions of this Agreement or any other Loan Document, on the one hand, and of the Pari Passu Intercreditor Agreement and any Customary Intercreditor Agreements then in effect, on the other hand, the terms and provisions of the Pari Passu Intercreditor Agreement and relevant Customary Intercreditor Agreements shall control, and </w:t>
      </w:r>
      <w:bookmarkStart w:id="1234" w:name="docxtextref2076"/>
      <w:bookmarkEnd w:id="1234"/>
      <w:r>
        <w:rPr>
          <w:rFonts w:ascii="Times New Roman;serif" w:hAnsi="Times New Roman;serif"/>
          <w:b w:val="false"/>
          <w:sz w:val="22"/>
        </w:rPr>
        <w:t>(c)</w:t>
      </w:r>
      <w:r>
        <w:rPr>
          <w:rFonts w:ascii="Times New Roman" w:hAnsi="Times New Roman"/>
          <w:sz w:val="20"/>
        </w:rPr>
        <w:t xml:space="preserve"> </w:t>
      </w:r>
      <w:r>
        <w:rPr>
          <w:rFonts w:ascii="Times New Roman;serif" w:hAnsi="Times New Roman;serif"/>
          <w:b w:val="false"/>
          <w:sz w:val="22"/>
        </w:rPr>
        <w:t>each Lender authorizes the Administrative Agent and/or the Collateral Agent to execute the Pari Passu Intercreditor Agreement and any such Customary Intercreditor Agreement (or amendment thereof) on behalf of such Lender, and such Lender agrees to be bound by the terms thereof.</w:t>
      </w:r>
    </w:p>
    <w:p>
      <w:pPr>
        <w:pStyle w:val="TextBody"/>
        <w:bidi w:val="0"/>
        <w:spacing w:before="0" w:after="240"/>
        <w:jc w:val="both"/>
        <w:rPr>
          <w:rFonts w:ascii="Times New Roman" w:hAnsi="Times New Roman"/>
          <w:sz w:val="20"/>
        </w:rPr>
      </w:pPr>
      <w:r>
        <w:rPr>
          <w:rFonts w:ascii="Times New Roman;serif" w:hAnsi="Times New Roman;serif"/>
          <w:b w:val="false"/>
          <w:sz w:val="22"/>
        </w:rPr>
        <w:t>(b) Each Secured Party hereby agrees that the Administrative Agent and/or Collateral Agent may enter into any intercreditor agreement and/or subordination agreement (or amendment thereof) pursuant to, or contemplated by, the terms of this Agreement (including with respect to Indebtedness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permitted pursuant to </w:t>
      </w:r>
      <w:r>
        <w:rPr>
          <w:rFonts w:ascii="Times New Roman;serif" w:hAnsi="Times New Roman;serif"/>
          <w:b w:val="false"/>
          <w:sz w:val="22"/>
          <w:u w:val="single"/>
        </w:rPr>
        <w:t>Section 6.01</w:t>
      </w:r>
      <w:r>
        <w:rPr>
          <w:rFonts w:ascii="Times New Roman;serif" w:hAnsi="Times New Roman;serif"/>
          <w:b w:val="false"/>
          <w:sz w:val="22"/>
        </w:rPr>
        <w:t xml:space="preserve">, any applicable Liens on Collateral permitted pursuant to </w:t>
      </w:r>
      <w:r>
        <w:rPr>
          <w:rFonts w:ascii="Times New Roman;serif" w:hAnsi="Times New Roman;serif"/>
          <w:b w:val="false"/>
          <w:sz w:val="22"/>
          <w:u w:val="single"/>
        </w:rPr>
        <w:t>Section 6.02</w:t>
      </w:r>
      <w:r>
        <w:rPr>
          <w:rFonts w:ascii="Times New Roman" w:hAnsi="Times New Roman"/>
          <w:sz w:val="20"/>
        </w:rPr>
        <w:t xml:space="preserve"> </w:t>
      </w:r>
      <w:r>
        <w:rPr>
          <w:rFonts w:ascii="Times New Roman;serif" w:hAnsi="Times New Roman;serif"/>
          <w:b w:val="false"/>
          <w:sz w:val="22"/>
        </w:rPr>
        <w:t>and, in each case, together with the defined terms referenced therein) on its behalf and agrees to be bound by the terms thereof and, in each case, consents and agrees to the appointment of Barclays Bank PLC (or its affiliated designee, representative or agent) on its behalf as collateral agent, respectively, thereunder.</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(c) Notwithstanding anything to the contrary herein, the Pari Passu Intercreditor Agreement and/or the Second Lien Intercreditor Agreement, as applicable, shall be deemed to be reasonable and acceptable to the Administrative Agent and the Lenders, and the Administrative Agent and the Lenders shall be deemed to have consented to the use of each such intercreditor agreement (and to the Administrative Agent’s execution thereof) in connection with any Indebtedness permitted to be incurred, issued and/or assumed by the Borrower or any of its Subsidiaries pursuant to </w:t>
      </w:r>
      <w:r>
        <w:rPr>
          <w:rFonts w:ascii="Times New Roman;serif" w:hAnsi="Times New Roman;serif"/>
          <w:b w:val="false"/>
          <w:sz w:val="22"/>
          <w:u w:val="single"/>
        </w:rPr>
        <w:t>Section 6.01</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9.18 </w:t>
      </w:r>
      <w:r>
        <w:rPr>
          <w:rFonts w:ascii="Times New Roman;serif" w:hAnsi="Times New Roman;serif"/>
          <w:b w:val="false"/>
          <w:sz w:val="22"/>
          <w:u w:val="single"/>
        </w:rPr>
        <w:t>Cashless Settlement</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Bidco, the Administrative Agent and such Lender.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9.19 </w:t>
      </w:r>
      <w:r>
        <w:rPr>
          <w:rFonts w:ascii="Times New Roman;serif" w:hAnsi="Times New Roman;serif"/>
          <w:b w:val="false"/>
          <w:sz w:val="22"/>
          <w:u w:val="single"/>
        </w:rPr>
        <w:t>Acknowledgement and Consent to Bail-In of EEA Financial Institutions</w:t>
      </w:r>
      <w:r>
        <w:rPr>
          <w:rFonts w:ascii="Times New Roman;serif" w:hAnsi="Times New Roman;serif"/>
          <w:b w:val="false"/>
          <w:sz w:val="22"/>
        </w:rPr>
        <w:t>.</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(a) the application of any Write-Down and Conversion Powers by an EEA Resolution Authority to any such liabilities arising hereunder which may be payable to it by any party hereto that is an EEA Financial Institution; and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(b) the effects of any Bail-In Action on any such liability, including, if applicable: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 reduction in full or in part or cancellation of any such liability;</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(iii) the variation of the terms of such liability in connection with the exercise of the Write-Down and Conversion Powers of any EEA Resolution Authority</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9.20 </w:t>
      </w:r>
      <w:r>
        <w:rPr>
          <w:rFonts w:ascii="Times New Roman;serif" w:hAnsi="Times New Roman;serif"/>
          <w:b w:val="false"/>
          <w:sz w:val="22"/>
          <w:u w:val="single"/>
        </w:rPr>
        <w:t>Acknowledgement Regarding Any Supported QFCs</w:t>
      </w:r>
      <w:r>
        <w:rPr>
          <w:rFonts w:ascii="Times New Roman;serif" w:hAnsi="Times New Roman;serif"/>
          <w:b w:val="false"/>
          <w:sz w:val="22"/>
        </w:rPr>
        <w:t>. To the extent that the Loan Documents provide support, through a guarantee or otherwise, for any Swap Agreement or any other agreement or instrument that is a QFC (such support, “</w:t>
      </w:r>
      <w:r>
        <w:rPr>
          <w:rFonts w:ascii="Times New Roman;serif" w:hAnsi="Times New Roman;serif"/>
          <w:b w:val="false"/>
          <w:sz w:val="22"/>
          <w:u w:val="single"/>
        </w:rPr>
        <w:t>QFC Credit Support</w:t>
      </w:r>
      <w:r>
        <w:rPr>
          <w:rFonts w:ascii="Times New Roman" w:hAnsi="Times New Roman"/>
          <w:sz w:val="20"/>
        </w:rPr>
        <w:t>”</w:t>
      </w:r>
      <w:r>
        <w:rPr>
          <w:rFonts w:ascii="Times New Roman;serif" w:hAnsi="Times New Roman;serif"/>
          <w:b w:val="false"/>
          <w:sz w:val="22"/>
        </w:rPr>
        <w:t>, and each such QFC, a “</w:t>
      </w:r>
      <w:r>
        <w:rPr>
          <w:rFonts w:ascii="Times New Roman;serif" w:hAnsi="Times New Roman;serif"/>
          <w:b w:val="false"/>
          <w:sz w:val="22"/>
          <w:u w:val="single"/>
        </w:rPr>
        <w:t>Supported QFC</w:t>
      </w:r>
      <w:r>
        <w:rPr>
          <w:rFonts w:ascii="Times New Roman" w:hAnsi="Times New Roman"/>
          <w:sz w:val="20"/>
        </w:rPr>
        <w:t>”</w:t>
      </w:r>
      <w:r>
        <w:rPr>
          <w:rFonts w:ascii="Times New Roman;serif" w:hAnsi="Times New Roman;serif"/>
          <w:b w:val="false"/>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sz w:val="22"/>
          <w:u w:val="single"/>
        </w:rPr>
        <w:t>U.S. Special Resolution Regimes</w:t>
      </w:r>
      <w:r>
        <w:rPr>
          <w:rFonts w:ascii="Times New Roman" w:hAnsi="Times New Roman"/>
          <w:sz w:val="20"/>
        </w:rPr>
        <w:t>”</w:t>
      </w:r>
      <w:r>
        <w:rPr>
          <w:rFonts w:ascii="Times New Roman;serif" w:hAnsi="Times New Roman;serif"/>
          <w:b w:val="false"/>
          <w:sz w:val="22"/>
        </w:rPr>
        <w:t>) in respect of such Supported QFC and QFC Credit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serif" w:hAnsi="Times New Roman;serif"/>
          <w:b w:val="false"/>
          <w:sz w:val="22"/>
        </w:rPr>
        <w:t>(a) In the event a Covered Entity that is party to a Supported QFC (each, a “</w:t>
      </w:r>
      <w:r>
        <w:rPr>
          <w:rFonts w:ascii="Times New Roman;serif" w:hAnsi="Times New Roman;serif"/>
          <w:b w:val="false"/>
          <w:sz w:val="22"/>
          <w:u w:val="single"/>
        </w:rPr>
        <w:t>Covered Party</w:t>
      </w:r>
      <w:r>
        <w:rPr>
          <w:rFonts w:ascii="Times New Roman" w:hAnsi="Times New Roman"/>
          <w:sz w:val="20"/>
        </w:rPr>
        <w:t>”</w:t>
      </w:r>
      <w:r>
        <w:rPr>
          <w:rFonts w:ascii="Times New Roman;serif" w:hAnsi="Times New Roman;serif"/>
          <w:b w:val="false"/>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As used in this </w:t>
      </w:r>
      <w:r>
        <w:rPr>
          <w:rFonts w:ascii="Times New Roman;serif" w:hAnsi="Times New Roman;serif"/>
          <w:b w:val="false"/>
          <w:sz w:val="22"/>
          <w:u w:val="single"/>
        </w:rPr>
        <w:t>Section 9.20</w:t>
      </w:r>
      <w:r>
        <w:rPr>
          <w:rFonts w:ascii="Times New Roman;serif" w:hAnsi="Times New Roman;serif"/>
          <w:b w:val="false"/>
          <w:sz w:val="22"/>
        </w:rPr>
        <w:t>, the following terms have the following meanings:</w:t>
      </w:r>
    </w:p>
    <w:p>
      <w:pPr>
        <w:pStyle w:val="TextBody"/>
        <w:bidi w:val="0"/>
        <w:spacing w:before="0" w:after="240"/>
        <w:jc w:val="both"/>
        <w:rPr/>
      </w:pPr>
      <w:r>
        <w:rPr/>
        <w:t>“</w:t>
      </w:r>
      <w:r>
        <w:rPr>
          <w:rFonts w:ascii="Times New Roman;serif" w:hAnsi="Times New Roman;serif"/>
          <w:b w:val="false"/>
          <w:sz w:val="22"/>
          <w:u w:val="single"/>
        </w:rPr>
        <w:t>BHC Act Affiliate</w:t>
      </w:r>
      <w:r>
        <w:rPr>
          <w:rFonts w:ascii="Times New Roman" w:hAnsi="Times New Roman"/>
          <w:sz w:val="20"/>
        </w:rPr>
        <w:t xml:space="preserve">” </w:t>
      </w:r>
      <w:r>
        <w:rPr>
          <w:rFonts w:ascii="Times New Roman;serif" w:hAnsi="Times New Roman;serif"/>
          <w:b w:val="false"/>
          <w:sz w:val="22"/>
        </w:rPr>
        <w:t>of a party means an “affiliate” (as such term is defined under, and interpreted in accordance with, 12 U.S.C. 1841(k)) of such party.</w:t>
      </w:r>
    </w:p>
    <w:p>
      <w:pPr>
        <w:pStyle w:val="TextBody"/>
        <w:bidi w:val="0"/>
        <w:spacing w:before="0" w:after="240"/>
        <w:jc w:val="both"/>
        <w:rPr/>
      </w:pPr>
      <w:r>
        <w:rPr/>
        <w:t>“</w:t>
      </w:r>
      <w:r>
        <w:rPr>
          <w:rFonts w:ascii="Times New Roman;serif" w:hAnsi="Times New Roman;serif"/>
          <w:b w:val="false"/>
          <w:sz w:val="22"/>
          <w:u w:val="single"/>
        </w:rPr>
        <w:t>Covered Entity</w:t>
      </w:r>
      <w:r>
        <w:rPr>
          <w:rFonts w:ascii="Times New Roman" w:hAnsi="Times New Roman"/>
          <w:sz w:val="20"/>
        </w:rPr>
        <w:t xml:space="preserve">” </w:t>
      </w:r>
      <w:r>
        <w:rPr>
          <w:rFonts w:ascii="Times New Roman;serif" w:hAnsi="Times New Roman;serif"/>
          <w:b w:val="false"/>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jc w:val="both"/>
        <w:rPr/>
      </w:pPr>
      <w:r>
        <w:rPr/>
        <w:t>“</w:t>
      </w:r>
      <w:r>
        <w:rPr>
          <w:rFonts w:ascii="Times New Roman;serif" w:hAnsi="Times New Roman;serif"/>
          <w:b w:val="false"/>
          <w:sz w:val="22"/>
          <w:u w:val="single"/>
        </w:rPr>
        <w:t>Default Right</w:t>
      </w:r>
      <w:r>
        <w:rPr>
          <w:rFonts w:ascii="Times New Roman" w:hAnsi="Times New Roman"/>
          <w:sz w:val="20"/>
        </w:rPr>
        <w:t xml:space="preserve">” </w:t>
      </w:r>
      <w:r>
        <w:rPr>
          <w:rFonts w:ascii="Times New Roman;serif" w:hAnsi="Times New Roman;serif"/>
          <w:b w:val="false"/>
          <w:sz w:val="22"/>
        </w:rPr>
        <w:t>has the meaning assigned to that term in, and shall be interpreted in accordance with, 12 C.F.R. §§ 252.81, 47.2 or 382.1, as applicable.</w:t>
      </w:r>
    </w:p>
    <w:p>
      <w:pPr>
        <w:pStyle w:val="TextBody"/>
        <w:bidi w:val="0"/>
        <w:spacing w:before="0" w:after="240"/>
        <w:jc w:val="both"/>
        <w:rPr/>
      </w:pPr>
      <w:r>
        <w:rPr/>
        <w:t>“</w:t>
      </w:r>
      <w:r>
        <w:rPr>
          <w:rFonts w:ascii="Times New Roman;serif" w:hAnsi="Times New Roman;serif"/>
          <w:b w:val="false"/>
          <w:sz w:val="22"/>
          <w:u w:val="single"/>
        </w:rPr>
        <w:t>QFC</w:t>
      </w:r>
      <w:r>
        <w:rPr>
          <w:rFonts w:ascii="Times New Roman" w:hAnsi="Times New Roman"/>
          <w:sz w:val="20"/>
        </w:rPr>
        <w:t xml:space="preserve">” </w:t>
      </w:r>
      <w:r>
        <w:rPr>
          <w:rFonts w:ascii="Times New Roman;serif" w:hAnsi="Times New Roman;serif"/>
          <w:b w:val="false"/>
          <w:sz w:val="22"/>
        </w:rPr>
        <w:t>has the meaning assigned to the term “qualified financial contract” in, and shall be interpreted in accordance with, 12 U.S.C. 5390(c)(8)(D).</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9.21 </w:t>
      </w:r>
      <w:r>
        <w:rPr>
          <w:rFonts w:ascii="Times New Roman;serif" w:hAnsi="Times New Roman;serif"/>
          <w:b w:val="false"/>
          <w:sz w:val="22"/>
          <w:u w:val="single"/>
        </w:rPr>
        <w:t>Joint and Several Liability</w:t>
      </w:r>
      <w:r>
        <w:rPr>
          <w:rFonts w:ascii="Times New Roman;serif" w:hAnsi="Times New Roman;serif"/>
          <w:b w:val="false"/>
          <w:sz w:val="22"/>
        </w:rPr>
        <w:t>. Each Borrower agrees that it is jointly and severally liable for the obligations of the other Borrowers hereunder, including with respect to the payment of principal of and interest on all Loans and the payment of fees and indemnities and reimbursement of costs and expenses. This shall not prejudice the obligations of any Borrower (solely in its capacity as a Guarantor) in respect of any Indebtedness that does not have a co-borrower structure.</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9.22 </w:t>
      </w:r>
      <w:r>
        <w:rPr>
          <w:rFonts w:ascii="Times New Roman;serif" w:hAnsi="Times New Roman;serif"/>
          <w:b w:val="false"/>
          <w:sz w:val="22"/>
          <w:u w:val="single"/>
        </w:rPr>
        <w:t>Judgment Currency</w:t>
      </w:r>
      <w:r>
        <w:rPr>
          <w:rFonts w:ascii="Times New Roman;serif" w:hAnsi="Times New Roman;serif"/>
          <w:b w:val="false"/>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applicable Agent could purchase the first currency with such other currency on the Business Day preceding that on which final judgment is given. The obligation of any Borrower in respect of any such sum due from it to the applicable Agent or the Lenders hereunder or under the other Loan Documents shall, notwithstanding any judgment in a currency (the “</w:t>
      </w:r>
      <w:r>
        <w:rPr>
          <w:rFonts w:ascii="Times New Roman;serif" w:hAnsi="Times New Roman;serif"/>
          <w:b w:val="false"/>
          <w:sz w:val="22"/>
          <w:u w:val="single"/>
        </w:rPr>
        <w:t>Judgment Currency</w:t>
      </w:r>
      <w:r>
        <w:rPr>
          <w:rFonts w:ascii="Times New Roman" w:hAnsi="Times New Roman"/>
          <w:sz w:val="20"/>
        </w:rPr>
        <w:t>”</w:t>
      </w:r>
      <w:r>
        <w:rPr>
          <w:rFonts w:ascii="Times New Roman;serif" w:hAnsi="Times New Roman;serif"/>
          <w:b w:val="false"/>
          <w:sz w:val="22"/>
        </w:rPr>
        <w:t>) other than that in which such sum is denominated in accordance with the applicable provisions of this Agreement (the “</w:t>
      </w:r>
      <w:r>
        <w:rPr>
          <w:rFonts w:ascii="Times New Roman;serif" w:hAnsi="Times New Roman;serif"/>
          <w:b w:val="false"/>
          <w:sz w:val="22"/>
          <w:u w:val="single"/>
        </w:rPr>
        <w:t>Agreement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u w:val="single"/>
        </w:rPr>
        <w:t>Currency</w:t>
      </w:r>
      <w:r>
        <w:rPr>
          <w:rFonts w:ascii="Times New Roman" w:hAnsi="Times New Roman"/>
          <w:sz w:val="20"/>
        </w:rPr>
        <w:t>”</w:t>
      </w:r>
      <w:r>
        <w:rPr>
          <w:rFonts w:ascii="Times New Roman;serif" w:hAnsi="Times New Roman;serif"/>
          <w:b w:val="false"/>
          <w:sz w:val="22"/>
        </w:rPr>
        <w:t>), be discharged only to the extent that on the Business Day following receipt by the applicable Agent of any sum adjudged to be so due in the Judgment Currency, the applicable Agent may in accordance with normal banking procedures purchase the Agreement Currency with the Judgment Currency. If the amount of the Agreement Currency so purchased is less than the sum originally due to the applicable Agent from the applicable Borrower in the Agreement Currency, the Borrowers agree, as a separate obligation and notwithstanding any such judgment, to indemnify the applicable Agent or the Person to whom such obligation was owing against such loss. If the amount of the Agreement Currency so purchased is greater than the sum originally due to the applicable Agent in such currency, the applicable Agent agrees to return the amount.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9.23 </w:t>
      </w:r>
      <w:r>
        <w:rPr>
          <w:rFonts w:ascii="Times New Roman;serif" w:hAnsi="Times New Roman;serif"/>
          <w:b w:val="false"/>
          <w:sz w:val="22"/>
          <w:u w:val="single"/>
        </w:rPr>
        <w:t>Lender Affiliates and Facility Offices</w:t>
      </w:r>
      <w:r>
        <w:rPr>
          <w:rFonts w:ascii="Times New Roman;serif" w:hAnsi="Times New Roman;serif"/>
          <w:b w:val="false"/>
          <w:sz w:val="22"/>
        </w:rPr>
        <w:t>.</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(a) In respect of a Revolving Loan or Letters of Credit to a particular Borrower (“</w:t>
      </w:r>
      <w:r>
        <w:rPr>
          <w:rFonts w:ascii="Times New Roman;serif" w:hAnsi="Times New Roman;serif"/>
          <w:b w:val="false"/>
          <w:sz w:val="22"/>
          <w:u w:val="single"/>
        </w:rPr>
        <w:t>Designated Loans</w:t>
      </w:r>
      <w:r>
        <w:rPr>
          <w:rFonts w:ascii="Times New Roman" w:hAnsi="Times New Roman"/>
          <w:sz w:val="20"/>
        </w:rPr>
        <w:t>”</w:t>
      </w:r>
      <w:r>
        <w:rPr>
          <w:rFonts w:ascii="Times New Roman;serif" w:hAnsi="Times New Roman;serif"/>
          <w:b w:val="false"/>
          <w:sz w:val="22"/>
        </w:rPr>
        <w:t>), a Revolving Lender (a “</w:t>
      </w:r>
      <w:r>
        <w:rPr>
          <w:rFonts w:ascii="Times New Roman;serif" w:hAnsi="Times New Roman;serif"/>
          <w:b w:val="false"/>
          <w:sz w:val="22"/>
          <w:u w:val="single"/>
        </w:rPr>
        <w:t>Designating Lender</w:t>
      </w:r>
      <w:r>
        <w:rPr>
          <w:rFonts w:ascii="Times New Roman" w:hAnsi="Times New Roman"/>
          <w:sz w:val="20"/>
        </w:rPr>
        <w:t>”</w:t>
      </w:r>
      <w:r>
        <w:rPr>
          <w:rFonts w:ascii="Times New Roman;serif" w:hAnsi="Times New Roman;serif"/>
          <w:b w:val="false"/>
          <w:sz w:val="22"/>
        </w:rPr>
        <w:t>) may at any time and from time to time designate (by written notice to the Administrative Agent and the Borrower Representative):</w:t>
      </w:r>
    </w:p>
    <w:p>
      <w:pPr>
        <w:pStyle w:val="TextBody"/>
        <w:bidi w:val="0"/>
        <w:spacing w:before="0" w:after="240"/>
        <w:jc w:val="both"/>
        <w:rPr>
          <w:rFonts w:ascii="Times New Roman" w:hAnsi="Times New Roman"/>
          <w:sz w:val="20"/>
        </w:rPr>
      </w:pPr>
      <w:r>
        <w:rPr>
          <w:rFonts w:ascii="Times New Roman;serif" w:hAnsi="Times New Roman;serif"/>
          <w:b w:val="false"/>
          <w:sz w:val="22"/>
        </w:rPr>
        <w:t>(i) a substitute Lending Office from which it will make Designated Loans (a “</w:t>
      </w:r>
      <w:r>
        <w:rPr>
          <w:rFonts w:ascii="Times New Roman;serif" w:hAnsi="Times New Roman;serif"/>
          <w:b w:val="false"/>
          <w:sz w:val="22"/>
          <w:u w:val="single"/>
        </w:rPr>
        <w:t>Substitute Lending Office</w:t>
      </w:r>
      <w:r>
        <w:rPr>
          <w:rFonts w:ascii="Times New Roman" w:hAnsi="Times New Roman"/>
          <w:sz w:val="20"/>
        </w:rPr>
        <w:t>”</w:t>
      </w:r>
      <w:r>
        <w:rPr>
          <w:rFonts w:ascii="Times New Roman;serif" w:hAnsi="Times New Roman;serif"/>
          <w:b w:val="false"/>
          <w:sz w:val="22"/>
        </w:rPr>
        <w:t>); or</w:t>
      </w:r>
    </w:p>
    <w:p>
      <w:pPr>
        <w:pStyle w:val="TextBody"/>
        <w:bidi w:val="0"/>
        <w:spacing w:before="0" w:after="240"/>
        <w:jc w:val="both"/>
        <w:rPr>
          <w:rFonts w:ascii="Times New Roman" w:hAnsi="Times New Roman"/>
          <w:sz w:val="20"/>
        </w:rPr>
      </w:pPr>
      <w:r>
        <w:rPr>
          <w:rFonts w:ascii="Times New Roman;serif" w:hAnsi="Times New Roman;serif"/>
          <w:b w:val="false"/>
          <w:sz w:val="22"/>
        </w:rPr>
        <w:t>(ii) nominate an Affiliate to act as the Lender of Designated Loans (a “</w:t>
      </w:r>
      <w:r>
        <w:rPr>
          <w:rFonts w:ascii="Times New Roman;serif" w:hAnsi="Times New Roman;serif"/>
          <w:b w:val="false"/>
          <w:sz w:val="22"/>
          <w:u w:val="single"/>
        </w:rPr>
        <w:t>Substitute Affiliate Lender</w:t>
      </w:r>
      <w:r>
        <w:rPr>
          <w:rFonts w:ascii="Times New Roman" w:hAnsi="Times New Roman"/>
          <w:sz w:val="20"/>
        </w:rPr>
        <w:t>”</w:t>
      </w:r>
      <w:r>
        <w:rPr>
          <w:rFonts w:ascii="Times New Roman;serif" w:hAnsi="Times New Roman;serif"/>
          <w:b w:val="false"/>
          <w:sz w:val="22"/>
        </w:rPr>
        <w:t>).</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(b) A notice to nominate a Substitute Affiliate Lender must be in the form set out in </w:t>
      </w:r>
      <w:r>
        <w:rPr>
          <w:rFonts w:ascii="Times New Roman;serif" w:hAnsi="Times New Roman;serif"/>
          <w:b w:val="false"/>
          <w:sz w:val="22"/>
          <w:u w:val="single"/>
        </w:rPr>
        <w:t>Exhibit Y</w:t>
      </w:r>
      <w:r>
        <w:rPr>
          <w:rFonts w:ascii="Times New Roman" w:hAnsi="Times New Roman"/>
          <w:sz w:val="20"/>
        </w:rPr>
        <w:t xml:space="preserve"> </w:t>
      </w:r>
      <w:r>
        <w:rPr>
          <w:rFonts w:ascii="Times New Roman;serif" w:hAnsi="Times New Roman;serif"/>
          <w:b w:val="false"/>
          <w:sz w:val="22"/>
        </w:rPr>
        <w:t>and be countersigned by the relevant Substitute Affiliate Lender confirming it will be bound as a Lender under this Agreement in respect of the Designated Loans in respect of which it acts as Lender.</w:t>
      </w:r>
    </w:p>
    <w:p>
      <w:pPr>
        <w:pStyle w:val="TextBody"/>
        <w:bidi w:val="0"/>
        <w:spacing w:before="0" w:after="240"/>
        <w:jc w:val="both"/>
        <w:rPr>
          <w:rFonts w:ascii="Times New Roman" w:hAnsi="Times New Roman"/>
          <w:sz w:val="20"/>
        </w:rPr>
      </w:pPr>
      <w:r>
        <w:rPr>
          <w:rFonts w:ascii="Times New Roman;serif" w:hAnsi="Times New Roman;serif"/>
          <w:b w:val="false"/>
          <w:sz w:val="22"/>
        </w:rPr>
        <w:t>(c) The Designating Lender will act as the representative of any Substitute Affiliate Lender it nominates for all administrative purposes under this Agreement. The Loan Parties, the Administrative Agent, the Collateral Agent and the other Secured Parties will be entitled to deal only with the Designating Lender, except that payments will be made in respect of Designated Loans to the Lending Office of the Substitute Affiliate Lender. In particular the Commitments of the Designating Lender will not be treated as reduced by the introduction of the Substitute Affiliate Lender for voting purposes under this Agreement or the other Loan Documents.</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 If a Designating Lender nominates a Substitute Lending Office or a Substitute Affiliate Lender and as a result of circumstances existing at the date of such substitution, a Loan Party would be obliged to make a payment on account of, or to, the Substitute Lending Office or Substitute Affiliate Lender (as applicable) under Section 2.16 (Taxes) then the Lender acting through its Substitute Lending Office or the Substitute Affiliate Lender (as applicable) is only entitled to receive payment under Section 2.16 to the same extent as the Designating Lender would have been if the substitution had not occurred.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 Save as mentioned in clause (c) above, a Substitute Affiliate Lender will be treated as a Lender for all purposes under the Loan Documents and having a Revolving Credit Commitment equal to the principal amount of all Designated Loans in which it is participating if and for so long as it continues to be a Substitute Affiliate Lender under this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(f) A Designating Lender may revoke its designation of an Affiliate as a Substitute Affiliate Lender by notice in writing to the Administrative Agent, Bidco and the Borrower Representative; provided that such notice may only take effect when there are no Designated Loans outstanding to the Substitute Affiliate Lender. Upon such Substitute Affiliate Lender ceasing to be a Substitute Affiliate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-219-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Lender the Designating Lender will automatically assume (and be deemed to assume without further action by any Party) all rights and obligations previously vested in the Substitute Affiliate Lender.</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(g) If a Designating Lender designates a Substitute Lending Office or Substitute Affiliate Lender in accordance with this clause:</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(i) any Substitute Affiliate Lender shall be treated for the purposes of Section 2.16 as having become a Lender on the date of this Agreement; and</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(ii) the provisions of </w:t>
      </w:r>
      <w:r>
        <w:rPr>
          <w:rFonts w:ascii="Times New Roman;serif" w:hAnsi="Times New Roman;serif"/>
          <w:b w:val="false"/>
          <w:sz w:val="22"/>
          <w:u w:val="single"/>
        </w:rPr>
        <w:t>Section 9.23(e)</w:t>
      </w:r>
      <w:r>
        <w:rPr>
          <w:rFonts w:ascii="Times New Roman" w:hAnsi="Times New Roman"/>
          <w:sz w:val="20"/>
        </w:rPr>
        <w:t xml:space="preserve"> </w:t>
      </w:r>
      <w:r>
        <w:rPr>
          <w:rFonts w:ascii="Times New Roman;serif" w:hAnsi="Times New Roman;serif"/>
          <w:b w:val="false"/>
          <w:sz w:val="22"/>
        </w:rPr>
        <w:t>shall not apply to or in respect of any Substitute Lending Office or Substitute Affiliate Lender.</w:t>
      </w:r>
    </w:p>
    <w:p>
      <w:pPr>
        <w:pStyle w:val="TextBody"/>
        <w:bidi w:val="0"/>
        <w:spacing w:before="0" w:after="240"/>
        <w:jc w:val="both"/>
        <w:rPr>
          <w:rFonts w:ascii="Times New Roman" w:hAnsi="Times New Roman"/>
          <w:sz w:val="20"/>
        </w:rPr>
      </w:pPr>
      <w:r>
        <w:rPr>
          <w:rFonts w:ascii="Times New Roman;serif" w:hAnsi="Times New Roman;serif"/>
          <w:b w:val="false"/>
          <w:caps/>
          <w:sz w:val="22"/>
        </w:rPr>
        <w:t xml:space="preserve">Section 9.24 </w:t>
      </w:r>
      <w:r>
        <w:rPr>
          <w:rFonts w:ascii="Times New Roman;serif" w:hAnsi="Times New Roman;serif"/>
          <w:b w:val="false"/>
          <w:sz w:val="22"/>
          <w:u w:val="single"/>
        </w:rPr>
        <w:t>Interim Facilities Agreement</w:t>
      </w:r>
      <w:r>
        <w:rPr>
          <w:rFonts w:ascii="Times New Roman;serif" w:hAnsi="Times New Roman;serif"/>
          <w:b w:val="false"/>
          <w:sz w:val="22"/>
        </w:rPr>
        <w:t>. Each party to this Agreement that is a party to the Interim Facilities Agreement hereby acknowledges and agrees, in its capacity as a party to the Interim Facilities Agreement only (and, for the avoidance of doubt, without prejudice to any such party’s obligations under this Agreement), that upon, and effective as of, the borrowing of the Initial Term Loans on the Effective Date, (i) all commitments of the Interim Finance Parties under the Interim Facilities Agreement to make loans or otherwise extend credit to the Finco Borrower, in its capacity as Borrower under and as defined in the Interim Facilities Agreement, shall be terminated, and (ii) the Interim Facilities Agreement and all other Interim Finance Documents (as defined in the Interim Facilities Agreement) shall terminate and have no further force or effect, except only those provisions that are expressly specified in the Interim Facilities Agreement and all other Interim Finance Documents as surviving that respective agreement’s termination.</w:t>
      </w:r>
    </w:p>
    <w:p>
      <w:pPr>
        <w:pStyle w:val="TextBody"/>
        <w:bidi w:val="0"/>
        <w:spacing w:before="480" w:after="240"/>
        <w:jc w:val="center"/>
        <w:rPr/>
      </w:pPr>
      <w:r>
        <w:rPr/>
        <w:t> </w:t>
      </w:r>
    </w:p>
    <w:p>
      <w:pPr>
        <w:pStyle w:val="TextBody"/>
        <w:bidi w:val="0"/>
        <w:spacing w:before="48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Remainder of Page Intentionally Left Blank.</w:t>
      </w:r>
      <w:r>
        <w:rPr>
          <w:rFonts w:ascii="Times New Roman;serif" w:hAnsi="Times New Roman;serif"/>
          <w:b w:val="false"/>
          <w:sz w:val="22"/>
        </w:rPr>
        <w: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-220-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720"/>
        <w:jc w:val="both"/>
        <w:rPr>
          <w:rFonts w:ascii="Times New Roman;serif" w:hAnsi="Times New Roman;serif"/>
          <w:b w:val="false"/>
          <w:sz w:val="22"/>
        </w:rPr>
      </w:pPr>
      <w:r>
        <w:rPr>
          <w:rFonts w:ascii="Times New Roman;serif" w:hAnsi="Times New Roman;serif"/>
          <w:b w:val="false"/>
          <w:sz w:val="22"/>
        </w:rPr>
        <w:t>IN WITNESS WHEREOF, the parties hereto have caused this Agreement to be duly executed by their respective authorized officers as of the day and year first above written.</w:t>
      </w:r>
    </w:p>
    <w:p>
      <w:pPr>
        <w:pStyle w:val="TextBody"/>
        <w:bidi w:val="0"/>
        <w:spacing w:before="0" w:after="480"/>
        <w:jc w:val="left"/>
        <w:rPr>
          <w:rFonts w:ascii="Times New Roman" w:hAnsi="Times New Roman"/>
          <w:sz w:val="20"/>
        </w:rPr>
      </w:pPr>
      <w:r>
        <w:rPr>
          <w:rFonts w:ascii="Times New Roman;serif" w:hAnsi="Times New Roman;serif"/>
          <w:b/>
          <w:sz w:val="22"/>
        </w:rPr>
        <w:t>CONNECT MIDCO LIMITED</w:t>
      </w:r>
      <w:r>
        <w:rPr>
          <w:rFonts w:ascii="Times New Roman;serif" w:hAnsi="Times New Roman;serif"/>
          <w:b w:val="false"/>
          <w:sz w:val="22"/>
        </w:rPr>
        <w:t>, as Initial Holdings</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/s/Antony Bates </w:t>
      </w:r>
      <w:r>
        <w:rPr>
          <w:rFonts w:ascii="Times New Roman;serif" w:hAnsi="Times New Roman;serif"/>
          <w:b w:val="false"/>
          <w:sz w:val="22"/>
        </w:rPr>
        <w:br/>
        <w:t>Name: Antony Bates</w:t>
        <w:br/>
        <w:t>Title: Authorized Signatory</w:t>
      </w:r>
    </w:p>
    <w:p>
      <w:pPr>
        <w:pStyle w:val="TextBody"/>
        <w:bidi w:val="0"/>
        <w:spacing w:before="0" w:after="480"/>
        <w:jc w:val="left"/>
        <w:rPr>
          <w:rFonts w:ascii="Times New Roman" w:hAnsi="Times New Roman"/>
          <w:sz w:val="20"/>
        </w:rPr>
      </w:pPr>
      <w:r>
        <w:rPr>
          <w:rFonts w:ascii="Times New Roman;serif" w:hAnsi="Times New Roman;serif"/>
          <w:b/>
          <w:sz w:val="22"/>
        </w:rPr>
        <w:t>CONNECT BIDCO LIMITED</w:t>
      </w:r>
      <w:r>
        <w:rPr>
          <w:rFonts w:ascii="Times New Roman;serif" w:hAnsi="Times New Roman;serif"/>
          <w:b w:val="false"/>
          <w:sz w:val="22"/>
        </w:rPr>
        <w:t>, as Bidco</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/s/Antony Bates </w:t>
      </w:r>
      <w:r>
        <w:rPr>
          <w:rFonts w:ascii="Times New Roman;serif" w:hAnsi="Times New Roman;serif"/>
          <w:b w:val="false"/>
          <w:sz w:val="22"/>
        </w:rPr>
        <w:br/>
        <w:t>Name: Antony Bates</w:t>
        <w:br/>
        <w:t>Title: Authorized Signatory</w:t>
      </w:r>
    </w:p>
    <w:p>
      <w:pPr>
        <w:pStyle w:val="TextBody"/>
        <w:bidi w:val="0"/>
        <w:spacing w:before="0" w:after="480"/>
        <w:jc w:val="left"/>
        <w:rPr>
          <w:rFonts w:ascii="Times New Roman" w:hAnsi="Times New Roman"/>
          <w:sz w:val="20"/>
        </w:rPr>
      </w:pPr>
      <w:r>
        <w:rPr>
          <w:rFonts w:ascii="Times New Roman;serif" w:hAnsi="Times New Roman;serif"/>
          <w:b/>
          <w:sz w:val="22"/>
        </w:rPr>
        <w:t>CONNECT FINCO SARL</w:t>
      </w:r>
      <w:r>
        <w:rPr>
          <w:rFonts w:ascii="Times New Roman;serif" w:hAnsi="Times New Roman;serif"/>
          <w:b w:val="false"/>
          <w:sz w:val="22"/>
        </w:rPr>
        <w:t>, as a Borrower</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/s/Antony Bates </w:t>
      </w:r>
      <w:r>
        <w:rPr>
          <w:rFonts w:ascii="Times New Roman;serif" w:hAnsi="Times New Roman;serif"/>
          <w:b w:val="false"/>
          <w:sz w:val="22"/>
        </w:rPr>
        <w:br/>
        <w:t>Name: Antony Bates</w:t>
        <w:br/>
        <w:t>Title: Manager</w:t>
      </w:r>
    </w:p>
    <w:p>
      <w:pPr>
        <w:pStyle w:val="TextBody"/>
        <w:bidi w:val="0"/>
        <w:spacing w:before="0" w:after="480"/>
        <w:jc w:val="left"/>
        <w:rPr>
          <w:rFonts w:ascii="Times New Roman" w:hAnsi="Times New Roman"/>
          <w:sz w:val="20"/>
        </w:rPr>
      </w:pPr>
      <w:r>
        <w:rPr>
          <w:rFonts w:ascii="Times New Roman;serif" w:hAnsi="Times New Roman;serif"/>
          <w:b/>
          <w:sz w:val="22"/>
        </w:rPr>
        <w:t>CONNECT U.S. FINCO LLC</w:t>
      </w:r>
      <w:r>
        <w:rPr>
          <w:rFonts w:ascii="Times New Roman;serif" w:hAnsi="Times New Roman;serif"/>
          <w:b w:val="false"/>
          <w:sz w:val="22"/>
        </w:rPr>
        <w:t>, as the U.S. Borrower</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/s/Antony Bates </w:t>
      </w:r>
      <w:r>
        <w:rPr>
          <w:rFonts w:ascii="Times New Roman;serif" w:hAnsi="Times New Roman;serif"/>
          <w:b w:val="false"/>
          <w:sz w:val="22"/>
        </w:rPr>
        <w:br/>
        <w:t>Name: Antony Bates</w:t>
        <w:br/>
        <w:t>Title: Manager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BARCLAYS BANK PLC</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in its capacities as Administrative Agent, Collateral Agent, Term Lender, a Revolving Lender, a Swingline Lender, a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/s/Martin Corrigan </w:t>
      </w:r>
      <w:r>
        <w:rPr>
          <w:rFonts w:ascii="Times New Roman;serif" w:hAnsi="Times New Roman;serif"/>
          <w:b w:val="false"/>
          <w:sz w:val="22"/>
        </w:rPr>
        <w:br/>
        <w:t>Name: Martin Corrigan</w:t>
        <w:br/>
        <w:t>Title: Vice President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BANK OF AMERICA, N.A.</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/s/Scott Tolchin </w:t>
      </w:r>
      <w:r>
        <w:rPr>
          <w:rFonts w:ascii="Times New Roman;serif" w:hAnsi="Times New Roman;serif"/>
          <w:b w:val="false"/>
          <w:sz w:val="22"/>
        </w:rPr>
        <w:br/>
        <w:t>Name: Scott Tolchin</w:t>
        <w:br/>
        <w:t>Title: Managing Director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UBS AG, STAMFORD BRANCH</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/s/Darlene Arias </w:t>
      </w:r>
      <w:r>
        <w:rPr>
          <w:rFonts w:ascii="Times New Roman;serif" w:hAnsi="Times New Roman;serif"/>
          <w:b w:val="false"/>
          <w:sz w:val="22"/>
        </w:rPr>
        <w:br/>
        <w:t>Name: Darlene Arias</w:t>
        <w:br/>
        <w:t>Title: Director</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/s/Kenneth Chin </w:t>
      </w:r>
      <w:r>
        <w:rPr>
          <w:rFonts w:ascii="Times New Roman;serif" w:hAnsi="Times New Roman;serif"/>
          <w:b w:val="false"/>
          <w:sz w:val="22"/>
        </w:rPr>
        <w:br/>
        <w:t>Name: Kenneth Chin</w:t>
        <w:br/>
        <w:t>Title: Director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BNP PARIBAS FORTIS S.A./N.V.</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/s/Valérie Jourdan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Val</w:t>
      </w:r>
      <w:r>
        <w:rPr>
          <w:rFonts w:ascii="Times New Roman;serif" w:hAnsi="Times New Roman;serif"/>
          <w:b w:val="false"/>
          <w:sz w:val="22"/>
          <w:u w:val="single"/>
        </w:rPr>
        <w:t>é</w:t>
      </w:r>
      <w:r>
        <w:rPr>
          <w:rFonts w:ascii="Times New Roman;serif" w:hAnsi="Times New Roman;serif"/>
          <w:b w:val="false"/>
          <w:sz w:val="22"/>
        </w:rPr>
        <w:t>rie Jourdan</w:t>
        <w:br/>
        <w:t>Title: Co-Head of Debt Markets, EMEA</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/s/Jean-Philippe Rouane </w:t>
      </w:r>
      <w:r>
        <w:rPr>
          <w:rFonts w:ascii="Times New Roman;serif" w:hAnsi="Times New Roman;serif"/>
          <w:b w:val="false"/>
          <w:sz w:val="22"/>
        </w:rPr>
        <w:br/>
        <w:t>Name: Jean-Philippe Rouane</w:t>
        <w:br/>
        <w:t>Title: Managing Director, EMEA Corporate Debt Platform</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HSBC BANK PLC,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/s/Bradley Wilson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Bradley Wilson</w:t>
        <w:br/>
        <w:t>Title: Director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ING BANK N.V.</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/s/Katarzyna Sek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Katarzyna Sek</w:t>
        <w:br/>
        <w:t>Title: Director, Telecom &amp; Media Finance</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/s/Wim Steenbakkers </w:t>
      </w:r>
      <w:r>
        <w:rPr>
          <w:rFonts w:ascii="Times New Roman;serif" w:hAnsi="Times New Roman;serif"/>
          <w:b w:val="false"/>
          <w:sz w:val="22"/>
        </w:rPr>
        <w:br/>
        <w:t>Name: Wim Steenbakkers</w:t>
        <w:br/>
        <w:t>Title: Managing Director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NATIONAL WESTMINSTER BANK PLC,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/s/Robert Leach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Robert Leach</w:t>
        <w:br/>
        <w:t>Title: Director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SUMITOMO MITSUI BANKING CORPORATION</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/s/[Illegible Signature]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[Illegible Signature]</w:t>
        <w:br/>
        <w:t>Title: Director</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/s/Tomohito Shinozaki </w:t>
      </w:r>
      <w:r>
        <w:rPr>
          <w:rFonts w:ascii="Times New Roman;serif" w:hAnsi="Times New Roman;serif"/>
          <w:b w:val="false"/>
          <w:sz w:val="22"/>
        </w:rPr>
        <w:br/>
        <w:t>Name: Tomohito Shinozaki</w:t>
        <w:br/>
        <w:t>Title: Executive Director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BANCA IMI S.P.A., LONDON BRANCH,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/s/Luigi Napolano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Luigi Napolano</w:t>
        <w:br/>
        <w:t>Title: Authorised Signatory</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/s/Abraham Mall </w:t>
      </w:r>
      <w:r>
        <w:rPr>
          <w:rFonts w:ascii="Times New Roman;serif" w:hAnsi="Times New Roman;serif"/>
          <w:b w:val="false"/>
          <w:sz w:val="22"/>
        </w:rPr>
        <w:br/>
        <w:t>Name: Abraham Mall</w:t>
        <w:br/>
        <w:t>Title: Authorised Signatory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MUFG BANK, LTD.,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/s/Louis L’Heureux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Louis L’Heureux</w:t>
        <w:br/>
        <w:t>Title: Managing Director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NATIXIS, NEW YORK BRANCH,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/s/Robert Chen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Robert Chen</w:t>
        <w:br/>
        <w:t>Title: Managing Director</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/s/Rahul Dani </w:t>
      </w:r>
      <w:r>
        <w:rPr>
          <w:rFonts w:ascii="Times New Roman;serif" w:hAnsi="Times New Roman;serif"/>
          <w:b w:val="false"/>
          <w:sz w:val="22"/>
        </w:rPr>
        <w:br/>
        <w:t>Name: Rahul Dani</w:t>
        <w:br/>
        <w:t>Title: Executive Director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DNB (UK) LIMITED,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/s/Kay Newman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Kay Newman</w:t>
        <w:br/>
        <w:t>Title: Authorised Signatory</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/s/Gemma Coppen </w:t>
      </w:r>
      <w:r>
        <w:rPr>
          <w:rFonts w:ascii="Times New Roman;serif" w:hAnsi="Times New Roman;serif"/>
          <w:b w:val="false"/>
          <w:sz w:val="22"/>
        </w:rPr>
        <w:br/>
        <w:t>Name: Gemma Coppen</w:t>
        <w:br/>
        <w:t>Title: Authorised Signatory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THE BANK OF NOVA SCOTIA, LONDON BRANCH,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/s/Matt Tuskin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Matt Tuskin</w:t>
        <w:br/>
        <w:t>Title: Director</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/s/Ralph Booth </w:t>
      </w:r>
      <w:r>
        <w:rPr>
          <w:rFonts w:ascii="Times New Roman;serif" w:hAnsi="Times New Roman;serif"/>
          <w:b w:val="false"/>
          <w:sz w:val="22"/>
        </w:rPr>
        <w:br/>
        <w:t>Name: Ralph Booth</w:t>
        <w:br/>
        <w:t>Title: Managing Director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MIZUHO BANK, LTD.,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Samuel Barclay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Samuel Barclay</w:t>
        <w:br/>
        <w:t>Title: Managing Director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480"/>
        <w:jc w:val="left"/>
        <w:rPr>
          <w:rFonts w:ascii="Times New Roman" w:hAnsi="Times New Roman"/>
          <w:sz w:val="20"/>
        </w:rPr>
      </w:pPr>
      <w:r>
        <w:rPr>
          <w:rFonts w:ascii="Times New Roman;serif" w:hAnsi="Times New Roman;serif"/>
          <w:b/>
          <w:sz w:val="22"/>
        </w:rPr>
        <w:t xml:space="preserve">J.P. MORGAN AG, </w:t>
      </w:r>
      <w:r>
        <w:rPr>
          <w:rFonts w:ascii="Times New Roman;serif" w:hAnsi="Times New Roman;serif"/>
          <w:b w:val="false"/>
          <w:sz w:val="22"/>
        </w:rPr>
        <w:t>in its capacities as a Revolving Lender and an Issuing Bank</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/s/Miguel Holler </w:t>
      </w:r>
      <w:r>
        <w:rPr>
          <w:rFonts w:ascii="Times New Roman;serif" w:hAnsi="Times New Roman;serif"/>
          <w:b w:val="false"/>
          <w:sz w:val="22"/>
        </w:rPr>
        <w:br/>
        <w:t>Name:</w:t>
      </w:r>
      <w:r>
        <w:rPr>
          <w:rFonts w:ascii="Times New Roman" w:hAnsi="Times New Roman"/>
          <w:sz w:val="20"/>
        </w:rPr>
        <w:t xml:space="preserve"> </w:t>
      </w:r>
      <w:r>
        <w:rPr>
          <w:rFonts w:ascii="Times New Roman;serif" w:hAnsi="Times New Roman;serif"/>
          <w:b w:val="false"/>
          <w:sz w:val="22"/>
        </w:rPr>
        <w:t>Miguel Holler</w:t>
        <w:br/>
        <w:t>Title: Vice President</w:t>
      </w:r>
    </w:p>
    <w:p>
      <w:pPr>
        <w:pStyle w:val="TextBody"/>
        <w:bidi w:val="0"/>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/s/Ralph Kimpel </w:t>
      </w:r>
      <w:r>
        <w:rPr>
          <w:rFonts w:ascii="Times New Roman;serif" w:hAnsi="Times New Roman;serif"/>
          <w:b w:val="false"/>
          <w:sz w:val="22"/>
        </w:rPr>
        <w:br/>
        <w:t>Name: Ralph Kimpel</w:t>
        <w:br/>
        <w:t>Title: Executive Director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b/>
          <w:sz w:val="20"/>
        </w:rPr>
      </w:pPr>
      <w:bookmarkStart w:id="1235" w:name="vsat-ex10_41.htm"/>
      <w:bookmarkStart w:id="1236" w:name="ksvsatex10_41"/>
      <w:bookmarkEnd w:id="1235"/>
      <w:bookmarkEnd w:id="1236"/>
      <w:r>
        <w:rPr>
          <w:rFonts w:ascii="Times New Roman" w:hAnsi="Times New Roman"/>
          <w:b/>
          <w:sz w:val="20"/>
        </w:rPr>
        <w:t xml:space="preserve">Exhibit 10.4.1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NO. 1 </w:t>
      </w:r>
    </w:p>
    <w:p>
      <w:pPr>
        <w:pStyle w:val="TextBody"/>
        <w:bidi w:val="0"/>
        <w:spacing w:before="240" w:after="0"/>
        <w:jc w:val="left"/>
        <w:rPr>
          <w:rFonts w:ascii="Times New Roman" w:hAnsi="Times New Roman"/>
          <w:sz w:val="20"/>
        </w:rPr>
      </w:pPr>
      <w:r>
        <w:rPr>
          <w:rFonts w:ascii="Times New Roman" w:hAnsi="Times New Roman"/>
          <w:sz w:val="20"/>
        </w:rPr>
        <w:t>This AMENDMENT NO. 1 (this “Amendment”), dated as of January 25, 2021, to the Credit Agreement, dated as of December 12, 2019 (as amended, restated, amended and restated, supplemented or otherwise modified from time to time prior to the date hereof, the “</w:t>
      </w:r>
      <w:r>
        <w:rPr>
          <w:rFonts w:ascii="Times New Roman" w:hAnsi="Times New Roman"/>
          <w:sz w:val="20"/>
          <w:u w:val="single"/>
        </w:rPr>
        <w:t>Credit Agreement</w:t>
      </w:r>
      <w:r>
        <w:rPr>
          <w:rFonts w:ascii="Times New Roman" w:hAnsi="Times New Roman"/>
          <w:sz w:val="20"/>
        </w:rPr>
        <w:t>”), among Connect Midco Limited (f/k/a Triton Midco (Guernsey) Limited), a private limited liability company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private limited liability company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company incorporated in Luxembourg with company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and any Additional Borrowers from time to time party thereto,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thereto and Barclays Bank PLC (“</w:t>
      </w:r>
      <w:r>
        <w:rPr>
          <w:rFonts w:ascii="Times New Roman" w:hAnsi="Times New Roman"/>
          <w:sz w:val="20"/>
          <w:u w:val="single"/>
        </w:rPr>
        <w:t>Barclays</w:t>
      </w:r>
      <w:r>
        <w:rPr>
          <w:rFonts w:ascii="Times New Roman" w:hAnsi="Times New Roman"/>
          <w:sz w:val="20"/>
        </w:rPr>
        <w:t>”), as Administrative Agent and Collateral Agent, is made and entered into by and among Initial Holdings, Bidco, the Borrowers, each of the entities listed as a “Refinancing Lender” on the signature pages hereto (each, a “</w:t>
      </w:r>
      <w:r>
        <w:rPr>
          <w:rFonts w:ascii="Times New Roman" w:hAnsi="Times New Roman"/>
          <w:sz w:val="20"/>
          <w:u w:val="single"/>
        </w:rPr>
        <w:t>Refinancing Lender</w:t>
      </w:r>
      <w:r>
        <w:rPr>
          <w:rFonts w:ascii="Times New Roman" w:hAnsi="Times New Roman"/>
          <w:sz w:val="20"/>
        </w:rPr>
        <w:t>” and, collectively, the “</w:t>
      </w:r>
      <w:r>
        <w:rPr>
          <w:rFonts w:ascii="Times New Roman" w:hAnsi="Times New Roman"/>
          <w:sz w:val="20"/>
          <w:u w:val="single"/>
        </w:rPr>
        <w:t>Refinancing Lenders</w:t>
      </w:r>
      <w:r>
        <w:rPr>
          <w:rFonts w:ascii="Times New Roman" w:hAnsi="Times New Roman"/>
          <w:sz w:val="20"/>
        </w:rPr>
        <w:t>”), each of the entities listed as a “Revolving Lender” on the signature pages hereto (each, a “</w:t>
      </w:r>
      <w:r>
        <w:rPr>
          <w:rFonts w:ascii="Times New Roman" w:hAnsi="Times New Roman"/>
          <w:sz w:val="20"/>
          <w:u w:val="single"/>
        </w:rPr>
        <w:t>Revolving Lender</w:t>
      </w:r>
      <w:r>
        <w:rPr>
          <w:rFonts w:ascii="Times New Roman" w:hAnsi="Times New Roman"/>
          <w:sz w:val="20"/>
        </w:rPr>
        <w:t>” and, collectively, the “</w:t>
      </w:r>
      <w:r>
        <w:rPr>
          <w:rFonts w:ascii="Times New Roman" w:hAnsi="Times New Roman"/>
          <w:sz w:val="20"/>
          <w:u w:val="single"/>
        </w:rPr>
        <w:t>Revolving Lenders</w:t>
      </w:r>
      <w:r>
        <w:rPr>
          <w:rFonts w:ascii="Times New Roman" w:hAnsi="Times New Roman"/>
          <w:sz w:val="20"/>
        </w:rPr>
        <w:t xml:space="preserve">”), and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Borrower Representative has requested that (a) pursuant to Section 2.20 of the Credit Agreement, the Refinancing Lenders make term loans in an aggregate principal amount of $1,736,875,000 (the “</w:t>
      </w:r>
      <w:r>
        <w:rPr>
          <w:rFonts w:ascii="Times New Roman" w:hAnsi="Times New Roman"/>
          <w:sz w:val="20"/>
          <w:u w:val="single"/>
        </w:rPr>
        <w:t>Refinancing Term Loans</w:t>
      </w:r>
      <w:r>
        <w:rPr>
          <w:rFonts w:ascii="Times New Roman" w:hAnsi="Times New Roman"/>
          <w:sz w:val="20"/>
        </w:rPr>
        <w:t>”) and (b) pursuant to Section 9.02 of the Credit Agreement, the Credit Agreement be amended in the manner provided herein (as so amended, the “</w:t>
      </w:r>
      <w:r>
        <w:rPr>
          <w:rFonts w:ascii="Times New Roman" w:hAnsi="Times New Roman"/>
          <w:sz w:val="20"/>
          <w:u w:val="single"/>
        </w:rPr>
        <w:t>Amended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Term Borrowers intend to use the proceeds of the Refinancing Term Loans on the Amendment No. 1 Effective Date (as defined below) to repay in full the Initial Term Loans outstanding under the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on the Amendment No. 1 Effective Date, (a) the Refinancing Lenders are willing to provide the Refinancing Term Loans to the Term Borrowers and (b) the Revolving Lenders party hereto will collectively constitute all of the Revolving Lenders under the Credit Agreement, and the parties hereto wish to amend the Credit Agreement on the terms and subject to the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other good and valuable consideration, the sufficiency and receipt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b/>
          <w:i/>
          <w:sz w:val="20"/>
        </w:rPr>
        <w:t>Defined Terms; Interpretation; Etc</w:t>
      </w:r>
      <w:r>
        <w:rPr>
          <w:rFonts w:ascii="Times New Roman" w:hAnsi="Times New Roman"/>
          <w:sz w:val="20"/>
        </w:rPr>
        <w:t xml:space="preserve">. Capitalized terms used and not defined herein shall have the meanings assigned to such terms in the Credit Agreement. This Amendment is a “Refinancing Amendment” and a “Loan Document” for the purposes of (and as such terms are defined in) the Credit Agreement and the other Loan Documents. 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Amended Credit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2. </w:t>
      </w:r>
      <w:r>
        <w:rPr>
          <w:rFonts w:ascii="Times New Roman" w:hAnsi="Times New Roman"/>
          <w:b/>
          <w:i/>
          <w:sz w:val="20"/>
        </w:rPr>
        <w:t>Refinancing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Refinancing Lender hereby agrees, severally and not jointly, to make a Refinancing Term Loan to the Borrowers on the Amendment No. 1 Effective Date in an aggregate principal amount equal to the amount set forth opposite such Refinancing Lender’s name on </w:t>
      </w:r>
      <w:r>
        <w:rPr>
          <w:rFonts w:ascii="Times New Roman" w:hAnsi="Times New Roman"/>
          <w:b/>
          <w:sz w:val="20"/>
          <w:u w:val="single"/>
        </w:rPr>
        <w:t>Schedule I</w:t>
      </w:r>
      <w:r>
        <w:rPr>
          <w:rFonts w:ascii="Times New Roman" w:hAnsi="Times New Roman"/>
          <w:sz w:val="20"/>
        </w:rPr>
        <w:t xml:space="preserve"> attached hereto, on the terms set forth herein and in the Amended Credit Agreement, and subject to the conditions set forth in Section 5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Refinancing Term Loans shall be “Other Term Loans” as contemplated by Section 2.20 of the Credit Agreement and “Term Loans” as defined in the Amended Credit Agreement for all purposes of the Amended Credit Agreement and the other Loan Documents having terms and provisions identical to those applicable to the Initial Term Loans, except as otherwise set forth in this Amendment and the Amended Credit Agreement; provided that, for the avoidance of doubt, the Refinancing Terms Loans shall not constitute Initial Term Loans. The Borrowers shall use the proceeds of the Refinancing Term Loans to refinance the Initial Term Loans. </w:t>
      </w:r>
    </w:p>
    <w:p>
      <w:pPr>
        <w:pStyle w:val="TextBody"/>
        <w:bidi w:val="0"/>
        <w:spacing w:before="240" w:after="0"/>
        <w:jc w:val="left"/>
        <w:rPr>
          <w:rFonts w:ascii="Times New Roman" w:hAnsi="Times New Roman"/>
          <w:sz w:val="20"/>
        </w:rPr>
      </w:pPr>
      <w:r>
        <w:rPr>
          <w:rFonts w:ascii="Times New Roman" w:hAnsi="Times New Roman"/>
          <w:sz w:val="20"/>
        </w:rPr>
        <w:t xml:space="preserve">(c) The Refinancing Term Loans shall be made as a single Borrowing and funded to the Borrowers at par (without the netting of any discount to the principal amount thereof) on the Amendment No. 1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(d) Unless previously terminated, the commitments of the Refinancing Lenders hereunder shall terminate upon the making of the Refinancing Term Loans on the Amendment No. 1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(e) The Refinancing Lenders and the Borrowers hereby agree, and select, the same Interest Period with respect to the Refinancing Term Loans as was applicable to the Initial Term Loans immediately prior to the Amendment No. 1 Effective Date. Each Refinancing Lender hereby waives the provisions of Section 2.15 of the Credit Agreement requiring indemnification from any loss or expense that such Refinancing Lender may sustain or incur as a consequence of the exchanging of Initial Term Loans for Refinancing Term Loans that are Eurodollar Loans in the event the Amendment No. 1 Effective Date is not the last day of an Interest Period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Bidco and the Borrowers hereby agree that in the event of any mandatory prepayment of Term Borrowings (including the Refinancing Term Loans) made at a time when Term Borrowings (including the Refinancing Term Loans) of more than one Class remain outstanding, Bidco or the Borrowers shall select Term Borrowings (including the Refinancing Term Loans) to be prepaid so that the aggregate amount of such prepayment is allocated between Term Borrowings (including the Refinancing Term Loans) pro rata based on the aggregate principal amount of outstanding Borrowings of each such Class. </w:t>
      </w:r>
    </w:p>
    <w:p>
      <w:pPr>
        <w:pStyle w:val="TextBody"/>
        <w:bidi w:val="0"/>
        <w:spacing w:before="360" w:after="0"/>
        <w:jc w:val="left"/>
        <w:rPr>
          <w:rFonts w:ascii="Times New Roman" w:hAnsi="Times New Roman"/>
          <w:sz w:val="20"/>
        </w:rPr>
      </w:pPr>
      <w:r>
        <w:rPr>
          <w:rFonts w:ascii="Times New Roman" w:hAnsi="Times New Roman"/>
          <w:sz w:val="20"/>
        </w:rPr>
        <w:t xml:space="preserve">SECTION 3. </w:t>
      </w:r>
      <w:r>
        <w:rPr>
          <w:rFonts w:ascii="Times New Roman" w:hAnsi="Times New Roman"/>
          <w:b/>
          <w:i/>
          <w:sz w:val="20"/>
        </w:rPr>
        <w:t>Lender Agreements</w:t>
      </w:r>
      <w:r>
        <w:rPr>
          <w:rFonts w:ascii="Times New Roman" w:hAnsi="Times New Roman"/>
          <w:sz w:val="20"/>
        </w:rPr>
        <w:t xml:space="preserve">. Each Refinancing Lender: </w:t>
      </w:r>
    </w:p>
    <w:p>
      <w:pPr>
        <w:pStyle w:val="TextBody"/>
        <w:bidi w:val="0"/>
        <w:spacing w:before="120" w:after="0"/>
        <w:jc w:val="left"/>
        <w:rPr>
          <w:rFonts w:ascii="Times New Roman" w:hAnsi="Times New Roman"/>
          <w:sz w:val="20"/>
        </w:rPr>
      </w:pPr>
      <w:r>
        <w:rPr>
          <w:rFonts w:ascii="Times New Roman" w:hAnsi="Times New Roman"/>
          <w:sz w:val="20"/>
        </w:rPr>
        <w:t xml:space="preserve">(a) confirms that a copy of the Credit Agreement and the other Loan Documents, together with copies of the financial statements referred to therein and such other documents and information as it has deemed appropriate to make its own credit analysis and decision to enter into this Amendment and provide a Refinancing Term Loan have been made available to it; </w:t>
      </w:r>
    </w:p>
    <w:p>
      <w:pPr>
        <w:pStyle w:val="TextBody"/>
        <w:bidi w:val="0"/>
        <w:spacing w:before="240" w:after="0"/>
        <w:jc w:val="left"/>
        <w:rPr>
          <w:rFonts w:ascii="Times New Roman" w:hAnsi="Times New Roman"/>
          <w:sz w:val="20"/>
        </w:rPr>
      </w:pPr>
      <w:r>
        <w:rPr>
          <w:rFonts w:ascii="Times New Roman" w:hAnsi="Times New Roman"/>
          <w:sz w:val="20"/>
        </w:rPr>
        <w:t>(b) agrees that it will, independently and without reliance upon the Administrative Agent, Barclays Bank PLC, BofA Securities, Inc., UBS Securities LLC, Intesa Sanpaolo S.p.A., BNP PARIBAS FORTIS SA/NV, DNB (UK) Limited, HSBC Bank PLC, ING Bank N.V., J.P. Morgan AG, MUFG Bank, Ltd., Natixis, New York Branch, NatWest Markets PLC, Sumitomo Mitsui Banking Corporation, The Bank of Nova Scotia, London Branch and Mizuho Bank, Ltd. in their applicable capacities as the global coordinators, lead arrangers and bookrunners with respect to this Amendment (the “</w:t>
      </w:r>
      <w:r>
        <w:rPr>
          <w:rFonts w:ascii="Times New Roman" w:hAnsi="Times New Roman"/>
          <w:sz w:val="20"/>
          <w:u w:val="single"/>
        </w:rPr>
        <w:t>Arrangers</w:t>
      </w:r>
      <w:r>
        <w:rPr>
          <w:rFonts w:ascii="Times New Roman" w:hAnsi="Times New Roman"/>
          <w:sz w:val="20"/>
        </w:rPr>
        <w:t xml:space="preserve">”), or any other Lender or agent, and based on such documents and information as it shall deem appropriate at the time, continue to make its own credit decisions in taking or not taking action under the Amended Credit Agreement or the other Loan Documents, including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(c) appoints and authorizes the Administrative Agent and the Collateral Agent to take such action as agent on its behalf and to exercise such powers under the Amended Credit Agreement and the other Loan Documents as are delegated to the Administrative Agent and the Collateral Agent, as the case may be, by the terms thereof, together with such powers as are reasonably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(d) acknowledges and agrees that upon the Amendment No. 1 Effective Date it shall be a “Lender” and an “Additional Term Lender” under, and for all purposes of, the Amended Credit Agreement and the other Loan Documents, and shall be subject to and bound by the terms thereof, and shall perform all the obligations of and shall have all rights of a “Lender” and an “Additional Term Lender” thereunder;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agrees to deliver to the Administrative Agent and the Borrowers such forms, certificates or other evidence with respect to tax withholding matters as it may be required to deliver to the Administrative Agent and the Borrowers pursuant to Section 2.16(e)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b/>
          <w:i/>
          <w:sz w:val="20"/>
        </w:rPr>
        <w:t>Amendments</w:t>
      </w:r>
      <w:r>
        <w:rPr>
          <w:rFonts w:ascii="Times New Roman" w:hAnsi="Times New Roman"/>
          <w:sz w:val="20"/>
        </w:rPr>
        <w:t xml:space="preserve">. Immediately following the making of the Refinancing Term Loans, the parties hereto agree that the Credit Agreement shall be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added double-underlined text</w:t>
      </w:r>
      <w:r>
        <w:rPr>
          <w:rFonts w:ascii="Times New Roman" w:hAnsi="Times New Roman"/>
          <w:sz w:val="20"/>
        </w:rPr>
        <w:t xml:space="preserve">) as set forth in the pages of the document attached as </w:t>
      </w:r>
      <w:r>
        <w:rPr>
          <w:rFonts w:ascii="Times New Roman" w:hAnsi="Times New Roman"/>
          <w:b/>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b/>
          <w:i/>
          <w:sz w:val="20"/>
        </w:rPr>
        <w:t>Conditions to Effectiveness.</w:t>
      </w:r>
      <w:r>
        <w:rPr>
          <w:rFonts w:ascii="Times New Roman" w:hAnsi="Times New Roman"/>
          <w:sz w:val="20"/>
        </w:rPr>
        <w:t xml:space="preserve"> This Amendment (other than this Section 5, which shall become effective on the date hereof), each Refinancing Lender’s obligation to provide the Refinancing Term Loans and each party’s consent to the amendments contemplated herein to the Credit Agreement shall become effective as of the date on which the following conditions are satisfied or waived (such time, the “</w:t>
      </w:r>
      <w:r>
        <w:rPr>
          <w:rFonts w:ascii="Times New Roman" w:hAnsi="Times New Roman"/>
          <w:sz w:val="20"/>
          <w:u w:val="single"/>
        </w:rPr>
        <w:t>Amendment No. 1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its counsel) shall have received from Initial Holdings, Bidco, the Borrowers, each Refinancing Lender (which collectively constitute the Required Lenders) and all of the Revolving Lenders under the Credit Agreement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(or its counsel) shall have received a written opinion (addressed to the Administrative Agent, Refinancing Lenders, Revolving Lenders and Issuing Banks and dated as of the Amendment No. 1 Effective Date) of each of (i) Carey Olsen (Guernsey) LLP, as Guernsey law counsel to the Administrative Agent, (ii) Ogier, as Luxembourg law counsel to the Finco Borrower, (iii) Kirkland &amp; Ellis, LLP, as New York and Delaware law counsel to Initial Holdings, Bidco and the Borrowers and (iv) Milbank LLP, as English law counsel to the Administrative Agent, in each case in form and substance reasonably satisfactory to the Administrative Agent. Each applicable party hereby requests such counsel deliver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(or its counsel) shall have received a certificate of Bidco dated as of the Amendment No. 1 Effective Date, as to the matters set forth in paragraphs (f) and (g) of this Section and executed by any Responsible Officer of Bidco.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(or its counsel) shall have received a certificate of each of Initial Holdings, Bidco and each Borrower, dated as of the Amendment No. 1 Effective Date, substantially in the form delivered to the Administrative Agent on the Effective Date or otherwise in form and substance reasonably satisfactory to the Administrative Agent, executed by any Responsible Officer of such party and including or attaching the documents or certifications, as applicable, referred to in paragraph (e)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(or its counsel) shall have received a copy of (i) each Organizational Document of each of Initial Holdings, Bidco and each Borrower (or a written certification that such party’s Organizational Documents as most recently delivered to the Administrative Agent prior to the Amendment No. 1 Effective Date remain in full force and effect without modification or amendment since such delivery), (ii) signature and (as applicable) incumbency certificates of the Responsible Officers of each of Initial Holdings, Bidco and each Borrower executing the Amendment (or a written certification that such party’s signature and incumbency certificates as most recently delivered to the Administrative Agent prior to the Amendment No. 1 Effective Date remain true and correct), and (iii) copies of resolutions of the board of directors or managers, shareholders, partners, and/or similar governing bodies of each of Initial Holdings, Bidco and each Borrower approving and authorizing the execution, delivery and performance of the Amendment, certified as of the Amendment No. 1 Effective Date by a secretary, an assistant secretary or a Responsible Officer of such party as being in full force and effect without modification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representations and warranties of each Loan Party set forth in the Loan Documents shall be true and correct in all material respects on and as of the Amendment No. 1 Effective Date;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Amendment No. 1 Effective Date or on such earlier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(g) At the time of and immediately after giving effect to the Refinancing Term Loans,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and the Arrangers shall have received, at least one (1) Business Days prior to the Amendment No. 1 Effective Date, all documentation and other information about the Borrowers as has been reasonably requested in writing at least three (3) Business Days prior to the Amendment No. 1 Effective Date by the Administrative Agent or the Arrangers that is required by regulatory authorities under applicable “know your customer” and anti-money laundering rules and regulations, including without limitation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(i) The Administrative Agent shall have received a Borrowing Request with respect to the Refinancing Term Loans not later than 12:00 p.m. noon, New York City time, one (1) Business Day before the Amendment No. 1 Effective Date and otherwise in accordance with the requirements of Section 2.03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or the Arrangers, as applicable, shall have received all fees and reasonable, documented and invoiced out-of-pocket expenses previously agreed in writing by the Administrative Agent or the Arrangers, as applicable, and the Borrowers to be due and payable on the Amendment No. 1 Effective Date to the extent invoiced at least one (1) Business Day prior to the Amendment No. 1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(k) The Borrowers shall have paid to the Administrative Agent for the ratable account of the Lenders holding Initial Term Loans all accrued and unpaid interest on such Initial Term Loans to, but not including, the Amendment No. 1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Initial Holdings, Bidco, the Borrowers and the Lenders of the Amendment No. 1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b/>
          <w:i/>
          <w:sz w:val="20"/>
        </w:rPr>
        <w:t>Reaffirmation of Guarantees and Security Interests</w:t>
      </w:r>
      <w:r>
        <w:rPr>
          <w:rFonts w:ascii="Times New Roman" w:hAnsi="Times New Roman"/>
          <w:sz w:val="20"/>
        </w:rPr>
        <w:t xml:space="preserve">. As of the Amendment No. 1 Effective Date, Bidco, on behalf of each Loan Party, hereby acknowledges its receipt of a copy of this Amendment and its review of the terms and conditions hereof and consents to the terms and conditions of this Amendment and the transactions contemplated hereby, including the extension of credit in the form of the Refinancing Term Loans. As of the Amendment No. 1 Effective Date, Bidco, on behalf of each Loan Party, hereby (a) affirms and confirms the guarantees, pledges, grants and other undertakings under the Amended Credit Agreement and the other Loan Documents of the Loan Parties, (b) agrees that (i) each Loan Document shall continue to be in full force and effect and (ii) all guarantees, pledges, grants and other undertakings thereunder shall continue to be in full force and effect and shall accrue to the benefit of the Secured Parties, including the Refinancing Lenders, and (c) acknowledges that from and after the date hereof, the Refinancing Term Loans shall be deemed to be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b/>
          <w:i/>
          <w:sz w:val="20"/>
        </w:rPr>
        <w:t>Expenses; Indemnity; Damage Waiver</w:t>
      </w:r>
      <w:r>
        <w:rPr>
          <w:rFonts w:ascii="Times New Roman" w:hAnsi="Times New Roman"/>
          <w:sz w:val="20"/>
        </w:rPr>
        <w:t xml:space="preserve">. Sections 9.03(a), (b), (d), (e), (f), (g) and (h)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and shall apply, </w:t>
      </w:r>
      <w:r>
        <w:rPr>
          <w:rFonts w:ascii="Times New Roman" w:hAnsi="Times New Roman"/>
          <w:i/>
          <w:sz w:val="20"/>
        </w:rPr>
        <w:t>mutatis mutandis</w:t>
      </w:r>
      <w:r>
        <w:rPr>
          <w:rFonts w:ascii="Times New Roman" w:hAnsi="Times New Roman"/>
          <w:sz w:val="20"/>
        </w:rPr>
        <w:t xml:space="preserve">, to each Arranger, in its capacity as such, as if each reference to the Administrative Agent under the Credit Agreement were a reference to such Arranger hereunder, including, for the avoidance of doubt, liabilities, losses, damages, claims, costs, expenses and disbursements arising out of the arrangement and syndication of the Refinancing Term Loans; </w:t>
      </w:r>
      <w:r>
        <w:rPr>
          <w:rFonts w:ascii="Times New Roman" w:hAnsi="Times New Roman"/>
          <w:i/>
          <w:sz w:val="20"/>
        </w:rPr>
        <w:t>provided</w:t>
      </w:r>
      <w:r>
        <w:rPr>
          <w:rFonts w:ascii="Times New Roman" w:hAnsi="Times New Roman"/>
          <w:sz w:val="20"/>
        </w:rPr>
        <w:t xml:space="preserve"> that, notwithstanding anything else therein, the expense reimbursement provisions of Section 9.03(a) of the Credit Agreement shall only apply as provided hereinabove if the Amendment No. 1 Effective Date and the funding of the Refinancing Term Loans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b/>
          <w:i/>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Notice</w:t>
      </w:r>
      <w:r>
        <w:rPr>
          <w:rFonts w:ascii="Times New Roman" w:hAnsi="Times New Roman"/>
          <w:sz w:val="20"/>
        </w:rPr>
        <w:t xml:space="preserve">. For purposes of the Amended Credit Agreement, the initial notice address of each Refinancing Lender shall be as set forth below its signature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Recordation of the Refinancing Term Loans</w:t>
      </w:r>
      <w:r>
        <w:rPr>
          <w:rFonts w:ascii="Times New Roman" w:hAnsi="Times New Roman"/>
          <w:sz w:val="20"/>
        </w:rPr>
        <w:t xml:space="preserve">. Upon execution and delivery hereof, and the funding of the Refinancing Term Loans, the Administrative Agent will record in the Register the Refinancing Term Loans made by the Refinancing Lenders.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 xml:space="preserve">Prepayment Notice. </w:t>
      </w:r>
      <w:r>
        <w:rPr>
          <w:rFonts w:ascii="Times New Roman" w:hAnsi="Times New Roman"/>
          <w:sz w:val="20"/>
        </w:rPr>
        <w:t xml:space="preserve">The parties hereto agree that, notwithstanding anything to the contrary set forth herein or the Credit Agreement, the Borrowers shall be deemed to have delivered (and the Administrative Agent and Lenders party hereto acknowledge receipt of) any notice of prepayment required in connection with the prepayment of the Initial Term Loans.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Amendment, Modification and Waiver</w:t>
      </w:r>
      <w:r>
        <w:rPr>
          <w:rFonts w:ascii="Times New Roman" w:hAnsi="Times New Roman"/>
          <w:sz w:val="20"/>
        </w:rPr>
        <w:t xml:space="preserve">. This Amendment may not be amended nor may any provision hereof be waived except pursuant to a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Entire Agreement</w:t>
      </w:r>
      <w:r>
        <w:rPr>
          <w:rFonts w:ascii="Times New Roman" w:hAnsi="Times New Roman"/>
          <w:b/>
          <w:sz w:val="20"/>
        </w:rPr>
        <w:t xml:space="preserve">. </w:t>
      </w:r>
      <w:r>
        <w:rPr>
          <w:rFonts w:ascii="Times New Roman" w:hAnsi="Times New Roman"/>
          <w:sz w:val="20"/>
        </w:rPr>
        <w:t xml:space="preserve">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 xml:space="preserve">Governing Law. </w:t>
      </w:r>
      <w:r>
        <w:rPr>
          <w:rFonts w:ascii="Times New Roman" w:hAnsi="Times New Roman"/>
          <w:sz w:val="20"/>
        </w:rPr>
        <w:t xml:space="preserve">This Amendment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 xml:space="preserve">Jurisdiction; Consent to Service of Process; Waiver of Jury Trial. </w:t>
      </w:r>
      <w:r>
        <w:rPr>
          <w:rFonts w:ascii="Times New Roman" w:hAnsi="Times New Roman"/>
          <w:sz w:val="20"/>
        </w:rPr>
        <w:t xml:space="preserve">Sections 9.09(b), (c) and (d) and Section 9.10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and shall apply, </w:t>
      </w:r>
      <w:r>
        <w:rPr>
          <w:rFonts w:ascii="Times New Roman" w:hAnsi="Times New Roman"/>
          <w:i/>
          <w:sz w:val="20"/>
        </w:rPr>
        <w:t>mutatis mutandis</w:t>
      </w:r>
      <w:r>
        <w:rPr>
          <w:rFonts w:ascii="Times New Roman" w:hAnsi="Times New Roman"/>
          <w:sz w:val="20"/>
        </w:rPr>
        <w:t xml:space="preserve">, to each party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Severability</w:t>
      </w:r>
      <w:r>
        <w:rPr>
          <w:rFonts w:ascii="Times New Roman" w:hAnsi="Times New Roman"/>
          <w:sz w:val="20"/>
        </w:rPr>
        <w:t xml:space="preserve">.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Counterparts</w:t>
      </w:r>
      <w:r>
        <w:rPr>
          <w:rFonts w:ascii="Times New Roman" w:hAnsi="Times New Roman"/>
          <w:sz w:val="20"/>
        </w:rPr>
        <w:t xml:space="preserve">. This Amendment may be executed in counterparts (and by different parties hereto on different counterparts), each of which shall constitute an original, but all of which when taken together shall constitute a single contract.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Each of the parties hereto represents and warrants to the other parties hereto that it has the corporate capacity and authority to execute this Amendment through electronic means and there are no restrictions for doing so in such party’s constitutive documents.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i/>
          <w:sz w:val="20"/>
        </w:rPr>
        <w:t>Headings</w:t>
      </w:r>
      <w:r>
        <w:rPr>
          <w:rFonts w:ascii="Times New Roman" w:hAnsi="Times New Roman"/>
          <w:i/>
          <w:sz w:val="20"/>
        </w:rPr>
        <w:t>.</w:t>
      </w:r>
      <w:r>
        <w:rPr>
          <w:rFonts w:ascii="Times New Roman" w:hAnsi="Times New Roman"/>
          <w:sz w:val="20"/>
        </w:rPr>
        <w:t xml:space="preserve"> The headings of this Amendment are for purposes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i/>
          <w:sz w:val="20"/>
        </w:rPr>
        <w:t>Continued Effectiveness</w:t>
      </w:r>
      <w:r>
        <w:rPr>
          <w:rFonts w:ascii="Times New Roman" w:hAnsi="Times New Roman"/>
          <w:sz w:val="20"/>
        </w:rPr>
        <w:t xml:space="preserve">. Notwithstanding anything contained herein, the terms of this 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Amended Credit Agreement and each of the Loan Documents remain in full force and effect.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CONNECT MIDCO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Initial Holdings</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Hargrave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CONNECT BIDCO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Bidco</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Rupert Pearce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Rupert Pearce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CONNECT FINCO SARL</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Finco Borrower and the Borrower Representative</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Antony Bates</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Antony Bates</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CONNECT U.S. FINCO LLC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U.S. Borrower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Antony Bates</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Antony Bates</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INMARSAT GLOBAL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an Additional Borrower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Alison Horrocks</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Alison Horrocks</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BARCLAYS BANK PLC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Martin Corrigan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Martin Corrigan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BARCLAYS BANK PLC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Refinancing Lender, a Revolving Lender and an Issuing Bank</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Martin Corrigan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Martin Corrigan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BANK OF AMERICA, N.A.</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 Strickert</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David H. Strickert</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UBS AG, STAMFORD BRANCH</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Anthony Joseph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Anthony Joseph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Associate Director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Houssem Daly</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Houssem Daly</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Associate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PNB PARIBAS FORTIS SA/NV</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Sophie Evrard</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Sophie Evrard</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Account Manager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Nihon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Benjamin Nihon</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Agency Relationship Manager, Corporate &amp; Institutional Banking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DNB (UK)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Kay Newman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Kay Newman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Authorized Signatory</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Gemma Coppen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Gemma Coppen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HSBC BANK PLC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Bradley Wilson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Bradley Wilson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0"/>
        <w:gridCol w:w="60"/>
        <w:gridCol w:w="3652"/>
      </w:tblGrid>
      <w:tr>
        <w:trPr/>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ING BANK N.V.</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Wim Steenbakkers</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tcPr>
          <w:p>
            <w:pPr>
              <w:pStyle w:val="TableContents"/>
              <w:bidi w:val="0"/>
              <w:spacing w:before="0" w:after="283"/>
              <w:jc w:val="left"/>
              <w:rPr/>
            </w:pPr>
            <w:r>
              <w:rPr/>
              <w:t>Name: Wim Steenbakkers</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1"/>
        <w:gridCol w:w="3647"/>
      </w:tblGrid>
      <w:tr>
        <w:trPr/>
        <w:tc>
          <w:tcPr>
            <w:tcW w:w="37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INTESA SANPAOLO S.P.A.</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Giovanni Sanguineti</w:t>
            </w:r>
          </w:p>
        </w:tc>
      </w:tr>
      <w:tr>
        <w:trPr/>
        <w:tc>
          <w:tcPr>
            <w:tcW w:w="37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Giovanni Sanguineti</w:t>
            </w:r>
          </w:p>
        </w:tc>
      </w:tr>
      <w:tr>
        <w:trPr/>
        <w:tc>
          <w:tcPr>
            <w:tcW w:w="37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Authorised Signatory</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Roberto Saraceni</w:t>
            </w:r>
          </w:p>
        </w:tc>
      </w:tr>
      <w:tr>
        <w:trPr/>
        <w:tc>
          <w:tcPr>
            <w:tcW w:w="37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Roberto Saraceni</w:t>
            </w:r>
          </w:p>
        </w:tc>
      </w:tr>
      <w:tr>
        <w:trPr/>
        <w:tc>
          <w:tcPr>
            <w:tcW w:w="37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Authorised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J.P. MORGAN AG</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Nia Douglas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Nia Douglas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MUFG BANK, LTD.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Stuart Randell</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Stuart Randell</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NATIXIS, NEW YORK BRANCH</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Bergin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Michael Bergin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Vice President</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Chen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Robert Chen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NATIONAL WESTMINISTER BANK PLC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Daniela Holz</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Daniela Holz</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SUMITOMO MITSUI BANKING CORPORATION</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Konstantinos Karabalis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Konstantinos Karabalis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Senior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THE BANK OF NOVA SCOTIA, LONDON BRANCH</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Rory McCarthy</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Rory McCarthy</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Director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Pavinder Klair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Pavinder Klair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MIZUHO BANK, LTD.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 Revolving Lender and an Issuing Bank</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 Forman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Ben Forman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Refinancing Term Loans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17"/>
        <w:gridCol w:w="264"/>
        <w:gridCol w:w="169"/>
        <w:gridCol w:w="1826"/>
        <w:gridCol w:w="63"/>
      </w:tblGrid>
      <w:tr>
        <w:trPr/>
        <w:tc>
          <w:tcPr>
            <w:tcW w:w="4617"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Refinancing Lender</w:t>
            </w:r>
          </w:p>
        </w:tc>
        <w:tc>
          <w:tcPr>
            <w:tcW w:w="264" w:type="dxa"/>
            <w:tcBorders/>
            <w:vAlign w:val="bottom"/>
          </w:tcPr>
          <w:p>
            <w:pPr>
              <w:pStyle w:val="TableContents"/>
              <w:bidi w:val="0"/>
              <w:spacing w:before="0" w:after="283"/>
              <w:jc w:val="left"/>
              <w:rPr/>
            </w:pPr>
            <w:r>
              <w:rPr/>
              <w:t>  </w:t>
            </w:r>
          </w:p>
        </w:tc>
        <w:tc>
          <w:tcPr>
            <w:tcW w:w="1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r>
          </w:p>
        </w:tc>
        <w:tc>
          <w:tcPr>
            <w:tcW w:w="63" w:type="dxa"/>
            <w:tcBorders/>
            <w:vAlign w:val="bottom"/>
          </w:tcPr>
          <w:p>
            <w:pPr>
              <w:pStyle w:val="TableContents"/>
              <w:bidi w:val="0"/>
              <w:spacing w:before="0" w:after="283"/>
              <w:jc w:val="left"/>
              <w:rPr/>
            </w:pPr>
            <w:r>
              <w:rPr/>
              <w:t> </w:t>
            </w:r>
          </w:p>
        </w:tc>
      </w:tr>
      <w:tr>
        <w:trPr/>
        <w:tc>
          <w:tcPr>
            <w:tcW w:w="4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2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826" w:type="dxa"/>
            <w:tcBorders/>
            <w:shd w:fill="CCEEFF" w:val="clear"/>
            <w:vAlign w:val="bottom"/>
          </w:tcPr>
          <w:p>
            <w:pPr>
              <w:pStyle w:val="TableContents"/>
              <w:bidi w:val="0"/>
              <w:spacing w:before="0" w:after="283"/>
              <w:jc w:val="right"/>
              <w:rPr/>
            </w:pPr>
            <w:r>
              <w:rPr/>
              <w:t>1,736,875,000</w:t>
            </w:r>
          </w:p>
        </w:tc>
        <w:tc>
          <w:tcPr>
            <w:tcW w:w="63" w:type="dxa"/>
            <w:tcBorders/>
            <w:shd w:fill="CCEEFF" w:val="clear"/>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1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826" w:type="dxa"/>
            <w:tcBorders/>
            <w:vAlign w:val="bottom"/>
          </w:tcPr>
          <w:p>
            <w:pPr>
              <w:pStyle w:val="TableContents"/>
              <w:bidi w:val="0"/>
              <w:spacing w:before="0" w:after="283"/>
              <w:jc w:val="right"/>
              <w:rPr>
                <w:b/>
              </w:rPr>
            </w:pPr>
            <w:r>
              <w:rPr>
                <w:b/>
              </w:rPr>
              <w:t>1,736,875,000</w:t>
            </w:r>
          </w:p>
        </w:tc>
        <w:tc>
          <w:tcPr>
            <w:tcW w:w="63" w:type="dxa"/>
            <w:tcBorders/>
            <w:vAlign w:val="bottom"/>
          </w:tcPr>
          <w:p>
            <w:pPr>
              <w:pStyle w:val="TableContents"/>
              <w:bidi w:val="0"/>
              <w:spacing w:before="0" w:after="283"/>
              <w:jc w:val="left"/>
              <w:rPr/>
            </w:pPr>
            <w:r>
              <w:rPr/>
              <w:t> </w:t>
            </w:r>
          </w:p>
        </w:tc>
      </w:tr>
      <w:tr>
        <w:trPr/>
        <w:tc>
          <w:tcPr>
            <w:tcW w:w="4617"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right"/>
        <w:rPr>
          <w:rFonts w:ascii="Times New Roman" w:hAnsi="Times New Roman"/>
          <w:b/>
          <w:sz w:val="20"/>
        </w:rPr>
      </w:pPr>
      <w:r>
        <w:rPr>
          <w:rFonts w:ascii="Times New Roman" w:hAnsi="Times New Roman"/>
          <w:b/>
          <w:color w:val="0000FF"/>
          <w:sz w:val="20"/>
          <w:u w:val="single"/>
          <w:bdr w:val="double" w:sz="2" w:space="1" w:color="000000"/>
        </w:rPr>
        <w:t>EXHIBIT A</w:t>
      </w:r>
      <w:r>
        <w:rPr>
          <w:rFonts w:ascii="Times New Roman" w:hAnsi="Times New Roman"/>
          <w:b/>
          <w:sz w:val="20"/>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w:t>
      </w:r>
    </w:p>
    <w:p>
      <w:pPr>
        <w:pStyle w:val="TextBody"/>
        <w:bidi w:val="0"/>
        <w:spacing w:before="0" w:after="0"/>
        <w:jc w:val="center"/>
        <w:rPr>
          <w:rFonts w:ascii="Times New Roman" w:hAnsi="Times New Roman"/>
          <w:sz w:val="20"/>
        </w:rPr>
      </w:pPr>
      <w:r>
        <w:rPr>
          <w:rFonts w:ascii="Times New Roman" w:hAnsi="Times New Roman"/>
          <w:sz w:val="20"/>
        </w:rPr>
        <w:t xml:space="preserve">December 12, 2019 </w:t>
      </w:r>
    </w:p>
    <w:p>
      <w:pPr>
        <w:pStyle w:val="TextBody"/>
        <w:bidi w:val="0"/>
        <w:spacing w:before="0" w:after="0"/>
        <w:jc w:val="center"/>
        <w:rPr>
          <w:rFonts w:ascii="Times New Roman" w:hAnsi="Times New Roman"/>
          <w:sz w:val="20"/>
        </w:rPr>
      </w:pPr>
      <w:r>
        <w:rPr>
          <w:rFonts w:ascii="Times New Roman" w:hAnsi="Times New Roman"/>
          <w:color w:val="008000"/>
          <w:sz w:val="20"/>
          <w:u w:val="single"/>
        </w:rPr>
        <w:t xml:space="preserve">as amended by Amendment No. </w:t>
      </w:r>
      <w:r>
        <w:rPr>
          <w:rFonts w:ascii="Times New Roman" w:hAnsi="Times New Roman"/>
          <w:color w:val="0000FF"/>
          <w:sz w:val="20"/>
          <w:u w:val="single"/>
          <w:bdr w:val="double" w:sz="2" w:space="1" w:color="000000"/>
        </w:rPr>
        <w:t>1, dated as of January 25, 2021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CONNECT MIDCO LIMITED, </w:t>
      </w:r>
    </w:p>
    <w:p>
      <w:pPr>
        <w:pStyle w:val="TextBody"/>
        <w:bidi w:val="0"/>
        <w:spacing w:before="0" w:after="0"/>
        <w:jc w:val="center"/>
        <w:rPr>
          <w:rFonts w:ascii="Times New Roman" w:hAnsi="Times New Roman"/>
          <w:sz w:val="20"/>
        </w:rPr>
      </w:pPr>
      <w:r>
        <w:rPr>
          <w:rFonts w:ascii="Times New Roman" w:hAnsi="Times New Roman"/>
          <w:sz w:val="20"/>
        </w:rPr>
        <w:t xml:space="preserve">as Initial Holdings, </w:t>
      </w:r>
    </w:p>
    <w:p>
      <w:pPr>
        <w:pStyle w:val="TextBody"/>
        <w:bidi w:val="0"/>
        <w:spacing w:before="240" w:after="0"/>
        <w:jc w:val="center"/>
        <w:rPr>
          <w:rFonts w:ascii="Times New Roman" w:hAnsi="Times New Roman"/>
          <w:sz w:val="20"/>
        </w:rPr>
      </w:pPr>
      <w:r>
        <w:rPr>
          <w:rFonts w:ascii="Times New Roman" w:hAnsi="Times New Roman"/>
          <w:sz w:val="20"/>
        </w:rPr>
        <w:t xml:space="preserve">CONNECT BIDCO LIMITED, </w:t>
      </w:r>
    </w:p>
    <w:p>
      <w:pPr>
        <w:pStyle w:val="TextBody"/>
        <w:bidi w:val="0"/>
        <w:spacing w:before="0" w:after="0"/>
        <w:jc w:val="center"/>
        <w:rPr>
          <w:rFonts w:ascii="Times New Roman" w:hAnsi="Times New Roman"/>
          <w:sz w:val="20"/>
        </w:rPr>
      </w:pPr>
      <w:r>
        <w:rPr>
          <w:rFonts w:ascii="Times New Roman" w:hAnsi="Times New Roman"/>
          <w:sz w:val="20"/>
        </w:rPr>
        <w:t xml:space="preserve">as Bidco, </w:t>
      </w:r>
    </w:p>
    <w:p>
      <w:pPr>
        <w:pStyle w:val="TextBody"/>
        <w:bidi w:val="0"/>
        <w:spacing w:before="240" w:after="0"/>
        <w:jc w:val="center"/>
        <w:rPr>
          <w:rFonts w:ascii="Times New Roman" w:hAnsi="Times New Roman"/>
          <w:sz w:val="20"/>
        </w:rPr>
      </w:pPr>
      <w:r>
        <w:rPr>
          <w:rFonts w:ascii="Times New Roman" w:hAnsi="Times New Roman"/>
          <w:sz w:val="20"/>
        </w:rPr>
        <w:t xml:space="preserve">CONNECT FINCO SARL, </w:t>
      </w:r>
    </w:p>
    <w:p>
      <w:pPr>
        <w:pStyle w:val="TextBody"/>
        <w:bidi w:val="0"/>
        <w:spacing w:before="0" w:after="0"/>
        <w:jc w:val="center"/>
        <w:rPr>
          <w:rFonts w:ascii="Times New Roman" w:hAnsi="Times New Roman"/>
          <w:sz w:val="20"/>
        </w:rPr>
      </w:pPr>
      <w:r>
        <w:rPr>
          <w:rFonts w:ascii="Times New Roman" w:hAnsi="Times New Roman"/>
          <w:sz w:val="20"/>
        </w:rPr>
        <w:t xml:space="preserve">as the Finco Borrower and the Borrower Representative, </w:t>
      </w:r>
    </w:p>
    <w:p>
      <w:pPr>
        <w:pStyle w:val="TextBody"/>
        <w:bidi w:val="0"/>
        <w:spacing w:before="240" w:after="0"/>
        <w:jc w:val="center"/>
        <w:rPr>
          <w:rFonts w:ascii="Times New Roman" w:hAnsi="Times New Roman"/>
          <w:sz w:val="20"/>
        </w:rPr>
      </w:pPr>
      <w:r>
        <w:rPr>
          <w:rFonts w:ascii="Times New Roman" w:hAnsi="Times New Roman"/>
          <w:sz w:val="20"/>
        </w:rPr>
        <w:t xml:space="preserve">CONNECT U.S. FINCO LLC, </w:t>
      </w:r>
    </w:p>
    <w:p>
      <w:pPr>
        <w:pStyle w:val="TextBody"/>
        <w:bidi w:val="0"/>
        <w:spacing w:before="0" w:after="0"/>
        <w:jc w:val="center"/>
        <w:rPr>
          <w:rFonts w:ascii="Times New Roman" w:hAnsi="Times New Roman"/>
          <w:sz w:val="20"/>
        </w:rPr>
      </w:pPr>
      <w:r>
        <w:rPr>
          <w:rFonts w:ascii="Times New Roman" w:hAnsi="Times New Roman"/>
          <w:sz w:val="20"/>
        </w:rPr>
        <w:t xml:space="preserve">as the U.S. Borrower, </w:t>
      </w:r>
    </w:p>
    <w:p>
      <w:pPr>
        <w:pStyle w:val="TextBody"/>
        <w:bidi w:val="0"/>
        <w:spacing w:before="240" w:after="0"/>
        <w:jc w:val="center"/>
        <w:rPr>
          <w:rFonts w:ascii="Times New Roman" w:hAnsi="Times New Roman"/>
          <w:sz w:val="20"/>
        </w:rPr>
      </w:pPr>
      <w:r>
        <w:rPr>
          <w:rFonts w:ascii="Times New Roman" w:hAnsi="Times New Roman"/>
          <w:sz w:val="20"/>
        </w:rPr>
        <w:t xml:space="preserve">certain Restricted Subsidiaries of Bidco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Additional 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and Issuing Banks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Global Coordinators and Joint Lead Arrangers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BNP PARIBAS FORTIS S.A./N.V., </w:t>
      </w:r>
    </w:p>
    <w:p>
      <w:pPr>
        <w:pStyle w:val="TextBody"/>
        <w:bidi w:val="0"/>
        <w:spacing w:before="0" w:after="0"/>
        <w:jc w:val="center"/>
        <w:rPr>
          <w:rFonts w:ascii="Times New Roman" w:hAnsi="Times New Roman"/>
          <w:sz w:val="20"/>
        </w:rPr>
      </w:pPr>
      <w:r>
        <w:rPr>
          <w:rFonts w:ascii="Times New Roman" w:hAnsi="Times New Roman"/>
          <w:sz w:val="20"/>
        </w:rPr>
        <w:t xml:space="preserve">HSBC BANK PLC, </w:t>
      </w:r>
    </w:p>
    <w:p>
      <w:pPr>
        <w:pStyle w:val="TextBody"/>
        <w:bidi w:val="0"/>
        <w:spacing w:before="0" w:after="0"/>
        <w:jc w:val="center"/>
        <w:rPr>
          <w:rFonts w:ascii="Times New Roman" w:hAnsi="Times New Roman"/>
          <w:sz w:val="20"/>
        </w:rPr>
      </w:pPr>
      <w:r>
        <w:rPr>
          <w:rFonts w:ascii="Times New Roman" w:hAnsi="Times New Roman"/>
          <w:sz w:val="20"/>
        </w:rPr>
        <w:t xml:space="preserve">ING BANK N.V., </w:t>
      </w:r>
    </w:p>
    <w:p>
      <w:pPr>
        <w:pStyle w:val="TextBody"/>
        <w:bidi w:val="0"/>
        <w:spacing w:before="0" w:after="0"/>
        <w:jc w:val="center"/>
        <w:rPr>
          <w:rFonts w:ascii="Times New Roman" w:hAnsi="Times New Roman"/>
          <w:sz w:val="20"/>
        </w:rPr>
      </w:pPr>
      <w:r>
        <w:rPr>
          <w:rFonts w:ascii="Times New Roman" w:hAnsi="Times New Roman"/>
          <w:sz w:val="20"/>
        </w:rPr>
        <w:t xml:space="preserve">NATIXIS,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NATWEST MARKETS PLC,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BANCA IMI S.P.A., LONDON BRANCH, </w:t>
      </w:r>
    </w:p>
    <w:p>
      <w:pPr>
        <w:pStyle w:val="TextBody"/>
        <w:bidi w:val="0"/>
        <w:spacing w:before="0" w:after="0"/>
        <w:jc w:val="center"/>
        <w:rPr>
          <w:rFonts w:ascii="Times New Roman" w:hAnsi="Times New Roman"/>
          <w:sz w:val="20"/>
        </w:rPr>
      </w:pPr>
      <w:r>
        <w:rPr>
          <w:rFonts w:ascii="Times New Roman" w:hAnsi="Times New Roman"/>
          <w:sz w:val="20"/>
        </w:rPr>
        <w:t xml:space="preserve">MUFG BANK, LTD., </w:t>
      </w:r>
    </w:p>
    <w:p>
      <w:pPr>
        <w:pStyle w:val="TextBody"/>
        <w:bidi w:val="0"/>
        <w:spacing w:before="0" w:after="0"/>
        <w:jc w:val="center"/>
        <w:rPr>
          <w:rFonts w:ascii="Times New Roman" w:hAnsi="Times New Roman"/>
          <w:sz w:val="20"/>
        </w:rPr>
      </w:pPr>
      <w:r>
        <w:rPr>
          <w:rFonts w:ascii="Times New Roman" w:hAnsi="Times New Roman"/>
          <w:sz w:val="20"/>
        </w:rPr>
        <w:t xml:space="preserve">DNB (UK) LIMITED, </w:t>
      </w:r>
    </w:p>
    <w:p>
      <w:pPr>
        <w:pStyle w:val="TextBody"/>
        <w:bidi w:val="0"/>
        <w:spacing w:before="0" w:after="0"/>
        <w:jc w:val="center"/>
        <w:rPr>
          <w:rFonts w:ascii="Times New Roman" w:hAnsi="Times New Roman"/>
          <w:sz w:val="20"/>
        </w:rPr>
      </w:pPr>
      <w:r>
        <w:rPr>
          <w:rFonts w:ascii="Times New Roman" w:hAnsi="Times New Roman"/>
          <w:sz w:val="20"/>
        </w:rPr>
        <w:t xml:space="preserve">THE BANK OF NOVA SCOTIA, LONDON BRANCH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6"/>
        <w:gridCol w:w="92"/>
        <w:gridCol w:w="7433"/>
        <w:gridCol w:w="138"/>
        <w:gridCol w:w="120"/>
        <w:gridCol w:w="801"/>
        <w:gridCol w:w="65"/>
      </w:tblGrid>
      <w:tr>
        <w:trPr/>
        <w:tc>
          <w:tcPr>
            <w:tcW w:w="155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743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21"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c>
          <w:tcPr>
            <w:tcW w:w="10140" w:type="dxa"/>
            <w:gridSpan w:val="6"/>
            <w:tcBorders/>
          </w:tcPr>
          <w:p>
            <w:pPr>
              <w:pStyle w:val="TableContents"/>
              <w:bidi w:val="0"/>
              <w:spacing w:before="0" w:after="283"/>
              <w:jc w:val="center"/>
              <w:rPr/>
            </w:pPr>
            <w:r>
              <w:rPr/>
              <w:t>ARTICLE I</w:t>
            </w:r>
          </w:p>
        </w:tc>
        <w:tc>
          <w:tcPr>
            <w:tcW w:w="65"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pPr>
            <w:r>
              <w:rPr/>
              <w:t>DEFINITIONS</w:t>
            </w:r>
          </w:p>
        </w:tc>
        <w:tc>
          <w:tcPr>
            <w:tcW w:w="65" w:type="dxa"/>
            <w:tcBorders/>
          </w:tcPr>
          <w:p>
            <w:pPr>
              <w:pStyle w:val="TableContents"/>
              <w:bidi w:val="0"/>
              <w:spacing w:before="0" w:after="0"/>
              <w:jc w:val="left"/>
              <w:rPr/>
            </w:pPr>
            <w:r>
              <w:rPr/>
              <w:t> </w:t>
            </w:r>
          </w:p>
        </w:tc>
      </w:tr>
      <w:tr>
        <w:trPr>
          <w:trHeight w:val="120" w:hRule="atLeast"/>
        </w:trPr>
        <w:tc>
          <w:tcPr>
            <w:tcW w:w="1556" w:type="dxa"/>
            <w:tcBorders/>
            <w:vAlign w:val="center"/>
          </w:tcPr>
          <w:p>
            <w:pPr>
              <w:pStyle w:val="TableContents"/>
              <w:bidi w:val="0"/>
              <w:spacing w:before="0" w:after="283"/>
              <w:jc w:val="left"/>
              <w:rPr>
                <w:sz w:val="4"/>
                <w:szCs w:val="4"/>
              </w:rPr>
            </w:pPr>
            <w:r>
              <w:rPr>
                <w:sz w:val="4"/>
                <w:szCs w:val="4"/>
              </w:rPr>
            </w:r>
          </w:p>
        </w:tc>
        <w:tc>
          <w:tcPr>
            <w:tcW w:w="7525" w:type="dxa"/>
            <w:gridSpan w:val="2"/>
            <w:tcBorders/>
            <w:vAlign w:val="center"/>
          </w:tcPr>
          <w:p>
            <w:pPr>
              <w:pStyle w:val="TableContents"/>
              <w:bidi w:val="0"/>
              <w:spacing w:before="0" w:after="283"/>
              <w:jc w:val="left"/>
              <w:rPr>
                <w:sz w:val="4"/>
                <w:szCs w:val="4"/>
              </w:rPr>
            </w:pPr>
            <w:r>
              <w:rPr>
                <w:sz w:val="4"/>
                <w:szCs w:val="4"/>
              </w:rPr>
            </w:r>
          </w:p>
        </w:tc>
        <w:tc>
          <w:tcPr>
            <w:tcW w:w="1124" w:type="dxa"/>
            <w:gridSpan w:val="4"/>
            <w:tcBorders/>
            <w:vAlign w:val="center"/>
          </w:tcPr>
          <w:p>
            <w:pPr>
              <w:pStyle w:val="TableContents"/>
              <w:bidi w:val="0"/>
              <w:spacing w:before="0" w:after="283"/>
              <w:jc w:val="left"/>
              <w:rPr>
                <w:sz w:val="4"/>
                <w:szCs w:val="4"/>
              </w:rPr>
            </w:pPr>
            <w:r>
              <w:rPr>
                <w:sz w:val="4"/>
                <w:szCs w:val="4"/>
              </w:rPr>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Classification of Loans and Borrowings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95</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Terms Generally</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95</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Terms; IFRS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96</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Effectuation of Transactions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96</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Limited Condition Transactions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96</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Determinations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97</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Alternative Currencies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98</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Currency Equivalents Generally</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99</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Divisions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99</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Agreed Security Principles; Guarantee Limitations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99</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Borrowers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99</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Borrower Representative</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100</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Guernsey Customary Law</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pPr>
            <w:r>
              <w:rPr/>
              <w:t>ARTICLE II</w:t>
            </w:r>
          </w:p>
        </w:tc>
        <w:tc>
          <w:tcPr>
            <w:tcW w:w="65"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0" w:type="dxa"/>
            <w:gridSpan w:val="6"/>
            <w:tcBorders/>
          </w:tcPr>
          <w:p>
            <w:pPr>
              <w:pStyle w:val="TableContents"/>
              <w:bidi w:val="0"/>
              <w:spacing w:before="0" w:after="283"/>
              <w:jc w:val="center"/>
              <w:rPr/>
            </w:pPr>
            <w:r>
              <w:rPr/>
              <w:t>THE CREDITS</w:t>
            </w:r>
          </w:p>
        </w:tc>
        <w:tc>
          <w:tcPr>
            <w:tcW w:w="65" w:type="dxa"/>
            <w:tcBorders/>
          </w:tcPr>
          <w:p>
            <w:pPr>
              <w:pStyle w:val="TableContents"/>
              <w:bidi w:val="0"/>
              <w:spacing w:before="0" w:after="0"/>
              <w:jc w:val="left"/>
              <w:rPr/>
            </w:pPr>
            <w:r>
              <w:rPr/>
              <w:t> </w:t>
            </w:r>
          </w:p>
        </w:tc>
      </w:tr>
      <w:tr>
        <w:trPr>
          <w:trHeight w:val="120" w:hRule="atLeast"/>
        </w:trPr>
        <w:tc>
          <w:tcPr>
            <w:tcW w:w="1556" w:type="dxa"/>
            <w:tcBorders/>
            <w:vAlign w:val="center"/>
          </w:tcPr>
          <w:p>
            <w:pPr>
              <w:pStyle w:val="TableContents"/>
              <w:bidi w:val="0"/>
              <w:spacing w:before="0" w:after="283"/>
              <w:jc w:val="left"/>
              <w:rPr>
                <w:sz w:val="4"/>
                <w:szCs w:val="4"/>
              </w:rPr>
            </w:pPr>
            <w:r>
              <w:rPr>
                <w:sz w:val="4"/>
                <w:szCs w:val="4"/>
              </w:rPr>
            </w:r>
          </w:p>
        </w:tc>
        <w:tc>
          <w:tcPr>
            <w:tcW w:w="7525" w:type="dxa"/>
            <w:gridSpan w:val="2"/>
            <w:tcBorders/>
            <w:vAlign w:val="center"/>
          </w:tcPr>
          <w:p>
            <w:pPr>
              <w:pStyle w:val="TableContents"/>
              <w:bidi w:val="0"/>
              <w:spacing w:before="0" w:after="283"/>
              <w:jc w:val="left"/>
              <w:rPr>
                <w:sz w:val="4"/>
                <w:szCs w:val="4"/>
              </w:rPr>
            </w:pPr>
            <w:r>
              <w:rPr>
                <w:sz w:val="4"/>
                <w:szCs w:val="4"/>
              </w:rPr>
            </w:r>
          </w:p>
        </w:tc>
        <w:tc>
          <w:tcPr>
            <w:tcW w:w="1124" w:type="dxa"/>
            <w:gridSpan w:val="4"/>
            <w:tcBorders/>
            <w:vAlign w:val="center"/>
          </w:tcPr>
          <w:p>
            <w:pPr>
              <w:pStyle w:val="TableContents"/>
              <w:bidi w:val="0"/>
              <w:spacing w:before="0" w:after="283"/>
              <w:jc w:val="left"/>
              <w:rPr>
                <w:sz w:val="4"/>
                <w:szCs w:val="4"/>
              </w:rPr>
            </w:pPr>
            <w:r>
              <w:rPr>
                <w:sz w:val="4"/>
                <w:szCs w:val="4"/>
              </w:rPr>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101</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101</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Requests for Borrowings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102</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103</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109</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110</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Termination and Reduction of Commitments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111</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 of Loans; Evidence of Debt</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112</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Term Loans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113</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Prepayment of Loans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113</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124</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125</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Alternate Rate of Interest</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126</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127</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128</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124</w:t>
            </w:r>
            <w:r>
              <w:rPr>
                <w:color w:val="0000FF"/>
                <w:u w:val="single"/>
                <w:bdr w:val="double" w:sz="2" w:space="1" w:color="000000"/>
              </w:rPr>
              <w:t>129</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Payments Generally; Pro Rata Treatment; Sharing of Setoffs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134</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135</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Incremental Credit Extensions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136</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Refinancing Amendments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xml:space="preserve">  </w:t>
            </w:r>
          </w:p>
        </w:tc>
        <w:tc>
          <w:tcPr>
            <w:tcW w:w="801" w:type="dxa"/>
            <w:tcBorders/>
            <w:vAlign w:val="bottom"/>
          </w:tcPr>
          <w:p>
            <w:pPr>
              <w:pStyle w:val="TableContents"/>
              <w:bidi w:val="0"/>
              <w:spacing w:before="0" w:after="283"/>
              <w:jc w:val="right"/>
              <w:rPr/>
            </w:pPr>
            <w:r>
              <w:rPr>
                <w:strike/>
                <w:color w:val="FF0000"/>
              </w:rPr>
              <w:t>134</w:t>
            </w:r>
            <w:r>
              <w:rPr>
                <w:color w:val="0000FF"/>
                <w:u w:val="single"/>
                <w:bdr w:val="double" w:sz="2" w:space="1" w:color="000000"/>
              </w:rPr>
              <w:t xml:space="preserve">139 </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135</w:t>
            </w:r>
            <w:r>
              <w:rPr>
                <w:color w:val="0000FF"/>
                <w:u w:val="single"/>
                <w:bdr w:val="double" w:sz="2" w:space="1" w:color="000000"/>
              </w:rPr>
              <w:t>140</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Illegality</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141</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Loan Modification Offers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137</w:t>
            </w:r>
            <w:r>
              <w:rPr>
                <w:color w:val="0000FF"/>
                <w:u w:val="single"/>
                <w:bdr w:val="double" w:sz="2" w:space="1" w:color="000000"/>
              </w:rPr>
              <w:t>142</w:t>
            </w:r>
          </w:p>
        </w:tc>
        <w:tc>
          <w:tcPr>
            <w:tcW w:w="65" w:type="dxa"/>
            <w:tcBorders/>
            <w:vAlign w:val="bottom"/>
          </w:tcPr>
          <w:p>
            <w:pPr>
              <w:pStyle w:val="TableContents"/>
              <w:bidi w:val="0"/>
              <w:spacing w:before="0" w:after="283"/>
              <w:jc w:val="left"/>
              <w:rPr/>
            </w:pPr>
            <w:r>
              <w:rPr/>
              <w:t> </w:t>
            </w:r>
          </w:p>
        </w:tc>
      </w:tr>
      <w:tr>
        <w:trPr/>
        <w:tc>
          <w:tcPr>
            <w:tcW w:w="1556"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92" w:type="dxa"/>
            <w:tcBorders/>
            <w:vAlign w:val="bottom"/>
          </w:tcPr>
          <w:p>
            <w:pPr>
              <w:pStyle w:val="TableContents"/>
              <w:bidi w:val="0"/>
              <w:spacing w:before="0" w:after="283"/>
              <w:jc w:val="left"/>
              <w:rPr/>
            </w:pPr>
            <w:r>
              <w:rPr/>
              <w:t> </w:t>
            </w:r>
          </w:p>
        </w:tc>
        <w:tc>
          <w:tcPr>
            <w:tcW w:w="7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Swingline Loans</w:t>
            </w:r>
          </w:p>
        </w:tc>
        <w:tc>
          <w:tcPr>
            <w:tcW w:w="1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7"/>
        <w:gridCol w:w="100"/>
        <w:gridCol w:w="7772"/>
        <w:gridCol w:w="132"/>
        <w:gridCol w:w="60"/>
        <w:gridCol w:w="740"/>
        <w:gridCol w:w="64"/>
      </w:tblGrid>
      <w:tr>
        <w:trPr/>
        <w:tc>
          <w:tcPr>
            <w:tcW w:w="133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77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0141" w:type="dxa"/>
            <w:gridSpan w:val="6"/>
            <w:tcBorders/>
          </w:tcPr>
          <w:p>
            <w:pPr>
              <w:pStyle w:val="TableContents"/>
              <w:bidi w:val="0"/>
              <w:spacing w:before="0" w:after="283"/>
              <w:jc w:val="center"/>
              <w:rPr/>
            </w:pPr>
            <w:r>
              <w:rPr/>
              <w:t>ARTICLE 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REPRESENTATIONS AND WARRANTIES</w:t>
            </w:r>
          </w:p>
        </w:tc>
        <w:tc>
          <w:tcPr>
            <w:tcW w:w="64" w:type="dxa"/>
            <w:tcBorders/>
          </w:tcPr>
          <w:p>
            <w:pPr>
              <w:pStyle w:val="TableContents"/>
              <w:bidi w:val="0"/>
              <w:spacing w:before="0" w:after="0"/>
              <w:jc w:val="left"/>
              <w:rPr/>
            </w:pPr>
            <w:r>
              <w:rPr/>
              <w:t> </w:t>
            </w:r>
          </w:p>
        </w:tc>
      </w:tr>
      <w:tr>
        <w:trPr>
          <w:trHeight w:val="120" w:hRule="atLeast"/>
        </w:trPr>
        <w:tc>
          <w:tcPr>
            <w:tcW w:w="1337" w:type="dxa"/>
            <w:tcBorders/>
            <w:vAlign w:val="center"/>
          </w:tcPr>
          <w:p>
            <w:pPr>
              <w:pStyle w:val="TableContents"/>
              <w:bidi w:val="0"/>
              <w:spacing w:before="0" w:after="283"/>
              <w:jc w:val="left"/>
              <w:rPr>
                <w:sz w:val="4"/>
                <w:szCs w:val="4"/>
              </w:rPr>
            </w:pPr>
            <w:r>
              <w:rPr>
                <w:sz w:val="4"/>
                <w:szCs w:val="4"/>
              </w:rPr>
            </w:r>
          </w:p>
        </w:tc>
        <w:tc>
          <w:tcPr>
            <w:tcW w:w="7872" w:type="dxa"/>
            <w:gridSpan w:val="2"/>
            <w:tcBorders/>
            <w:vAlign w:val="center"/>
          </w:tcPr>
          <w:p>
            <w:pPr>
              <w:pStyle w:val="TableContents"/>
              <w:bidi w:val="0"/>
              <w:spacing w:before="0" w:after="283"/>
              <w:jc w:val="left"/>
              <w:rPr>
                <w:sz w:val="4"/>
                <w:szCs w:val="4"/>
              </w:rPr>
            </w:pPr>
            <w:r>
              <w:rPr>
                <w:sz w:val="4"/>
                <w:szCs w:val="4"/>
              </w:rPr>
            </w:r>
          </w:p>
        </w:tc>
        <w:tc>
          <w:tcPr>
            <w:tcW w:w="996" w:type="dxa"/>
            <w:gridSpan w:val="4"/>
            <w:tcBorders/>
            <w:vAlign w:val="center"/>
          </w:tcPr>
          <w:p>
            <w:pPr>
              <w:pStyle w:val="TableContents"/>
              <w:bidi w:val="0"/>
              <w:spacing w:before="0" w:after="283"/>
              <w:jc w:val="left"/>
              <w:rPr>
                <w:sz w:val="4"/>
                <w:szCs w:val="4"/>
              </w:rPr>
            </w:pPr>
            <w:r>
              <w:rPr>
                <w:sz w:val="4"/>
                <w:szCs w:val="4"/>
              </w:rPr>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Organization; Powers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145</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Authorization; Enforceability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145</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Approvals; No Conflicts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145</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146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Company Status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148</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 Licenses,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148</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148</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Indebtedness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Reserve Regulations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149</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Anti-Corruption Laws; Sanctions; USA PATRIOT Act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CONDITIONS</w:t>
            </w:r>
          </w:p>
        </w:tc>
        <w:tc>
          <w:tcPr>
            <w:tcW w:w="64" w:type="dxa"/>
            <w:tcBorders/>
          </w:tcPr>
          <w:p>
            <w:pPr>
              <w:pStyle w:val="TableContents"/>
              <w:bidi w:val="0"/>
              <w:spacing w:before="0" w:after="0"/>
              <w:jc w:val="left"/>
              <w:rPr/>
            </w:pPr>
            <w:r>
              <w:rPr/>
              <w:t> </w:t>
            </w:r>
          </w:p>
        </w:tc>
      </w:tr>
      <w:tr>
        <w:trPr>
          <w:trHeight w:val="120" w:hRule="atLeast"/>
        </w:trPr>
        <w:tc>
          <w:tcPr>
            <w:tcW w:w="1337" w:type="dxa"/>
            <w:tcBorders/>
            <w:vAlign w:val="center"/>
          </w:tcPr>
          <w:p>
            <w:pPr>
              <w:pStyle w:val="TableContents"/>
              <w:bidi w:val="0"/>
              <w:spacing w:before="0" w:after="283"/>
              <w:jc w:val="left"/>
              <w:rPr>
                <w:sz w:val="4"/>
                <w:szCs w:val="4"/>
              </w:rPr>
            </w:pPr>
            <w:r>
              <w:rPr>
                <w:sz w:val="4"/>
                <w:szCs w:val="4"/>
              </w:rPr>
            </w:r>
          </w:p>
        </w:tc>
        <w:tc>
          <w:tcPr>
            <w:tcW w:w="7872" w:type="dxa"/>
            <w:gridSpan w:val="2"/>
            <w:tcBorders/>
            <w:vAlign w:val="center"/>
          </w:tcPr>
          <w:p>
            <w:pPr>
              <w:pStyle w:val="TableContents"/>
              <w:bidi w:val="0"/>
              <w:spacing w:before="0" w:after="283"/>
              <w:jc w:val="left"/>
              <w:rPr>
                <w:sz w:val="4"/>
                <w:szCs w:val="4"/>
              </w:rPr>
            </w:pPr>
            <w:r>
              <w:rPr>
                <w:sz w:val="4"/>
                <w:szCs w:val="4"/>
              </w:rPr>
            </w:r>
          </w:p>
        </w:tc>
        <w:tc>
          <w:tcPr>
            <w:tcW w:w="996" w:type="dxa"/>
            <w:gridSpan w:val="4"/>
            <w:tcBorders/>
            <w:vAlign w:val="center"/>
          </w:tcPr>
          <w:p>
            <w:pPr>
              <w:pStyle w:val="TableContents"/>
              <w:bidi w:val="0"/>
              <w:spacing w:before="0" w:after="283"/>
              <w:jc w:val="left"/>
              <w:rPr>
                <w:sz w:val="4"/>
                <w:szCs w:val="4"/>
              </w:rPr>
            </w:pPr>
            <w:r>
              <w:rPr>
                <w:sz w:val="4"/>
                <w:szCs w:val="4"/>
              </w:rPr>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Date and Certain Funds Utilization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Each Credit Event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147</w:t>
            </w:r>
            <w:r>
              <w:rPr>
                <w:color w:val="0000FF"/>
                <w:u w:val="single"/>
                <w:bdr w:val="double" w:sz="2" w:space="1" w:color="000000"/>
              </w:rPr>
              <w:t>152</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AFFIRMATIVE COVENANTS</w:t>
            </w:r>
          </w:p>
        </w:tc>
        <w:tc>
          <w:tcPr>
            <w:tcW w:w="64" w:type="dxa"/>
            <w:tcBorders/>
          </w:tcPr>
          <w:p>
            <w:pPr>
              <w:pStyle w:val="TableContents"/>
              <w:bidi w:val="0"/>
              <w:spacing w:before="0" w:after="0"/>
              <w:jc w:val="left"/>
              <w:rPr/>
            </w:pPr>
            <w:r>
              <w:rPr/>
              <w:t> </w:t>
            </w:r>
          </w:p>
        </w:tc>
      </w:tr>
      <w:tr>
        <w:trPr>
          <w:trHeight w:val="120" w:hRule="atLeast"/>
        </w:trPr>
        <w:tc>
          <w:tcPr>
            <w:tcW w:w="1337" w:type="dxa"/>
            <w:tcBorders/>
            <w:vAlign w:val="center"/>
          </w:tcPr>
          <w:p>
            <w:pPr>
              <w:pStyle w:val="TableContents"/>
              <w:bidi w:val="0"/>
              <w:spacing w:before="0" w:after="283"/>
              <w:jc w:val="left"/>
              <w:rPr>
                <w:sz w:val="4"/>
                <w:szCs w:val="4"/>
              </w:rPr>
            </w:pPr>
            <w:r>
              <w:rPr>
                <w:sz w:val="4"/>
                <w:szCs w:val="4"/>
              </w:rPr>
            </w:r>
          </w:p>
        </w:tc>
        <w:tc>
          <w:tcPr>
            <w:tcW w:w="7872" w:type="dxa"/>
            <w:gridSpan w:val="2"/>
            <w:tcBorders/>
            <w:vAlign w:val="center"/>
          </w:tcPr>
          <w:p>
            <w:pPr>
              <w:pStyle w:val="TableContents"/>
              <w:bidi w:val="0"/>
              <w:spacing w:before="0" w:after="283"/>
              <w:jc w:val="left"/>
              <w:rPr>
                <w:sz w:val="4"/>
                <w:szCs w:val="4"/>
              </w:rPr>
            </w:pPr>
            <w:r>
              <w:rPr>
                <w:sz w:val="4"/>
                <w:szCs w:val="4"/>
              </w:rPr>
            </w:r>
          </w:p>
        </w:tc>
        <w:tc>
          <w:tcPr>
            <w:tcW w:w="996" w:type="dxa"/>
            <w:gridSpan w:val="4"/>
            <w:tcBorders/>
            <w:vAlign w:val="center"/>
          </w:tcPr>
          <w:p>
            <w:pPr>
              <w:pStyle w:val="TableContents"/>
              <w:bidi w:val="0"/>
              <w:spacing w:before="0" w:after="283"/>
              <w:jc w:val="left"/>
              <w:rPr>
                <w:sz w:val="4"/>
                <w:szCs w:val="4"/>
              </w:rPr>
            </w:pPr>
            <w:r>
              <w:rPr>
                <w:sz w:val="4"/>
                <w:szCs w:val="4"/>
              </w:rPr>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and Other Information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153</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Notices of Material Events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Information Regarding Collateral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156</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Existence; Conduct of Business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Taxes,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Maintenance of Properties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157</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Books and Records; Inspection and Audit Rights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r>
        <w:trPr/>
        <w:tc>
          <w:tcPr>
            <w:tcW w:w="1337"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00" w:type="dxa"/>
            <w:tcBorders/>
            <w:vAlign w:val="bottom"/>
          </w:tcPr>
          <w:p>
            <w:pPr>
              <w:pStyle w:val="TableContents"/>
              <w:bidi w:val="0"/>
              <w:spacing w:before="0" w:after="283"/>
              <w:jc w:val="left"/>
              <w:rPr/>
            </w:pPr>
            <w:r>
              <w:rPr/>
              <w:t> </w:t>
            </w:r>
          </w:p>
        </w:tc>
        <w:tc>
          <w:tcPr>
            <w:tcW w:w="7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0"/>
        <w:gridCol w:w="96"/>
        <w:gridCol w:w="7533"/>
        <w:gridCol w:w="131"/>
        <w:gridCol w:w="60"/>
        <w:gridCol w:w="742"/>
        <w:gridCol w:w="63"/>
      </w:tblGrid>
      <w:tr>
        <w:trPr/>
        <w:tc>
          <w:tcPr>
            <w:tcW w:w="158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53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02"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Use of Proceeds and Letters of Credit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Subsidiaries; Guarantor Coverage Test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160</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Designation of Subsidiaries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Post-Closing Obligations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Maintenance of Rating of Bidco and the Facilities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Lines of Business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Refinancing</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Undertakings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NEGATIVE COVENANTS.</w:t>
            </w:r>
          </w:p>
        </w:tc>
        <w:tc>
          <w:tcPr>
            <w:tcW w:w="63" w:type="dxa"/>
            <w:tcBorders/>
          </w:tcPr>
          <w:p>
            <w:pPr>
              <w:pStyle w:val="TableContents"/>
              <w:bidi w:val="0"/>
              <w:spacing w:before="0" w:after="0"/>
              <w:jc w:val="left"/>
              <w:rPr/>
            </w:pPr>
            <w:r>
              <w:rPr/>
              <w:t> </w:t>
            </w:r>
          </w:p>
        </w:tc>
      </w:tr>
      <w:tr>
        <w:trPr>
          <w:trHeight w:val="120" w:hRule="atLeast"/>
        </w:trPr>
        <w:tc>
          <w:tcPr>
            <w:tcW w:w="1580" w:type="dxa"/>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c>
          <w:tcPr>
            <w:tcW w:w="996" w:type="dxa"/>
            <w:gridSpan w:val="4"/>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Indebtedness; Certain Equity Securities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Fundamental Changes; Holdings Covenant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173</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Asset Sales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175</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Limitation on Restricted Payments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Restrictive Agreements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180</w:t>
            </w:r>
            <w:r>
              <w:rPr>
                <w:color w:val="0000FF"/>
                <w:u w:val="single"/>
                <w:bdr w:val="double" w:sz="2" w:space="1" w:color="000000"/>
              </w:rPr>
              <w:t>187</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Performance Covenant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EVENTS OF DEFAULT</w:t>
            </w:r>
          </w:p>
        </w:tc>
        <w:tc>
          <w:tcPr>
            <w:tcW w:w="63" w:type="dxa"/>
            <w:tcBorders/>
          </w:tcPr>
          <w:p>
            <w:pPr>
              <w:pStyle w:val="TableContents"/>
              <w:bidi w:val="0"/>
              <w:spacing w:before="0" w:after="0"/>
              <w:jc w:val="left"/>
              <w:rPr/>
            </w:pPr>
            <w:r>
              <w:rPr/>
              <w:t> </w:t>
            </w:r>
          </w:p>
        </w:tc>
      </w:tr>
      <w:tr>
        <w:trPr>
          <w:trHeight w:val="120" w:hRule="atLeast"/>
        </w:trPr>
        <w:tc>
          <w:tcPr>
            <w:tcW w:w="1580" w:type="dxa"/>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c>
          <w:tcPr>
            <w:tcW w:w="996" w:type="dxa"/>
            <w:gridSpan w:val="4"/>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183</w:t>
            </w:r>
            <w:r>
              <w:rPr>
                <w:color w:val="0000FF"/>
                <w:u w:val="single"/>
                <w:bdr w:val="double" w:sz="2" w:space="1" w:color="000000"/>
              </w:rPr>
              <w:t>189</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 to Cure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ADMINISTRATIVE AGENT</w:t>
            </w:r>
          </w:p>
        </w:tc>
        <w:tc>
          <w:tcPr>
            <w:tcW w:w="63" w:type="dxa"/>
            <w:tcBorders/>
          </w:tcPr>
          <w:p>
            <w:pPr>
              <w:pStyle w:val="TableContents"/>
              <w:bidi w:val="0"/>
              <w:spacing w:before="0" w:after="0"/>
              <w:jc w:val="left"/>
              <w:rPr/>
            </w:pPr>
            <w:r>
              <w:rPr/>
              <w:t> </w:t>
            </w:r>
          </w:p>
        </w:tc>
      </w:tr>
      <w:tr>
        <w:trPr>
          <w:trHeight w:val="120" w:hRule="atLeast"/>
        </w:trPr>
        <w:tc>
          <w:tcPr>
            <w:tcW w:w="1580" w:type="dxa"/>
            <w:tcBorders/>
            <w:vAlign w:val="center"/>
          </w:tcPr>
          <w:p>
            <w:pPr>
              <w:pStyle w:val="TableContents"/>
              <w:bidi w:val="0"/>
              <w:spacing w:before="0" w:after="283"/>
              <w:jc w:val="left"/>
              <w:rPr>
                <w:sz w:val="4"/>
                <w:szCs w:val="4"/>
              </w:rPr>
            </w:pPr>
            <w:r>
              <w:rPr>
                <w:sz w:val="4"/>
                <w:szCs w:val="4"/>
              </w:rPr>
            </w:r>
          </w:p>
        </w:tc>
        <w:tc>
          <w:tcPr>
            <w:tcW w:w="7629" w:type="dxa"/>
            <w:gridSpan w:val="2"/>
            <w:tcBorders/>
            <w:vAlign w:val="center"/>
          </w:tcPr>
          <w:p>
            <w:pPr>
              <w:pStyle w:val="TableContents"/>
              <w:bidi w:val="0"/>
              <w:spacing w:before="0" w:after="283"/>
              <w:jc w:val="left"/>
              <w:rPr>
                <w:sz w:val="4"/>
                <w:szCs w:val="4"/>
              </w:rPr>
            </w:pPr>
            <w:r>
              <w:rPr>
                <w:sz w:val="4"/>
                <w:szCs w:val="4"/>
              </w:rPr>
            </w:r>
          </w:p>
        </w:tc>
        <w:tc>
          <w:tcPr>
            <w:tcW w:w="996" w:type="dxa"/>
            <w:gridSpan w:val="4"/>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Appointment and Authority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189</w:t>
            </w:r>
            <w:r>
              <w:rPr>
                <w:color w:val="0000FF"/>
                <w:u w:val="single"/>
                <w:bdr w:val="double" w:sz="2" w:space="1" w:color="000000"/>
              </w:rPr>
              <w:t>195</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Rights as a Lender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189</w:t>
            </w:r>
            <w:r>
              <w:rPr>
                <w:color w:val="0000FF"/>
                <w:u w:val="single"/>
                <w:bdr w:val="double" w:sz="2" w:space="1" w:color="000000"/>
              </w:rPr>
              <w:t>196</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Exculpatory Provisions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189</w:t>
            </w:r>
            <w:r>
              <w:rPr>
                <w:color w:val="0000FF"/>
                <w:u w:val="single"/>
                <w:bdr w:val="double" w:sz="2" w:space="1" w:color="000000"/>
              </w:rPr>
              <w:t>196</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Reliance by Administrative Agent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190</w:t>
            </w:r>
            <w:r>
              <w:rPr>
                <w:color w:val="0000FF"/>
                <w:u w:val="single"/>
                <w:bdr w:val="double" w:sz="2" w:space="1" w:color="000000"/>
              </w:rPr>
              <w:t>197</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Resignation of Administrative Agent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191</w:t>
            </w:r>
            <w:r>
              <w:rPr>
                <w:color w:val="0000FF"/>
                <w:u w:val="single"/>
                <w:bdr w:val="double" w:sz="2" w:space="1" w:color="000000"/>
              </w:rPr>
              <w:t>197</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Non-Reliance on Administrative Agent and Other Lenders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192</w:t>
            </w:r>
            <w:r>
              <w:rPr>
                <w:color w:val="0000FF"/>
                <w:u w:val="single"/>
                <w:bdr w:val="double" w:sz="2" w:space="1" w:color="000000"/>
              </w:rPr>
              <w:t>199</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Other Duties, Etc.</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193</w:t>
            </w:r>
            <w:r>
              <w:rPr>
                <w:color w:val="0000FF"/>
                <w:u w:val="single"/>
                <w:bdr w:val="double" w:sz="2" w:space="1" w:color="000000"/>
              </w:rPr>
              <w:t>199</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Administrative Agent May File Proofs of Claim</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193</w:t>
            </w:r>
            <w:r>
              <w:rPr>
                <w:color w:val="0000FF"/>
                <w:u w:val="single"/>
                <w:bdr w:val="double" w:sz="2" w:space="1" w:color="000000"/>
              </w:rPr>
              <w:t>199</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Waiver; Cumulative Remedies; Enforcement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200</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Taxes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194</w:t>
            </w:r>
            <w:r>
              <w:rPr>
                <w:color w:val="0000FF"/>
                <w:u w:val="single"/>
                <w:bdr w:val="double" w:sz="2" w:space="1" w:color="000000"/>
              </w:rPr>
              <w:t>201</w:t>
            </w:r>
          </w:p>
        </w:tc>
        <w:tc>
          <w:tcPr>
            <w:tcW w:w="63" w:type="dxa"/>
            <w:tcBorders/>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96" w:type="dxa"/>
            <w:tcBorders/>
            <w:vAlign w:val="bottom"/>
          </w:tcPr>
          <w:p>
            <w:pPr>
              <w:pStyle w:val="TableContents"/>
              <w:bidi w:val="0"/>
              <w:spacing w:before="0" w:after="283"/>
              <w:jc w:val="left"/>
              <w:rPr/>
            </w:pPr>
            <w:r>
              <w:rPr/>
              <w:t> </w:t>
            </w:r>
          </w:p>
        </w:tc>
        <w:tc>
          <w:tcPr>
            <w:tcW w:w="75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195</w:t>
            </w:r>
            <w:r>
              <w:rPr>
                <w:color w:val="0000FF"/>
                <w:u w:val="single"/>
                <w:bdr w:val="double" w:sz="2" w:space="1" w:color="000000"/>
              </w:rPr>
              <w:t>201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5"/>
        <w:gridCol w:w="84"/>
        <w:gridCol w:w="7953"/>
        <w:gridCol w:w="128"/>
        <w:gridCol w:w="60"/>
        <w:gridCol w:w="742"/>
        <w:gridCol w:w="63"/>
      </w:tblGrid>
      <w:tr>
        <w:trPr/>
        <w:tc>
          <w:tcPr>
            <w:tcW w:w="11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795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2"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175" w:type="dxa"/>
            <w:tcBorders/>
            <w:vAlign w:val="center"/>
          </w:tcPr>
          <w:p>
            <w:pPr>
              <w:pStyle w:val="TableContents"/>
              <w:bidi w:val="0"/>
              <w:spacing w:before="0" w:after="283"/>
              <w:jc w:val="left"/>
              <w:rPr>
                <w:sz w:val="4"/>
                <w:szCs w:val="4"/>
              </w:rPr>
            </w:pPr>
            <w:r>
              <w:rPr>
                <w:sz w:val="4"/>
                <w:szCs w:val="4"/>
              </w:rPr>
            </w:r>
          </w:p>
        </w:tc>
        <w:tc>
          <w:tcPr>
            <w:tcW w:w="8037"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195</w:t>
            </w:r>
            <w:r>
              <w:rPr>
                <w:color w:val="0000FF"/>
                <w:u w:val="single"/>
                <w:bdr w:val="double" w:sz="2" w:space="1" w:color="000000"/>
              </w:rPr>
              <w:t>202</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Waivers; Amendments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197</w:t>
            </w:r>
            <w:r>
              <w:rPr>
                <w:color w:val="0000FF"/>
                <w:u w:val="single"/>
                <w:bdr w:val="double" w:sz="2" w:space="1" w:color="000000"/>
              </w:rPr>
              <w:t>204</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Expenses; Indemnity; Damage Waiver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201</w:t>
            </w:r>
            <w:r>
              <w:rPr>
                <w:color w:val="0000FF"/>
                <w:u w:val="single"/>
                <w:bdr w:val="double" w:sz="2" w:space="1" w:color="000000"/>
              </w:rPr>
              <w:t>207</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204</w:t>
            </w:r>
            <w:r>
              <w:rPr>
                <w:color w:val="0000FF"/>
                <w:u w:val="single"/>
                <w:bdr w:val="double" w:sz="2" w:space="1" w:color="000000"/>
              </w:rPr>
              <w:t>210</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210</w:t>
            </w:r>
            <w:r>
              <w:rPr>
                <w:color w:val="0000FF"/>
                <w:u w:val="single"/>
                <w:bdr w:val="double" w:sz="2" w:space="1" w:color="000000"/>
              </w:rPr>
              <w:t>217</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Counterparts; Integration; Effectiveness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211</w:t>
            </w:r>
            <w:r>
              <w:rPr>
                <w:color w:val="0000FF"/>
                <w:u w:val="single"/>
                <w:bdr w:val="double" w:sz="2" w:space="1" w:color="000000"/>
              </w:rPr>
              <w:t>218</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211</w:t>
            </w:r>
            <w:r>
              <w:rPr>
                <w:color w:val="0000FF"/>
                <w:u w:val="single"/>
                <w:bdr w:val="double" w:sz="2" w:space="1" w:color="000000"/>
              </w:rPr>
              <w:t>218</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211</w:t>
            </w:r>
            <w:r>
              <w:rPr>
                <w:color w:val="0000FF"/>
                <w:u w:val="single"/>
                <w:bdr w:val="double" w:sz="2" w:space="1" w:color="000000"/>
              </w:rPr>
              <w:t>219</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212</w:t>
            </w:r>
            <w:r>
              <w:rPr>
                <w:color w:val="0000FF"/>
                <w:u w:val="single"/>
                <w:bdr w:val="double" w:sz="2" w:space="1" w:color="000000"/>
              </w:rPr>
              <w:t>219</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213</w:t>
            </w:r>
            <w:r>
              <w:rPr>
                <w:color w:val="0000FF"/>
                <w:u w:val="single"/>
                <w:bdr w:val="double" w:sz="2" w:space="1" w:color="000000"/>
              </w:rPr>
              <w:t>220</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213</w:t>
            </w:r>
            <w:r>
              <w:rPr>
                <w:color w:val="0000FF"/>
                <w:u w:val="single"/>
                <w:bdr w:val="double" w:sz="2" w:space="1" w:color="000000"/>
              </w:rPr>
              <w:t>220</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213</w:t>
            </w:r>
            <w:r>
              <w:rPr>
                <w:color w:val="0000FF"/>
                <w:u w:val="single"/>
                <w:bdr w:val="double" w:sz="2" w:space="1" w:color="000000"/>
              </w:rPr>
              <w:t>220</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214</w:t>
            </w:r>
            <w:r>
              <w:rPr>
                <w:color w:val="0000FF"/>
                <w:u w:val="single"/>
                <w:bdr w:val="double" w:sz="2" w:space="1" w:color="000000"/>
              </w:rPr>
              <w:t>222</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Release of Liens and Guarantees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215</w:t>
            </w:r>
            <w:r>
              <w:rPr>
                <w:color w:val="0000FF"/>
                <w:u w:val="single"/>
                <w:bdr w:val="double" w:sz="2" w:space="1" w:color="000000"/>
              </w:rPr>
              <w:t>222</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Advisory or Fiduciary Responsibility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216</w:t>
            </w:r>
            <w:r>
              <w:rPr>
                <w:color w:val="0000FF"/>
                <w:u w:val="single"/>
                <w:bdr w:val="double" w:sz="2" w:space="1" w:color="000000"/>
              </w:rPr>
              <w:t>223</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Rate Limitation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216</w:t>
            </w:r>
            <w:r>
              <w:rPr>
                <w:color w:val="0000FF"/>
                <w:u w:val="single"/>
                <w:bdr w:val="double" w:sz="2" w:space="1" w:color="000000"/>
              </w:rPr>
              <w:t>223</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Intercreditor Agreements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216</w:t>
            </w:r>
            <w:r>
              <w:rPr>
                <w:color w:val="0000FF"/>
                <w:u w:val="single"/>
                <w:bdr w:val="double" w:sz="2" w:space="1" w:color="000000"/>
              </w:rPr>
              <w:t>224</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Cashless Settlement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217</w:t>
            </w:r>
            <w:r>
              <w:rPr>
                <w:color w:val="0000FF"/>
                <w:u w:val="single"/>
                <w:bdr w:val="double" w:sz="2" w:space="1" w:color="000000"/>
              </w:rPr>
              <w:t>224</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Acknowledgement and Consent to Bail-In of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217</w:t>
            </w:r>
            <w:r>
              <w:rPr>
                <w:color w:val="0000FF"/>
                <w:u w:val="single"/>
                <w:bdr w:val="double" w:sz="2" w:space="1" w:color="000000"/>
              </w:rPr>
              <w:t>224</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Acknowledgement Regarding Any Supported QFCs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218</w:t>
            </w:r>
            <w:r>
              <w:rPr>
                <w:color w:val="0000FF"/>
                <w:u w:val="single"/>
                <w:bdr w:val="double" w:sz="2" w:space="1" w:color="000000"/>
              </w:rPr>
              <w:t>225</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Joint and Several Liability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218</w:t>
            </w:r>
            <w:r>
              <w:rPr>
                <w:color w:val="0000FF"/>
                <w:u w:val="single"/>
                <w:bdr w:val="double" w:sz="2" w:space="1" w:color="000000"/>
              </w:rPr>
              <w:t>226</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219</w:t>
            </w:r>
            <w:r>
              <w:rPr>
                <w:color w:val="0000FF"/>
                <w:u w:val="single"/>
                <w:bdr w:val="double" w:sz="2" w:space="1" w:color="000000"/>
              </w:rPr>
              <w:t>226</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Lender Affiliates and Facility Offices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219</w:t>
            </w:r>
            <w:r>
              <w:rPr>
                <w:color w:val="0000FF"/>
                <w:u w:val="single"/>
                <w:bdr w:val="double" w:sz="2" w:space="1" w:color="000000"/>
              </w:rPr>
              <w:t>226</w:t>
            </w:r>
          </w:p>
        </w:tc>
        <w:tc>
          <w:tcPr>
            <w:tcW w:w="63" w:type="dxa"/>
            <w:tcBorders/>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84" w:type="dxa"/>
            <w:tcBorders/>
            <w:vAlign w:val="bottom"/>
          </w:tcPr>
          <w:p>
            <w:pPr>
              <w:pStyle w:val="TableContents"/>
              <w:bidi w:val="0"/>
              <w:spacing w:before="0" w:after="283"/>
              <w:jc w:val="left"/>
              <w:rPr/>
            </w:pPr>
            <w:r>
              <w:rPr/>
              <w:t> </w:t>
            </w:r>
          </w:p>
        </w:tc>
        <w:tc>
          <w:tcPr>
            <w:tcW w:w="79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Facilities Agreement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220</w:t>
            </w:r>
            <w:r>
              <w:rPr>
                <w:color w:val="0000FF"/>
                <w:u w:val="single"/>
                <w:bdr w:val="double" w:sz="2" w:space="1" w:color="000000"/>
              </w:rPr>
              <w:t>227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69"/>
        <w:gridCol w:w="110"/>
        <w:gridCol w:w="262"/>
        <w:gridCol w:w="128"/>
        <w:gridCol w:w="8036"/>
      </w:tblGrid>
      <w:tr>
        <w:trPr/>
        <w:tc>
          <w:tcPr>
            <w:tcW w:w="166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036" w:type="dxa"/>
            <w:tcBorders/>
            <w:vAlign w:val="center"/>
          </w:tcPr>
          <w:p>
            <w:pPr>
              <w:pStyle w:val="TableContents"/>
              <w:bidi w:val="0"/>
              <w:spacing w:before="0" w:after="283"/>
              <w:jc w:val="left"/>
              <w:rPr>
                <w:sz w:val="4"/>
                <w:szCs w:val="4"/>
              </w:rPr>
            </w:pPr>
            <w:r>
              <w:rPr>
                <w:sz w:val="4"/>
                <w:szCs w:val="4"/>
              </w:rPr>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u w:val="single"/>
              </w:rPr>
              <w:t>SCHEDULES</w:t>
            </w:r>
            <w:r>
              <w:rPr>
                <w:rFonts w:ascii="Times New Roman" w:hAnsi="Times New Roman"/>
                <w:sz w:val="20"/>
              </w:rPr>
              <w:t>:</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669" w:type="dxa"/>
            <w:tcBorders/>
            <w:vAlign w:val="center"/>
          </w:tcPr>
          <w:p>
            <w:pPr>
              <w:pStyle w:val="TableContents"/>
              <w:bidi w:val="0"/>
              <w:spacing w:before="0" w:after="283"/>
              <w:jc w:val="left"/>
              <w:rPr>
                <w:sz w:val="4"/>
                <w:szCs w:val="4"/>
              </w:rPr>
            </w:pPr>
            <w:r>
              <w:rPr>
                <w:sz w:val="4"/>
                <w:szCs w:val="4"/>
              </w:rPr>
            </w:r>
          </w:p>
        </w:tc>
        <w:tc>
          <w:tcPr>
            <w:tcW w:w="372" w:type="dxa"/>
            <w:gridSpan w:val="2"/>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1.01(a)    </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Agreed Security Principles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1.01(b)</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Excluded Subsidiaries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1.01(c)</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Existing Letters of Credit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1.01(d)</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Non-U.S. Security Agreements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2.01</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Loans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3.03</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 Approvals; No Conflicts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3.06</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3.12</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Subsidiaries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5.14</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Post-Closing Obligations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5.17</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9.01</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Notices</w:t>
            </w:r>
          </w:p>
        </w:tc>
      </w:tr>
      <w:tr>
        <w:trPr>
          <w:trHeight w:val="240" w:hRule="atLeast"/>
        </w:trPr>
        <w:tc>
          <w:tcPr>
            <w:tcW w:w="1669" w:type="dxa"/>
            <w:tcBorders/>
            <w:vAlign w:val="center"/>
          </w:tcPr>
          <w:p>
            <w:pPr>
              <w:pStyle w:val="TableContents"/>
              <w:bidi w:val="0"/>
              <w:spacing w:before="0" w:after="283"/>
              <w:jc w:val="left"/>
              <w:rPr>
                <w:sz w:val="4"/>
                <w:szCs w:val="4"/>
              </w:rPr>
            </w:pPr>
            <w:r>
              <w:rPr>
                <w:sz w:val="4"/>
                <w:szCs w:val="4"/>
              </w:rPr>
            </w:r>
          </w:p>
        </w:tc>
        <w:tc>
          <w:tcPr>
            <w:tcW w:w="372" w:type="dxa"/>
            <w:gridSpan w:val="2"/>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669" w:type="dxa"/>
            <w:tcBorders/>
            <w:vAlign w:val="center"/>
          </w:tcPr>
          <w:p>
            <w:pPr>
              <w:pStyle w:val="TableContents"/>
              <w:bidi w:val="0"/>
              <w:spacing w:before="0" w:after="283"/>
              <w:jc w:val="left"/>
              <w:rPr>
                <w:sz w:val="4"/>
                <w:szCs w:val="4"/>
              </w:rPr>
            </w:pPr>
            <w:r>
              <w:rPr>
                <w:sz w:val="4"/>
                <w:szCs w:val="4"/>
              </w:rPr>
            </w:r>
          </w:p>
        </w:tc>
        <w:tc>
          <w:tcPr>
            <w:tcW w:w="372" w:type="dxa"/>
            <w:gridSpan w:val="2"/>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and Assumption</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Guarantee Agreement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Perfection Certificate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Collateral Agreement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Pari Passu Intercreditor Agreement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Second Lien Intercreditor Agreement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Additional Borrower Agreement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Intercompany Note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J</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Specified Discount Prepayment Notice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K</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Specified Discount Prepayment Response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L</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Discount Range Prepayment Notice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M</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Discount Range Prepayment Offer</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N</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Solicited Discounted Prepayment Notice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O</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Solicited Discounted Prepayment Offer</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P</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Acceptance and Prepayment Notice</w:t>
            </w:r>
          </w:p>
        </w:tc>
      </w:tr>
      <w:tr>
        <w:trPr/>
        <w:tc>
          <w:tcPr>
            <w:tcW w:w="1669" w:type="dxa"/>
            <w:tcBorders/>
          </w:tcPr>
          <w:p>
            <w:pPr>
              <w:pStyle w:val="TableContents"/>
              <w:bidi w:val="0"/>
              <w:spacing w:before="0" w:after="0"/>
              <w:jc w:val="left"/>
              <w:rPr>
                <w:rFonts w:ascii="Times New Roman" w:hAnsi="Times New Roman"/>
                <w:sz w:val="20"/>
              </w:rPr>
            </w:pPr>
            <w:r>
              <w:rPr>
                <w:rFonts w:ascii="Times New Roman" w:hAnsi="Times New Roman"/>
                <w:sz w:val="20"/>
              </w:rPr>
              <w:t>Exhibit Q-1</w:t>
            </w:r>
          </w:p>
        </w:tc>
        <w:tc>
          <w:tcPr>
            <w:tcW w:w="110"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1 (For Foreign Lenders That Are Not Partnerships for U.S. Federal Income Tax Purposes)</w:t>
            </w:r>
          </w:p>
        </w:tc>
      </w:tr>
      <w:tr>
        <w:trPr/>
        <w:tc>
          <w:tcPr>
            <w:tcW w:w="1669" w:type="dxa"/>
            <w:tcBorders/>
          </w:tcPr>
          <w:p>
            <w:pPr>
              <w:pStyle w:val="TableContents"/>
              <w:bidi w:val="0"/>
              <w:spacing w:before="0" w:after="0"/>
              <w:jc w:val="left"/>
              <w:rPr>
                <w:rFonts w:ascii="Times New Roman" w:hAnsi="Times New Roman"/>
                <w:sz w:val="20"/>
              </w:rPr>
            </w:pPr>
            <w:r>
              <w:rPr>
                <w:rFonts w:ascii="Times New Roman" w:hAnsi="Times New Roman"/>
                <w:sz w:val="20"/>
              </w:rPr>
              <w:t>Exhibit Q-2</w:t>
            </w:r>
          </w:p>
        </w:tc>
        <w:tc>
          <w:tcPr>
            <w:tcW w:w="110"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2 (For Non-U.S. Lenders That Are Partnerships for U.S. Federal Income Tax Purposes)</w:t>
            </w:r>
          </w:p>
        </w:tc>
      </w:tr>
      <w:tr>
        <w:trPr/>
        <w:tc>
          <w:tcPr>
            <w:tcW w:w="1669" w:type="dxa"/>
            <w:tcBorders/>
          </w:tcPr>
          <w:p>
            <w:pPr>
              <w:pStyle w:val="TableContents"/>
              <w:bidi w:val="0"/>
              <w:spacing w:before="0" w:after="0"/>
              <w:jc w:val="left"/>
              <w:rPr>
                <w:rFonts w:ascii="Times New Roman" w:hAnsi="Times New Roman"/>
                <w:sz w:val="20"/>
              </w:rPr>
            </w:pPr>
            <w:r>
              <w:rPr>
                <w:rFonts w:ascii="Times New Roman" w:hAnsi="Times New Roman"/>
                <w:sz w:val="20"/>
              </w:rPr>
              <w:t>Exhibit Q-3</w:t>
            </w:r>
          </w:p>
        </w:tc>
        <w:tc>
          <w:tcPr>
            <w:tcW w:w="110"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3 (For Non-U.S. Participants That Are Not Partnerships for U.S. Federal Income Tax Purposes)</w:t>
            </w:r>
          </w:p>
        </w:tc>
      </w:tr>
      <w:tr>
        <w:trPr/>
        <w:tc>
          <w:tcPr>
            <w:tcW w:w="1669" w:type="dxa"/>
            <w:tcBorders/>
          </w:tcPr>
          <w:p>
            <w:pPr>
              <w:pStyle w:val="TableContents"/>
              <w:bidi w:val="0"/>
              <w:spacing w:before="0" w:after="0"/>
              <w:jc w:val="left"/>
              <w:rPr>
                <w:rFonts w:ascii="Times New Roman" w:hAnsi="Times New Roman"/>
                <w:sz w:val="20"/>
              </w:rPr>
            </w:pPr>
            <w:r>
              <w:rPr>
                <w:rFonts w:ascii="Times New Roman" w:hAnsi="Times New Roman"/>
                <w:sz w:val="20"/>
              </w:rPr>
              <w:t>Exhibit Q-4</w:t>
            </w:r>
          </w:p>
        </w:tc>
        <w:tc>
          <w:tcPr>
            <w:tcW w:w="110"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4 (For Non-U.S. Participants That Are Partnerships for U.S. Federal Income Tax Purposes)</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R</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Note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S</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T</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Notice of Borrowing</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U</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Letter of Credit Request</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V</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Cash Management Bank Designation</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W</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Hedge Bank Designation</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X</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Prepayment Notice</w:t>
            </w:r>
          </w:p>
        </w:tc>
      </w:tr>
      <w:tr>
        <w:trPr/>
        <w:tc>
          <w:tcPr>
            <w:tcW w:w="16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Y</w:t>
            </w:r>
          </w:p>
        </w:tc>
        <w:tc>
          <w:tcPr>
            <w:tcW w:w="11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t>  </w:t>
            </w:r>
          </w:p>
        </w:tc>
        <w:tc>
          <w:tcPr>
            <w:tcW w:w="80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Substitute Affiliate Lender Designation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CREDIT AGREEMENT dated as of December 12, 2019 (this “</w:t>
      </w:r>
      <w:r>
        <w:rPr>
          <w:rFonts w:ascii="Times New Roman" w:hAnsi="Times New Roman"/>
          <w:sz w:val="20"/>
          <w:u w:val="single"/>
        </w:rPr>
        <w:t>Agreement</w:t>
      </w:r>
      <w:r>
        <w:rPr>
          <w:rFonts w:ascii="Times New Roman" w:hAnsi="Times New Roman"/>
          <w:sz w:val="20"/>
        </w:rPr>
        <w:t>”), among CONNECT MIDCO LIMITED (f/k/a Triton Midco (Guernsey) Limited), a non-cellular company limited by shares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non-cellular company limited by shares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private limited liability company (</w:t>
      </w:r>
      <w:r>
        <w:rPr>
          <w:rFonts w:ascii="Times New Roman" w:hAnsi="Times New Roman"/>
          <w:i/>
          <w:sz w:val="20"/>
        </w:rPr>
        <w:t>société à responsabilité limitée</w:t>
      </w:r>
      <w:r>
        <w:rPr>
          <w:rFonts w:ascii="Times New Roman" w:hAnsi="Times New Roman"/>
          <w:sz w:val="20"/>
        </w:rPr>
        <w:t>) incorporated in Luxembourg, having its registered office at 1-3, Boulevard de la Foire, L-1528 Luxembourg, registered with the Luxembourg Companies Register under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in its capacity as a revolving borrower and any Additional Borrowers from time to time party 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hereto and Barclays Bank PLC (“</w:t>
      </w:r>
      <w:r>
        <w:rPr>
          <w:rFonts w:ascii="Times New Roman" w:hAnsi="Times New Roman"/>
          <w:sz w:val="20"/>
          <w:u w:val="single"/>
        </w:rPr>
        <w:t>Barclays</w:t>
      </w:r>
      <w:r>
        <w:rPr>
          <w:rFonts w:ascii="Times New Roman" w:hAnsi="Times New Roman"/>
          <w:sz w:val="20"/>
        </w:rPr>
        <w:t xml:space="preserve">”), as Administrative Agent and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as follows: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36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the following terms have the meanings specified below: </w:t>
      </w:r>
    </w:p>
    <w:p>
      <w:pPr>
        <w:pStyle w:val="TextBody"/>
        <w:bidi w:val="0"/>
        <w:spacing w:before="240" w:after="0"/>
        <w:jc w:val="left"/>
        <w:rPr/>
      </w:pPr>
      <w:r>
        <w:rPr/>
        <w:t>“</w:t>
      </w:r>
      <w:r>
        <w:rPr>
          <w:rFonts w:ascii="Times New Roman" w:hAnsi="Times New Roman"/>
          <w:sz w:val="20"/>
          <w:u w:val="single"/>
        </w:rPr>
        <w:t>2011 Ex-Im Credit Agreement</w:t>
      </w:r>
      <w:r>
        <w:rPr>
          <w:rFonts w:ascii="Times New Roman" w:hAnsi="Times New Roman"/>
          <w:sz w:val="20"/>
        </w:rPr>
        <w:t xml:space="preserve">” means the credit agreement dated May 11, 2011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left"/>
        <w:rPr/>
      </w:pPr>
      <w:r>
        <w:rPr/>
        <w:t>“</w:t>
      </w:r>
      <w:r>
        <w:rPr>
          <w:rFonts w:ascii="Times New Roman" w:hAnsi="Times New Roman"/>
          <w:sz w:val="20"/>
          <w:u w:val="single"/>
        </w:rPr>
        <w:t>2014 Ex-Im Credit Agreement</w:t>
      </w:r>
      <w:r>
        <w:rPr>
          <w:rFonts w:ascii="Times New Roman" w:hAnsi="Times New Roman"/>
          <w:sz w:val="20"/>
        </w:rPr>
        <w:t xml:space="preserve">” means the credit agreement dated November 10, 2014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left"/>
        <w:rPr/>
      </w:pPr>
      <w:r>
        <w:rPr/>
        <w:t>“</w:t>
      </w:r>
      <w:r>
        <w:rPr>
          <w:rFonts w:ascii="Times New Roman" w:hAnsi="Times New Roman"/>
          <w:sz w:val="20"/>
          <w:u w:val="single"/>
        </w:rPr>
        <w:t>2022 Notes</w:t>
      </w:r>
      <w:r>
        <w:rPr>
          <w:rFonts w:ascii="Times New Roman" w:hAnsi="Times New Roman"/>
          <w:sz w:val="20"/>
        </w:rPr>
        <w:t xml:space="preserve">” means the $1,000,000,000 4.875% senior notes due 2022 issued by Inmarsat Finance plc. </w:t>
      </w:r>
    </w:p>
    <w:p>
      <w:pPr>
        <w:pStyle w:val="TextBody"/>
        <w:bidi w:val="0"/>
        <w:spacing w:before="240" w:after="0"/>
        <w:jc w:val="left"/>
        <w:rPr/>
      </w:pPr>
      <w:r>
        <w:rPr/>
        <w:t>“</w:t>
      </w:r>
      <w:r>
        <w:rPr>
          <w:rFonts w:ascii="Times New Roman" w:hAnsi="Times New Roman"/>
          <w:sz w:val="20"/>
          <w:u w:val="single"/>
        </w:rPr>
        <w:t>2024 Notes</w:t>
      </w:r>
      <w:r>
        <w:rPr>
          <w:rFonts w:ascii="Times New Roman" w:hAnsi="Times New Roman"/>
          <w:sz w:val="20"/>
        </w:rPr>
        <w:t xml:space="preserve">” means the $400,000,000 6.500% senior notes due 2024 issued by Inmarsat Finance plc.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Alternate Base Rate. </w:t>
      </w:r>
    </w:p>
    <w:p>
      <w:pPr>
        <w:pStyle w:val="TextBody"/>
        <w:bidi w:val="0"/>
        <w:spacing w:before="240" w:after="0"/>
        <w:jc w:val="left"/>
        <w:rPr/>
      </w:pPr>
      <w:r>
        <w:rPr/>
        <w:t>“</w:t>
      </w:r>
      <w:r>
        <w:rPr>
          <w:rFonts w:ascii="Times New Roman" w:hAnsi="Times New Roman"/>
          <w:sz w:val="20"/>
          <w:u w:val="single"/>
        </w:rPr>
        <w:t>Acceptable Commitment</w:t>
      </w:r>
      <w:r>
        <w:rPr>
          <w:rFonts w:ascii="Times New Roman" w:hAnsi="Times New Roman"/>
          <w:sz w:val="20"/>
        </w:rPr>
        <w:t xml:space="preserve">” has the meaning assigned to such term in </w:t>
      </w:r>
      <w:r>
        <w:rPr>
          <w:rFonts w:ascii="Times New Roman" w:hAnsi="Times New Roman"/>
          <w:sz w:val="20"/>
          <w:u w:val="single"/>
        </w:rPr>
        <w:t>Section 6.04(b)(ii)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Acceptable Discount</w:t>
      </w:r>
      <w:r>
        <w:rPr>
          <w:rFonts w:ascii="Times New Roman" w:hAnsi="Times New Roman"/>
          <w:sz w:val="20"/>
        </w:rPr>
        <w:t xml:space="preserve">” has the meaning assigned to such term in </w:t>
      </w:r>
      <w:r>
        <w:rPr>
          <w:rFonts w:ascii="Times New Roman" w:hAnsi="Times New Roman"/>
          <w:sz w:val="20"/>
          <w:u w:val="single"/>
        </w:rPr>
        <w:t>Section 2.10(a)(ii)(D)(2)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Acceptable Prepayment Amount</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and Prepayment Notice</w:t>
      </w:r>
      <w:r>
        <w:rPr>
          <w:rFonts w:ascii="Times New Roman" w:hAnsi="Times New Roman"/>
          <w:sz w:val="20"/>
        </w:rPr>
        <w:t>” means an irrevocable written notice from a Term Lender accepting a Solicited Discounted Prepayment Offer to make a Discounted Term Loan Prepayment at the Acceptable Discount specified therein pursuant to</w:t>
      </w:r>
      <w:r>
        <w:rPr>
          <w:rFonts w:ascii="Times New Roman" w:hAnsi="Times New Roman"/>
          <w:sz w:val="20"/>
          <w:u w:val="single"/>
        </w:rPr>
        <w:t xml:space="preserve"> Section 2.10(a)(ii)(D)</w:t>
      </w:r>
      <w:r>
        <w:rPr>
          <w:rFonts w:ascii="Times New Roman" w:hAnsi="Times New Roman"/>
          <w:sz w:val="20"/>
        </w:rPr>
        <w:t xml:space="preserve"> substantially in the form of </w:t>
      </w:r>
      <w:r>
        <w:rPr>
          <w:rFonts w:ascii="Times New Roman" w:hAnsi="Times New Roman"/>
          <w:sz w:val="20"/>
          <w:u w:val="single"/>
        </w:rPr>
        <w:t>Exhibit P</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Date</w:t>
      </w:r>
      <w:r>
        <w:rPr>
          <w:rFonts w:ascii="Times New Roman" w:hAnsi="Times New Roman"/>
          <w:sz w:val="20"/>
        </w:rPr>
        <w:t xml:space="preserve">” has the meaning specified in </w:t>
      </w:r>
      <w:r>
        <w:rPr>
          <w:rFonts w:ascii="Times New Roman" w:hAnsi="Times New Roman"/>
          <w:sz w:val="20"/>
          <w:u w:val="single"/>
        </w:rPr>
        <w:t>Section 2.10(a)(ii)(D)(2)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Accepting Lenders</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Acquired EBITDA</w:t>
      </w:r>
      <w:r>
        <w:rPr>
          <w:rFonts w:ascii="Times New Roman" w:hAnsi="Times New Roman"/>
          <w:sz w:val="20"/>
        </w:rPr>
        <w:t>” means, with respect to any Acquired Entity or Business or any Converted Restricted Subsidiary (any of the foregoing, a “</w:t>
      </w:r>
      <w:r>
        <w:rPr>
          <w:rFonts w:ascii="Times New Roman" w:hAnsi="Times New Roman"/>
          <w:sz w:val="20"/>
          <w:u w:val="single"/>
        </w:rPr>
        <w:t>Pro Forma Entity</w:t>
      </w:r>
      <w:r>
        <w:rPr>
          <w:rFonts w:ascii="Times New Roman" w:hAnsi="Times New Roman"/>
          <w:sz w:val="20"/>
        </w:rPr>
        <w:t xml:space="preserve">”) for any period, the amount for such period of Consolidated EBITDA of such Pro Forma Entity (determined as if references to Bidco and the Restricted Subsidiaries in the definition of “Consolidated EBITDA” were references to such Pro Forma Entity and its subsidiaries that will become Restricted Subsidiaries), all as determined on a consolidated basis for such Pro Forma Entity. </w:t>
      </w:r>
    </w:p>
    <w:p>
      <w:pPr>
        <w:pStyle w:val="TextBody"/>
        <w:bidi w:val="0"/>
        <w:spacing w:before="240" w:after="0"/>
        <w:jc w:val="left"/>
        <w:rPr/>
      </w:pPr>
      <w:r>
        <w:rPr/>
        <w:t>“</w:t>
      </w:r>
      <w:r>
        <w:rPr>
          <w:rFonts w:ascii="Times New Roman" w:hAnsi="Times New Roman"/>
          <w:sz w:val="20"/>
          <w:u w:val="single"/>
        </w:rPr>
        <w:t>Acquired Entity or Business</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Acquired Indebtedness</w:t>
      </w:r>
      <w:r>
        <w:rPr>
          <w:rFonts w:ascii="Times New Roman" w:hAnsi="Times New Roman"/>
          <w:sz w:val="20"/>
        </w:rPr>
        <w:t xml:space="preserve">” means, with respect to any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secured by a Lien encumbering any asset acquired by such specified Person.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the acquisition of the Company by Bidco pursuant to the terms of the Acquisition Documents. </w:t>
      </w:r>
    </w:p>
    <w:p>
      <w:pPr>
        <w:pStyle w:val="TextBody"/>
        <w:bidi w:val="0"/>
        <w:spacing w:before="240" w:after="0"/>
        <w:jc w:val="left"/>
        <w:rPr/>
      </w:pPr>
      <w:r>
        <w:rPr/>
        <w:t>“</w:t>
      </w:r>
      <w:r>
        <w:rPr>
          <w:rFonts w:ascii="Times New Roman" w:hAnsi="Times New Roman"/>
          <w:sz w:val="20"/>
          <w:u w:val="single"/>
        </w:rPr>
        <w:t>Acquisition Documents</w:t>
      </w:r>
      <w:r>
        <w:rPr>
          <w:rFonts w:ascii="Times New Roman" w:hAnsi="Times New Roman"/>
          <w:sz w:val="20"/>
        </w:rPr>
        <w:t xml:space="preserve">” means the Scheme Documents and any other document designated as an Acquisition Document by Bidco and the Administrative Agent and all schedules, exhibits and annexes to each of the foregoing and all side letters, instruments and agreements affecting the terms of the foregoing or entered into in connection therewith. </w:t>
      </w:r>
    </w:p>
    <w:p>
      <w:pPr>
        <w:pStyle w:val="TextBody"/>
        <w:bidi w:val="0"/>
        <w:spacing w:before="240" w:after="0"/>
        <w:jc w:val="left"/>
        <w:rPr/>
      </w:pPr>
      <w:r>
        <w:rPr/>
        <w:t>“</w:t>
      </w:r>
      <w:r>
        <w:rPr>
          <w:rFonts w:ascii="Times New Roman" w:hAnsi="Times New Roman"/>
          <w:sz w:val="20"/>
          <w:u w:val="single"/>
        </w:rPr>
        <w:t>Additional Borrower</w:t>
      </w:r>
      <w:r>
        <w:rPr>
          <w:rFonts w:ascii="Times New Roman" w:hAnsi="Times New Roman"/>
          <w:sz w:val="20"/>
        </w:rPr>
        <w:t xml:space="preserve">” means any Person who shall from time to time become a party to this Agreement as a “Revolving Borrower” hereunder upon the execution and delivery of an Additional Borrower Agreement. </w:t>
      </w:r>
    </w:p>
    <w:p>
      <w:pPr>
        <w:pStyle w:val="TextBody"/>
        <w:bidi w:val="0"/>
        <w:spacing w:before="240" w:after="0"/>
        <w:jc w:val="left"/>
        <w:rPr/>
      </w:pPr>
      <w:r>
        <w:rPr/>
        <w:t>“</w:t>
      </w:r>
      <w:r>
        <w:rPr>
          <w:rFonts w:ascii="Times New Roman" w:hAnsi="Times New Roman"/>
          <w:sz w:val="20"/>
          <w:u w:val="single"/>
        </w:rPr>
        <w:t>Additional Borrower Agreement</w:t>
      </w:r>
      <w:r>
        <w:rPr>
          <w:rFonts w:ascii="Times New Roman" w:hAnsi="Times New Roman"/>
          <w:sz w:val="20"/>
        </w:rPr>
        <w:t xml:space="preserve">” means the Additional Borrower Agreement substantially in the form of </w:t>
      </w:r>
      <w:r>
        <w:rPr>
          <w:rFonts w:ascii="Times New Roman" w:hAnsi="Times New Roman"/>
          <w:sz w:val="20"/>
          <w:u w:val="single"/>
        </w:rPr>
        <w:t>Exhibit H</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Additional Lender</w:t>
      </w:r>
      <w:r>
        <w:rPr>
          <w:rFonts w:ascii="Times New Roman" w:hAnsi="Times New Roman"/>
          <w:sz w:val="20"/>
        </w:rPr>
        <w:t xml:space="preserve">” means any Additional Revolving Lender or any Additional Term Lender, as applicable. </w:t>
      </w:r>
    </w:p>
    <w:p>
      <w:pPr>
        <w:pStyle w:val="TextBody"/>
        <w:bidi w:val="0"/>
        <w:spacing w:before="240" w:after="0"/>
        <w:jc w:val="left"/>
        <w:rPr/>
      </w:pPr>
      <w:r>
        <w:rPr/>
        <w:t>“</w:t>
      </w:r>
      <w:r>
        <w:rPr>
          <w:rFonts w:ascii="Times New Roman" w:hAnsi="Times New Roman"/>
          <w:sz w:val="20"/>
          <w:u w:val="single"/>
        </w:rPr>
        <w:t>Additional/Replacement Revolving Commitments</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Revolving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w:t>
      </w:r>
      <w:r>
        <w:rPr>
          <w:rFonts w:ascii="Times New Roman" w:hAnsi="Times New Roman"/>
          <w:sz w:val="20"/>
          <w:u w:val="single"/>
        </w:rPr>
        <w:t>Section 2.19</w:t>
      </w:r>
      <w:r>
        <w:rPr>
          <w:rFonts w:ascii="Times New Roman" w:hAnsi="Times New Roman"/>
          <w:sz w:val="20"/>
        </w:rPr>
        <w:t xml:space="preserve"> or (b) Credit Agreement Refinancing Indebtedness in the form of Other Revolving Commitments pursuant to a Refinancing Amendment in accordance with </w:t>
      </w:r>
      <w:r>
        <w:rPr>
          <w:rFonts w:ascii="Times New Roman" w:hAnsi="Times New Roman"/>
          <w:sz w:val="20"/>
          <w:u w:val="single"/>
        </w:rPr>
        <w:t>Section 2.20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Additional Revolving Lender shall be subject to the approval of the Administrative Agent, each Issuing Bank and the Swingline Lender, in each case only if such consent would be required under </w:t>
      </w:r>
      <w:r>
        <w:rPr>
          <w:rFonts w:ascii="Times New Roman" w:hAnsi="Times New Roman"/>
          <w:sz w:val="20"/>
          <w:u w:val="single"/>
        </w:rPr>
        <w:t>Section 9.04(b)</w:t>
      </w:r>
      <w:r>
        <w:rPr>
          <w:rFonts w:ascii="Times New Roman" w:hAnsi="Times New Roman"/>
          <w:sz w:val="20"/>
        </w:rPr>
        <w:t xml:space="preserve"> for an assignment of Revolving Loans or Revolving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left"/>
        <w:rPr/>
      </w:pPr>
      <w:r>
        <w:rPr/>
        <w:t>“</w:t>
      </w:r>
      <w:r>
        <w:rPr>
          <w:rFonts w:ascii="Times New Roman" w:hAnsi="Times New Roman"/>
          <w:sz w:val="20"/>
          <w:u w:val="single"/>
        </w:rPr>
        <w:t>Additional Term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Term Loans pursuant to an Incremental Facility Amendment in accordance with </w:t>
      </w:r>
      <w:r>
        <w:rPr>
          <w:rFonts w:ascii="Times New Roman" w:hAnsi="Times New Roman"/>
          <w:sz w:val="20"/>
          <w:u w:val="single"/>
        </w:rPr>
        <w:t>Section 2.19</w:t>
      </w:r>
      <w:r>
        <w:rPr>
          <w:rFonts w:ascii="Times New Roman" w:hAnsi="Times New Roman"/>
          <w:sz w:val="20"/>
        </w:rPr>
        <w:t xml:space="preserve"> or (b) Credit Agreement Refinancing Indebtedness in the form of Other Term Loans or Other Term Commitments pursuant to a Refinancing Amendment in accordance with </w:t>
      </w:r>
      <w:r>
        <w:rPr>
          <w:rFonts w:ascii="Times New Roman" w:hAnsi="Times New Roman"/>
          <w:sz w:val="20"/>
          <w:u w:val="single"/>
        </w:rPr>
        <w:t>Section 2.20</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each Additional Term Lender shall be subject to the approval of the Administrative Agent if such consent would be required under </w:t>
      </w:r>
      <w:r>
        <w:rPr>
          <w:rFonts w:ascii="Times New Roman" w:hAnsi="Times New Roman"/>
          <w:sz w:val="20"/>
          <w:u w:val="single"/>
        </w:rPr>
        <w:t>Section 9.04(b)</w:t>
      </w:r>
      <w:r>
        <w:rPr>
          <w:rFonts w:ascii="Times New Roman" w:hAnsi="Times New Roman"/>
          <w:sz w:val="20"/>
        </w:rPr>
        <w:t xml:space="preserve"> for an assignment of Term Loans or Term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left"/>
        <w:rPr/>
      </w:pPr>
      <w:r>
        <w:rPr/>
        <w:t>“</w:t>
      </w:r>
      <w:r>
        <w:rPr>
          <w:rFonts w:ascii="Times New Roman" w:hAnsi="Times New Roman"/>
          <w:sz w:val="20"/>
          <w:u w:val="single"/>
        </w:rPr>
        <w:t>Adjusted LIBO Rate</w:t>
      </w:r>
      <w:r>
        <w:rPr>
          <w:rFonts w:ascii="Times New Roman" w:hAnsi="Times New Roman"/>
          <w:sz w:val="20"/>
        </w:rPr>
        <w:t xml:space="preserve">” means, with respect to any Eurodollar Borrowing for any Interest Period, a rate per annum (rounded upwards, if necessary, to the next 1/100th of 1%) equal to the product of (i) the LIBO Rate as in effect at such time for such Interest Period and (ii) the Statutory Reserve Rate; </w:t>
      </w:r>
      <w:r>
        <w:rPr>
          <w:rFonts w:ascii="Times New Roman" w:hAnsi="Times New Roman"/>
          <w:sz w:val="20"/>
          <w:u w:val="single"/>
        </w:rPr>
        <w:t>provided</w:t>
      </w:r>
      <w:r>
        <w:rPr>
          <w:rFonts w:ascii="Times New Roman" w:hAnsi="Times New Roman"/>
          <w:sz w:val="20"/>
        </w:rPr>
        <w:t xml:space="preserve"> that the Adjusted LIBO Rate for any Interest Period shall not be less than </w:t>
      </w:r>
      <w:r>
        <w:rPr>
          <w:rFonts w:ascii="Times New Roman" w:hAnsi="Times New Roman"/>
          <w:color w:val="0000FF"/>
          <w:sz w:val="20"/>
          <w:u w:val="single"/>
          <w:bdr w:val="double" w:sz="2" w:space="1" w:color="000000"/>
        </w:rPr>
        <w:t>(a)</w:t>
      </w:r>
      <w:r>
        <w:rPr>
          <w:rFonts w:ascii="Times New Roman" w:hAnsi="Times New Roman"/>
          <w:sz w:val="20"/>
        </w:rPr>
        <w:t xml:space="preserve"> 1.00% per annum, </w:t>
      </w:r>
      <w:r>
        <w:rPr>
          <w:rFonts w:ascii="Times New Roman" w:hAnsi="Times New Roman"/>
          <w:color w:val="0000FF"/>
          <w:sz w:val="20"/>
          <w:u w:val="single"/>
          <w:bdr w:val="double" w:sz="2" w:space="1" w:color="000000"/>
        </w:rPr>
        <w:t>with respect to any Amendment No. 1 Refinancing Term Loans and (b) 0.00% per annum, with respect to any Revolving Loans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Barclays, in its capacity as administrative agent hereunder and under the other Loan Documents, and its successors in such capacity as provided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9.01</w:t>
      </w:r>
      <w:r>
        <w:rPr>
          <w:rFonts w:ascii="Times New Roman" w:hAnsi="Times New Roman"/>
          <w:sz w:val="20"/>
        </w:rPr>
        <w:t xml:space="preserve">, or such other address or account as the Administrative Agent may from time to time notify Bidco and the Borrowers and the Lenders.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Affected Class</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Affected Financial Institution” means (a) any EEA Financial Institution or (b) any</w:t>
      </w:r>
      <w:r>
        <w:rPr>
          <w:rFonts w:ascii="Times New Roman" w:hAnsi="Times New Roman"/>
          <w:sz w:val="20"/>
        </w:rPr>
        <w:t xml:space="preserve"> </w:t>
      </w:r>
      <w:r>
        <w:rPr>
          <w:rFonts w:ascii="Times New Roman" w:hAnsi="Times New Roman"/>
          <w:color w:val="0000FF"/>
          <w:sz w:val="20"/>
          <w:u w:val="single"/>
          <w:bdr w:val="double" w:sz="2" w:space="1" w:color="000000"/>
        </w:rPr>
        <w:t>UK Financial Institution.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Affiliated Debt Fund</w:t>
      </w:r>
      <w:r>
        <w:rPr>
          <w:rFonts w:ascii="Times New Roman" w:hAnsi="Times New Roman"/>
          <w:sz w:val="20"/>
        </w:rPr>
        <w:t xml:space="preserve">”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 </w:t>
      </w:r>
    </w:p>
    <w:p>
      <w:pPr>
        <w:pStyle w:val="TextBody"/>
        <w:bidi w:val="0"/>
        <w:spacing w:before="240" w:after="0"/>
        <w:jc w:val="left"/>
        <w:rPr/>
      </w:pPr>
      <w:r>
        <w:rPr/>
        <w:t>“</w:t>
      </w:r>
      <w:r>
        <w:rPr>
          <w:rFonts w:ascii="Times New Roman" w:hAnsi="Times New Roman"/>
          <w:sz w:val="20"/>
          <w:u w:val="single"/>
        </w:rPr>
        <w:t>Affiliated Lender</w:t>
      </w:r>
      <w:r>
        <w:rPr>
          <w:rFonts w:ascii="Times New Roman" w:hAnsi="Times New Roman"/>
          <w:sz w:val="20"/>
        </w:rPr>
        <w:t xml:space="preserve">” means, at any time, any Lender that is an Investor or an Affiliate of an Investor (other than Holdings, Bidco or any of their respective Subsidiaries) at such time, to the extent that such Investor or its Affiliates constitute an Affiliate of Holdings, Bidco or its Subsidiaries. </w:t>
      </w:r>
    </w:p>
    <w:p>
      <w:pPr>
        <w:pStyle w:val="TextBody"/>
        <w:bidi w:val="0"/>
        <w:spacing w:before="240" w:after="0"/>
        <w:jc w:val="left"/>
        <w:rPr/>
      </w:pPr>
      <w:r>
        <w:rPr/>
        <w:t>“</w:t>
      </w:r>
      <w:r>
        <w:rPr>
          <w:rFonts w:ascii="Times New Roman" w:hAnsi="Times New Roman"/>
          <w:sz w:val="20"/>
          <w:u w:val="single"/>
        </w:rPr>
        <w:t>Agent</w:t>
      </w:r>
      <w:r>
        <w:rPr>
          <w:rFonts w:ascii="Times New Roman" w:hAnsi="Times New Roman"/>
          <w:sz w:val="20"/>
        </w:rPr>
        <w:t>” means the Administrative Agent, the Collateral Agent, each Joint Lead Arranger, and any successors and assigns of the foregoing in such capacity, and “</w:t>
      </w:r>
      <w:r>
        <w:rPr>
          <w:rFonts w:ascii="Times New Roman" w:hAnsi="Times New Roman"/>
          <w:sz w:val="20"/>
          <w:u w:val="single"/>
        </w:rPr>
        <w:t>Agents</w:t>
      </w:r>
      <w:r>
        <w:rPr>
          <w:rFonts w:ascii="Times New Roman" w:hAnsi="Times New Roman"/>
          <w:sz w:val="20"/>
        </w:rPr>
        <w:t xml:space="preserve">” means two or more of them.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has the meaning given to such term in </w:t>
      </w:r>
      <w:r>
        <w:rPr>
          <w:rFonts w:ascii="Times New Roman" w:hAnsi="Times New Roman"/>
          <w:sz w:val="20"/>
          <w:u w:val="single"/>
        </w:rPr>
        <w:t>Section 9.01(c)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Agreed Security Principles</w:t>
      </w:r>
      <w:r>
        <w:rPr>
          <w:rFonts w:ascii="Times New Roman" w:hAnsi="Times New Roman"/>
          <w:sz w:val="20"/>
        </w:rPr>
        <w:t xml:space="preserve">” means those principles set forth on </w:t>
      </w:r>
      <w:r>
        <w:rPr>
          <w:rFonts w:ascii="Times New Roman" w:hAnsi="Times New Roman"/>
          <w:sz w:val="20"/>
          <w:u w:val="single"/>
        </w:rPr>
        <w:t>Schedule 1.01(a)</w:t>
      </w:r>
      <w:r>
        <w:rPr>
          <w:rFonts w:ascii="Times New Roman" w:hAnsi="Times New Roman"/>
          <w:sz w:val="20"/>
        </w:rPr>
        <w:t>. “</w:t>
      </w:r>
      <w:r>
        <w:rPr>
          <w:rFonts w:ascii="Times New Roman" w:hAnsi="Times New Roman"/>
          <w:sz w:val="20"/>
          <w:u w:val="single"/>
        </w:rPr>
        <w:t>Agreement</w:t>
      </w:r>
      <w:r>
        <w:rPr>
          <w:rFonts w:ascii="Times New Roman" w:hAnsi="Times New Roman"/>
          <w:sz w:val="20"/>
        </w:rPr>
        <w:t>” has the meaning given to such term in the preliminary statements hereto. “</w:t>
      </w:r>
      <w:r>
        <w:rPr>
          <w:rFonts w:ascii="Times New Roman" w:hAnsi="Times New Roman"/>
          <w:sz w:val="20"/>
          <w:u w:val="single"/>
        </w:rPr>
        <w:t>Agreement Currency</w:t>
      </w:r>
      <w:r>
        <w:rPr>
          <w:rFonts w:ascii="Times New Roman" w:hAnsi="Times New Roman"/>
          <w:sz w:val="20"/>
        </w:rPr>
        <w:t xml:space="preserve">” has the meaning specified in </w:t>
      </w:r>
      <w:r>
        <w:rPr>
          <w:rFonts w:ascii="Times New Roman" w:hAnsi="Times New Roman"/>
          <w:sz w:val="20"/>
          <w:u w:val="single"/>
        </w:rPr>
        <w:t>Section 9.22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Allocation Date</w:t>
      </w:r>
      <w:r>
        <w:rPr>
          <w:rFonts w:ascii="Times New Roman" w:hAnsi="Times New Roman"/>
          <w:sz w:val="20"/>
        </w:rPr>
        <w:t xml:space="preserve">” means the date of the initial allocation of the Initial Term Loans, which date was September 23, 2019.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means, for any day, a rate per annum equal to the greatest of (a) the Prime Rate in effect on such day, (b) the Federal Funds Effective Rate in effect on such day plus 1⁄2 of 1.00% and (c) the Adjusted LIBO Rate for the applicable Loan on such day (or if such day is not a Business Day, the immediately preceding Business Day) for a deposit in dollars with a maturity of one month plus 1.00%;</w:t>
      </w:r>
      <w:r>
        <w:rPr>
          <w:rFonts w:ascii="Times New Roman" w:hAnsi="Times New Roman"/>
          <w:sz w:val="20"/>
          <w:u w:val="single"/>
        </w:rPr>
        <w:t xml:space="preserve"> provided</w:t>
      </w:r>
      <w:r>
        <w:rPr>
          <w:rFonts w:ascii="Times New Roman" w:hAnsi="Times New Roman"/>
          <w:sz w:val="20"/>
        </w:rPr>
        <w:t xml:space="preserve"> that, solely for purposes of the foregoing, the Adjusted LIBO Rate for any day shall be calculated using the LIBO Rate based on the rate per annum determined by the Administrative Agent by reference to the ICE Benchmark Administration Interest Settlement Rates (as set forth by any service selected by the Administrative Agent that has been nominated by the ICE Benchmark Administration Limited (or any Person which takes over the administration of that rate) as an authorized information vendor for the purpose of displaying such rates) (the “</w:t>
      </w:r>
      <w:r>
        <w:rPr>
          <w:rFonts w:ascii="Times New Roman" w:hAnsi="Times New Roman"/>
          <w:sz w:val="20"/>
          <w:u w:val="single"/>
        </w:rPr>
        <w:t>ICE LIBOR</w:t>
      </w:r>
      <w:r>
        <w:rPr>
          <w:rFonts w:ascii="Times New Roman" w:hAnsi="Times New Roman"/>
          <w:sz w:val="20"/>
        </w:rPr>
        <w:t xml:space="preserve">”) as published by Reuters (or such other commercially available source providing quotations of ICE LIBOR as may be designated by the Administrative Agent from time to time) on such day at approximately 11:00 a.m. (London time) for deposits in dollars for a period equal to one month. If the Administrative Agent shall have determined (which determination shall be conclusive absent manifest error) that it is unable to ascertain the Federal Funds Effective Rate or the Adjusted LIBO Rate for any reason, including the inability or failure of the Administrative Agent to obtain sufficient quotations in accordance with the terms of the definition of “Federal Funds Effective Rate”, the Alternate Base Rate shall be determined without regard to clause (b) or (c) above, as applicable, of the preceding sentence until the circumstances giving rise to such inability no longer exist.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Alternative Currency</w:t>
      </w:r>
      <w:r>
        <w:rPr>
          <w:rFonts w:ascii="Times New Roman" w:hAnsi="Times New Roman"/>
          <w:sz w:val="20"/>
        </w:rPr>
        <w:t xml:space="preserve">” means Euros, Sterling, Swiss Francs, Yen, Canadian Dollars and each other currency (other than dollars) that is requested by Bidco or the Borrowers and approved in accordance with </w:t>
      </w:r>
      <w:r>
        <w:rPr>
          <w:rFonts w:ascii="Times New Roman" w:hAnsi="Times New Roman"/>
          <w:sz w:val="20"/>
          <w:u w:val="single"/>
        </w:rPr>
        <w:t>Section 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Currency Equivalent</w:t>
      </w:r>
      <w:r>
        <w:rPr>
          <w:rFonts w:ascii="Times New Roman" w:hAnsi="Times New Roman"/>
          <w:sz w:val="20"/>
        </w:rPr>
        <w:t xml:space="preserve">” means,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or other applicable date of determination) for the purchase of such Alternative Currency with dollars.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1” means that certain Amendment No. 1, dated as of the Amendment No. 1 Effective Date, among Initial Holdings, Bidco, the Borrowers, the Lenders party thereto and the Administrative Agent.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1 Effective Date” means January 25, 2021.</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1 Refinancing Term Loans” means the Other Term Loans made pursuant to Amendment No. 1 on the Amendment No. 1 Effective Date in an aggregate principal amount of $1,736,875,000.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Announcement</w:t>
      </w:r>
      <w:r>
        <w:rPr>
          <w:rFonts w:ascii="Times New Roman" w:hAnsi="Times New Roman"/>
          <w:sz w:val="20"/>
        </w:rPr>
        <w:t xml:space="preserve">” means the press release made by Bidco, dated as of March 25, 2019, announcing a firm intention to implement the Scheme in accordance with Rule 2.7 of the City Code.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has the meaning assigned to such term in </w:t>
      </w:r>
      <w:r>
        <w:rPr>
          <w:rFonts w:ascii="Times New Roman" w:hAnsi="Times New Roman"/>
          <w:sz w:val="20"/>
          <w:u w:val="single"/>
        </w:rPr>
        <w:t>Section 3.18(a)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Account</w:t>
      </w:r>
      <w:r>
        <w:rPr>
          <w:rFonts w:ascii="Times New Roman" w:hAnsi="Times New Roman"/>
          <w:sz w:val="20"/>
        </w:rPr>
        <w:t xml:space="preserve">” means, with respect to any payment to be made to the Administrative Agent hereunder, the account specified by the Administrative Agent from time to time for the purpose of receiving payments of such type. </w:t>
      </w:r>
    </w:p>
    <w:p>
      <w:pPr>
        <w:pStyle w:val="TextBody"/>
        <w:bidi w:val="0"/>
        <w:spacing w:before="240" w:after="0"/>
        <w:jc w:val="left"/>
        <w:rPr/>
      </w:pPr>
      <w:r>
        <w:rPr/>
        <w:t>“</w:t>
      </w:r>
      <w:r>
        <w:rPr>
          <w:rFonts w:ascii="Times New Roman" w:hAnsi="Times New Roman"/>
          <w:sz w:val="20"/>
          <w:u w:val="single"/>
        </w:rPr>
        <w:t>Applicable Discount</w:t>
      </w:r>
      <w:r>
        <w:rPr>
          <w:rFonts w:ascii="Times New Roman" w:hAnsi="Times New Roman"/>
          <w:sz w:val="20"/>
        </w:rPr>
        <w:t xml:space="preserve">” has the meaning assigned to such term in </w:t>
      </w:r>
      <w:r>
        <w:rPr>
          <w:rFonts w:ascii="Times New Roman" w:hAnsi="Times New Roman"/>
          <w:sz w:val="20"/>
          <w:u w:val="single"/>
        </w:rPr>
        <w:t>Section 2.10(a)(ii)(C)(2)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Fronting Exposure</w:t>
      </w:r>
      <w:r>
        <w:rPr>
          <w:rFonts w:ascii="Times New Roman" w:hAnsi="Times New Roman"/>
          <w:sz w:val="20"/>
        </w:rPr>
        <w:t xml:space="preserve">” 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Revolving Borrowers at such time and (c) the aggregate principal amount of all Swingline Loans made by such Person in its capacity as a Swingline Lender (if applicable) outstanding at such time.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hAnsi="Times New Roman"/>
          <w:sz w:val="20"/>
          <w:u w:val="single"/>
        </w:rPr>
        <w:t>provided</w:t>
      </w:r>
      <w:r>
        <w:rPr>
          <w:rFonts w:ascii="Times New Roman" w:hAnsi="Times New Roman"/>
          <w:sz w:val="20"/>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Rate</w:t>
      </w:r>
      <w:r>
        <w:rPr>
          <w:rFonts w:ascii="Times New Roman" w:hAnsi="Times New Roman"/>
          <w:sz w:val="20"/>
        </w:rPr>
        <w:t xml:space="preserve">” means, for any day,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color w:val="0000FF"/>
          <w:sz w:val="20"/>
          <w:u w:val="single"/>
          <w:bdr w:val="double" w:sz="2" w:space="1" w:color="000000"/>
        </w:rPr>
        <w:t>(i)</w:t>
      </w:r>
      <w:r>
        <w:rPr>
          <w:rFonts w:ascii="Times New Roman" w:hAnsi="Times New Roman"/>
          <w:sz w:val="20"/>
        </w:rPr>
        <w:t> with respect to any Initial Term Loan, 3.50% per annum in the case of any ABR Loan or 4.50% per annum in the case of a Eurodollar Loan</w:t>
      </w:r>
      <w:r>
        <w:rPr>
          <w:rFonts w:ascii="Times New Roman" w:hAnsi="Times New Roman"/>
          <w:color w:val="0000FF"/>
          <w:sz w:val="20"/>
          <w:u w:val="single"/>
          <w:bdr w:val="double" w:sz="2" w:space="1" w:color="000000"/>
        </w:rPr>
        <w:t xml:space="preserve"> and (ii) with respect to any Amendment No. 1 Refinancing Term Loan, 2.50% per annum in the case of any ABR Loan or</w:t>
      </w:r>
      <w:r>
        <w:rPr>
          <w:rFonts w:ascii="Times New Roman" w:hAnsi="Times New Roman"/>
          <w:sz w:val="20"/>
        </w:rPr>
        <w:t xml:space="preserve"> </w:t>
      </w:r>
      <w:r>
        <w:rPr>
          <w:rFonts w:ascii="Times New Roman" w:hAnsi="Times New Roman"/>
          <w:color w:val="0000FF"/>
          <w:sz w:val="20"/>
          <w:u w:val="single"/>
          <w:bdr w:val="double" w:sz="2" w:space="1" w:color="000000"/>
        </w:rPr>
        <w:t>3.50% per annum in the case of a Eurodollar Loan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(b) with respect to any Revolving Loan, the applicable rate per annum set forth below under the caption “ABR Spread” or “Adjusted LIBO Rate Spread” as the case may be, based upon the Senior Secured First Lien Net Leverage Ratio as of the end of the fiscal quarter of Bidco for which consolidated financial statements have theretofore been most recently delivered pursuant to</w:t>
      </w:r>
      <w:r>
        <w:rPr>
          <w:rFonts w:ascii="Times New Roman" w:hAnsi="Times New Roman"/>
          <w:sz w:val="20"/>
          <w:u w:val="single"/>
        </w:rPr>
        <w:t xml:space="preserve"> Section</w:t>
      </w:r>
      <w:r>
        <w:rPr>
          <w:rFonts w:ascii="Times New Roman" w:hAnsi="Times New Roman"/>
          <w:sz w:val="20"/>
        </w:rPr>
        <w:t xml:space="preserve"> </w:t>
      </w:r>
      <w:r>
        <w:rPr>
          <w:rFonts w:ascii="Times New Roman" w:hAnsi="Times New Roman"/>
          <w:sz w:val="20"/>
          <w:u w:val="single"/>
        </w:rPr>
        <w:t>5.01(a)</w:t>
      </w:r>
      <w:r>
        <w:rPr>
          <w:rFonts w:ascii="Times New Roman" w:hAnsi="Times New Roman"/>
          <w:sz w:val="20"/>
        </w:rPr>
        <w:t xml:space="preserve"> or</w:t>
      </w:r>
      <w:r>
        <w:rPr>
          <w:rFonts w:ascii="Times New Roman" w:hAnsi="Times New Roman"/>
          <w:sz w:val="20"/>
          <w:u w:val="single"/>
        </w:rPr>
        <w:t xml:space="preserve"> 5.01(b)</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until the date of the delivery of the consolidated financial statements pursuant to </w:t>
      </w:r>
      <w:r>
        <w:rPr>
          <w:rFonts w:ascii="Times New Roman" w:hAnsi="Times New Roman"/>
          <w:sz w:val="20"/>
          <w:u w:val="single"/>
        </w:rPr>
        <w:t>Section 5.01</w:t>
      </w:r>
      <w:r>
        <w:rPr>
          <w:rFonts w:ascii="Times New Roman" w:hAnsi="Times New Roman"/>
          <w:sz w:val="20"/>
        </w:rPr>
        <w:t xml:space="preserve"> as of and for the fiscal year ended December 31, 2019, the Applicable Rate shall be based on the rates per annum set forth in Category 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4"/>
        <w:gridCol w:w="200"/>
        <w:gridCol w:w="150"/>
        <w:gridCol w:w="1100"/>
        <w:gridCol w:w="275"/>
        <w:gridCol w:w="134"/>
        <w:gridCol w:w="240"/>
        <w:gridCol w:w="1763"/>
        <w:gridCol w:w="279"/>
      </w:tblGrid>
      <w:tr>
        <w:trPr/>
        <w:tc>
          <w:tcPr>
            <w:tcW w:w="361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Senior Secured First Lien Net Leverage Ratio:</w:t>
            </w:r>
          </w:p>
        </w:tc>
        <w:tc>
          <w:tcPr>
            <w:tcW w:w="20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ABR Spread</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003" w:type="dxa"/>
            <w:gridSpan w:val="2"/>
            <w:tcBorders>
              <w:bottom w:val="single" w:sz="8" w:space="0" w:color="000000"/>
            </w:tcBorders>
            <w:tcMar>
              <w:bottom w:w="28" w:type="dxa"/>
            </w:tcMar>
            <w:vAlign w:val="bottom"/>
          </w:tcPr>
          <w:p>
            <w:pPr>
              <w:pStyle w:val="TableContents"/>
              <w:bidi w:val="0"/>
              <w:spacing w:before="0" w:after="283"/>
              <w:jc w:val="center"/>
              <w:rPr/>
            </w:pPr>
            <w:r>
              <w:rPr/>
              <w:t>Adjusted LIBO Rate</w:t>
              <w:br/>
              <w:t>Spread</w:t>
            </w:r>
          </w:p>
        </w:tc>
        <w:tc>
          <w:tcPr>
            <w:tcW w:w="279"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4.85 to 1.00</w:t>
            </w:r>
          </w:p>
        </w:tc>
        <w:tc>
          <w:tcPr>
            <w:tcW w:w="2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3.50</w:t>
            </w:r>
          </w:p>
        </w:tc>
        <w:tc>
          <w:tcPr>
            <w:tcW w:w="279"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Greater than 4.35 to 1.00, but less than or equal to 4.85 to 1.00</w:t>
            </w:r>
          </w:p>
        </w:tc>
        <w:tc>
          <w:tcPr>
            <w:tcW w:w="20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3.25</w:t>
            </w:r>
          </w:p>
        </w:tc>
        <w:tc>
          <w:tcPr>
            <w:tcW w:w="279"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3</w:t>
            </w:r>
          </w:p>
          <w:p>
            <w:pPr>
              <w:pStyle w:val="TableContents"/>
              <w:bidi w:val="0"/>
              <w:spacing w:before="0" w:after="20"/>
              <w:jc w:val="left"/>
              <w:rPr>
                <w:rFonts w:ascii="Times New Roman" w:hAnsi="Times New Roman"/>
                <w:sz w:val="20"/>
              </w:rPr>
            </w:pPr>
            <w:r>
              <w:rPr>
                <w:rFonts w:ascii="Times New Roman" w:hAnsi="Times New Roman"/>
                <w:sz w:val="20"/>
              </w:rPr>
              <w:t>Less than or equal to 4.35 to 1.00</w:t>
            </w:r>
          </w:p>
        </w:tc>
        <w:tc>
          <w:tcPr>
            <w:tcW w:w="20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each change in the Applicable Rate resulting from a change in the Senior Secured First Lien Net Leverage Ratio shall be effective during the period commencing on and including the Business Day following the date of delivery to the Administrative Agent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Revolving Lenders, commencing upon written notice to Bidco, shall be based on the rates per annum set forth in Category 1 (i) at any time that an Event of Default under </w:t>
      </w:r>
      <w:r>
        <w:rPr>
          <w:rFonts w:ascii="Times New Roman" w:hAnsi="Times New Roman"/>
          <w:sz w:val="20"/>
          <w:u w:val="single"/>
        </w:rPr>
        <w:t>Section 7.01(a)</w:t>
      </w:r>
      <w:r>
        <w:rPr>
          <w:rFonts w:ascii="Times New Roman" w:hAnsi="Times New Roman"/>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pPr>
      <w:r>
        <w:rPr/>
        <w:t>“</w:t>
      </w:r>
      <w:r>
        <w:rPr>
          <w:rFonts w:ascii="Times New Roman" w:hAnsi="Times New Roman"/>
          <w:sz w:val="20"/>
          <w:u w:val="single"/>
        </w:rPr>
        <w:t>Approved Bank</w:t>
      </w:r>
      <w:r>
        <w:rPr>
          <w:rFonts w:ascii="Times New Roman" w:hAnsi="Times New Roman"/>
          <w:sz w:val="20"/>
        </w:rPr>
        <w:t xml:space="preserve">” has the meaning assigned to such term in clause (4) of the definition of the term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Approved Foreign Bank</w:t>
      </w:r>
      <w:r>
        <w:rPr>
          <w:rFonts w:ascii="Times New Roman" w:hAnsi="Times New Roman"/>
          <w:sz w:val="20"/>
        </w:rPr>
        <w:t xml:space="preserve">” has the meaning assigned to such term in clause (15) of the definition of “Cash Equivalents.”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 </w:t>
      </w:r>
    </w:p>
    <w:p>
      <w:pPr>
        <w:pStyle w:val="TextBody"/>
        <w:bidi w:val="0"/>
        <w:spacing w:before="240" w:after="0"/>
        <w:jc w:val="left"/>
        <w:rPr/>
      </w:pPr>
      <w:r>
        <w:rPr/>
        <w:t>“</w:t>
      </w:r>
      <w:r>
        <w:rPr>
          <w:rFonts w:ascii="Times New Roman" w:hAnsi="Times New Roman"/>
          <w:sz w:val="20"/>
          <w:u w:val="single"/>
        </w:rPr>
        <w:t>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(1) the sale, conveyance, transfer or other disposition, whether in a single transaction or a series of related transactions, of property or assets (including by way of a Sale and Lease-Back Transaction) of Bidco or any of its Restricted Subsidiaries (each referred to in this definition as a “</w:t>
      </w:r>
      <w:r>
        <w:rPr>
          <w:rFonts w:ascii="Times New Roman" w:hAnsi="Times New Roman"/>
          <w:sz w:val="20"/>
          <w:u w:val="single"/>
        </w:rPr>
        <w:t>disposition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or sale of Equity Interests of any Restricted Subsidiary (other than Preferred Stock of Restricted Subsidiaries issued in compliance with </w:t>
      </w:r>
      <w:r>
        <w:rPr>
          <w:rFonts w:ascii="Times New Roman" w:hAnsi="Times New Roman"/>
          <w:sz w:val="20"/>
          <w:u w:val="single"/>
        </w:rPr>
        <w:t>Section 6.01</w:t>
      </w:r>
      <w:r>
        <w:rPr>
          <w:rFonts w:ascii="Times New Roman" w:hAnsi="Times New Roman"/>
          <w:sz w:val="20"/>
        </w:rPr>
        <w:t xml:space="preserve"> hereof or the issuance of directors’ qualifying shares and shares issued to foreign nationals as required by applicable law), whether in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disposition of (i) Cash Equivalents or Investment Grade Securities, (ii) obsolete, damaged, used, surplus or worn out property or equipment, whether now owned or hereafter acquired, in the ordinary course of business and dispositions of property no longer used or useful, or economically practicable to maintain, in the conduct of the business of Bidco and any Restricted Subsidiary (including by ceasing to enforce, allowing the lapse, abandonment or invalidation of or discontinuing the use or maintenance of or putting into the public domain any intellectual property that is, in the reasonable judgment of Bidco or the Restricted Subsidiaries, no longer used or useful, or economically practicable to maintain, or in respect of which Bidco or any Restricted Subsidiary determines in its reasonable business judgment that such action or inaction is desirable) or (iii) any disposition of inventory, goods and other assets (including Settlement Assets) in the ordinary course of business or no longer used in the ordinary course of business and immaterial assets (considered in the aggregate and as reasonably determined by Bidco in good faith); </w:t>
      </w:r>
    </w:p>
    <w:p>
      <w:pPr>
        <w:pStyle w:val="TextBody"/>
        <w:bidi w:val="0"/>
        <w:spacing w:before="120" w:after="0"/>
        <w:jc w:val="left"/>
        <w:rPr>
          <w:rFonts w:ascii="Times New Roman" w:hAnsi="Times New Roman"/>
          <w:sz w:val="20"/>
        </w:rPr>
      </w:pPr>
      <w:r>
        <w:rPr>
          <w:rFonts w:ascii="Times New Roman" w:hAnsi="Times New Roman"/>
          <w:sz w:val="20"/>
        </w:rPr>
        <w:t xml:space="preserve">(b) the disposition of all or substantially all of the assets of Bidco and its Restricted Subsidiaries in a manner permitted pursuant to the provisions of </w:t>
      </w:r>
      <w:r>
        <w:rPr>
          <w:rFonts w:ascii="Times New Roman" w:hAnsi="Times New Roman"/>
          <w:sz w:val="20"/>
          <w:u w:val="single"/>
        </w:rPr>
        <w:t>Section 6.03</w:t>
      </w:r>
      <w:r>
        <w:rPr>
          <w:rFonts w:ascii="Times New Roman" w:hAnsi="Times New Roman"/>
          <w:sz w:val="20"/>
        </w:rPr>
        <w:t xml:space="preserve"> hereof or any disposition that constitutes a Change of Control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making of any Restricted Payment or Permitted Investment that is permitted to be made, and is made, under </w:t>
      </w:r>
      <w:r>
        <w:rPr>
          <w:rFonts w:ascii="Times New Roman" w:hAnsi="Times New Roman"/>
          <w:sz w:val="20"/>
          <w:u w:val="single"/>
        </w:rPr>
        <w:t>Section 6.05</w:t>
      </w:r>
      <w:r>
        <w:rPr>
          <w:rFonts w:ascii="Times New Roman" w:hAnsi="Times New Roman"/>
          <w:sz w:val="20"/>
        </w:rPr>
        <w:t xml:space="preserve"> hereof, or solely for the purposes of Section 6.04(b)(ii), asset sales, the proceeds of which are used to make such Restricted Payments or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(d) any disposition of assets or issuance or sale of Equity Interests of any Restricted Subsidiary in any transaction or series of related transactions with an aggregate fair market value of less than the greater of $75,000,000 and 10% of Consolidated EBITDA for the most recently ended Test Period as of such date, calculated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disposition (i) of property or assets or issuance of securities by a Restricted Subsidiary of Bidco to Bidco or any Borrower or by Bidco or a Restricted Subsidiary of Bidco to another Restricted Subsidiary of Bidco or (ii) to Bidco or a Restricted Subsidiary constituting debt forgiveness; </w:t>
      </w:r>
    </w:p>
    <w:p>
      <w:pPr>
        <w:pStyle w:val="TextBody"/>
        <w:bidi w:val="0"/>
        <w:spacing w:before="120" w:after="0"/>
        <w:jc w:val="left"/>
        <w:rPr>
          <w:rFonts w:ascii="Times New Roman" w:hAnsi="Times New Roman"/>
          <w:sz w:val="20"/>
        </w:rPr>
      </w:pPr>
      <w:r>
        <w:rPr>
          <w:rFonts w:ascii="Times New Roman" w:hAnsi="Times New Roman"/>
          <w:sz w:val="20"/>
        </w:rPr>
        <w:t xml:space="preserve">(f) dispositions of property to the extent that (i) such property is exchanged for credit against the purchase price of similar replacement property or (ii) an amount equal to net proceeds of such disposition are promptly applied to the purchase price of such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(g) leases, subleases, service agreements, product sales, licenses or sublicenses (including licenses and sublicenses of intellectual property or other intangible assets), in each case that do not materially interfere with the business of Bidco and the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(h) sales, rentals or leases of satellite capacity, bandwidth, beams, transponders or threads or other grants of rights of satellite use or of any other portion of a Satellite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any issuance or sale of Equity Interests in, or Indebtedness or other securities of, an Unrestricted Subsidiary or any other disposition of Capital Stock, Indebtedness or other securities of an Unrestricted Subsidiary or an Immaterial Subsidiary; </w:t>
      </w:r>
    </w:p>
    <w:p>
      <w:pPr>
        <w:pStyle w:val="TextBody"/>
        <w:bidi w:val="0"/>
        <w:spacing w:before="120" w:after="0"/>
        <w:jc w:val="left"/>
        <w:rPr>
          <w:rFonts w:ascii="Times New Roman" w:hAnsi="Times New Roman"/>
          <w:sz w:val="20"/>
        </w:rPr>
      </w:pPr>
      <w:r>
        <w:rPr>
          <w:rFonts w:ascii="Times New Roman" w:hAnsi="Times New Roman"/>
          <w:sz w:val="20"/>
        </w:rPr>
        <w:t xml:space="preserve">(j) foreclosures, condemnation, expropriation or any similar action with respect to assets, other transfers of property subject to casualty events or the granting of Liens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(i) any disposition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in the ordinary course of business or the conversion of accounts receivable to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(l) any financing transaction with respect to property built or acquired by Bidco or any Restricted Subsidiary after the Effective Date, including Sale and Lease- Back Transactions (and dispositions of property acquired by Bidco or any of the Restricted Subsidiaries after the Effective Date pursuant to Sale and Lease-Back Transactions) and asset securitizations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(m) any surrender or waiver of contractual rights or the settlement, release or surrender of contractual rights or other litigation claims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the unwinding or voluntary termination of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(o) any disposition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dispositions of any assets (including Equity Interests) (A) acquired in connection with any acquisition or other Investment not prohibited by this Agreement, which assets are not used or useful to the core or principal business of Bidco and the Restricted Subsidiaries or (B) made to obtain the approval of any applicable antitrust authority in connection with an acquisition; </w:t>
      </w:r>
    </w:p>
    <w:p>
      <w:pPr>
        <w:pStyle w:val="TextBody"/>
        <w:bidi w:val="0"/>
        <w:spacing w:before="120" w:after="0"/>
        <w:jc w:val="left"/>
        <w:rPr>
          <w:rFonts w:ascii="Times New Roman" w:hAnsi="Times New Roman"/>
          <w:sz w:val="20"/>
        </w:rPr>
      </w:pPr>
      <w:r>
        <w:rPr>
          <w:rFonts w:ascii="Times New Roman" w:hAnsi="Times New Roman"/>
          <w:sz w:val="20"/>
        </w:rPr>
        <w:t xml:space="preserve">(q) sales, transfers and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(r) failing to pursue or allowing any registrations or any applications for registration of any intellectual property rights to lapse or go abandoned in the ordinary course of business if, in the reasonable determination of Bidco or a Restricted Subsidiary, such discontinuance is desirable in the conduct of the business of Bidco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(s) dispositions of property acquired by Bidco or any of the Restricted Subsidiaries pursuant to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 dispositions in connection with Permitted Liens, Permitted Intercompany Activities, Permitted Tax Restructuring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(u) an issuance of Capital Stock by a Restricted Subsidiary as part of or pursuant to an equity incentive or compensation plan approved by the Board of Directors of Bidco or any holding company thereof; </w:t>
      </w:r>
    </w:p>
    <w:p>
      <w:pPr>
        <w:pStyle w:val="TextBody"/>
        <w:bidi w:val="0"/>
        <w:spacing w:before="120" w:after="0"/>
        <w:jc w:val="left"/>
        <w:rPr>
          <w:rFonts w:ascii="Times New Roman" w:hAnsi="Times New Roman"/>
          <w:sz w:val="20"/>
        </w:rPr>
      </w:pPr>
      <w:r>
        <w:rPr>
          <w:rFonts w:ascii="Times New Roman" w:hAnsi="Times New Roman"/>
          <w:sz w:val="20"/>
        </w:rPr>
        <w:t xml:space="preserve">(v) any disposition of Capital Stock of a Restricted Subsidiary pursuant to an agreement or other obligation with or to a Person (other than Bidco or a Restricted Subsidiary) from whom such Restricted Subsidiary was acquired, or from whom such Restricted Subsidiary acquired its business and assets, made as part of such acquisition and in each case comprising all or a portion of the consideration in respect of such sale or acquisition; and </w:t>
      </w:r>
    </w:p>
    <w:p>
      <w:pPr>
        <w:pStyle w:val="TextBody"/>
        <w:bidi w:val="0"/>
        <w:spacing w:before="120" w:after="0"/>
        <w:jc w:val="left"/>
        <w:rPr>
          <w:rFonts w:ascii="Times New Roman" w:hAnsi="Times New Roman"/>
          <w:sz w:val="20"/>
        </w:rPr>
      </w:pPr>
      <w:r>
        <w:rPr>
          <w:rFonts w:ascii="Times New Roman" w:hAnsi="Times New Roman"/>
          <w:sz w:val="20"/>
        </w:rPr>
        <w:t xml:space="preserve">(w) any sale of property or assets, if the acquisition of such property or assets was financed with Excluded Contributions and the proceeds of such sale are used to make a Restricted Payment pursuant to </w:t>
      </w:r>
      <w:r>
        <w:rPr>
          <w:rFonts w:ascii="Times New Roman" w:hAnsi="Times New Roman"/>
          <w:sz w:val="20"/>
          <w:u w:val="single"/>
        </w:rPr>
        <w:t>Section 6.05(b)(x)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transaction (or any portion thereof) meets the criteria of a permitted Asset Sale and would also be a Permitted Investment or an Investment permitted under </w:t>
      </w:r>
      <w:r>
        <w:rPr>
          <w:rFonts w:ascii="Times New Roman" w:hAnsi="Times New Roman"/>
          <w:sz w:val="20"/>
          <w:u w:val="single"/>
        </w:rPr>
        <w:t>Section 6.05</w:t>
      </w:r>
      <w:r>
        <w:rPr>
          <w:rFonts w:ascii="Times New Roman" w:hAnsi="Times New Roman"/>
          <w:sz w:val="20"/>
        </w:rPr>
        <w:t xml:space="preserve">, Bidco, in its sole discretion, will be entitled to divide and classify such transaction (or a portion thereof) as an Asset Sale and/or one or more of the types of Permitted Investments or Investments permitted under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Person whose consent is required by </w:t>
      </w:r>
      <w:r>
        <w:rPr>
          <w:rFonts w:ascii="Times New Roman" w:hAnsi="Times New Roman"/>
          <w:sz w:val="20"/>
          <w:u w:val="single"/>
        </w:rPr>
        <w:t>Section 9.04(b)</w:t>
      </w:r>
      <w:r>
        <w:rPr>
          <w:rFonts w:ascii="Times New Roman" w:hAnsi="Times New Roman"/>
          <w:sz w:val="20"/>
        </w:rPr>
        <w:t xml:space="preserve">), substantially in the form of </w:t>
      </w:r>
      <w:r>
        <w:rPr>
          <w:rFonts w:ascii="Times New Roman" w:hAnsi="Times New Roman"/>
          <w:sz w:val="20"/>
          <w:u w:val="single"/>
        </w:rPr>
        <w:t>Exhibit A</w:t>
      </w:r>
      <w:r>
        <w:rPr>
          <w:rFonts w:ascii="Times New Roman" w:hAnsi="Times New Roman"/>
          <w:sz w:val="20"/>
        </w:rPr>
        <w:t xml:space="preserve"> or any other form reasonably approved by the Administrative Agent. </w:t>
      </w:r>
    </w:p>
    <w:p>
      <w:pPr>
        <w:pStyle w:val="TextBody"/>
        <w:bidi w:val="0"/>
        <w:spacing w:before="240" w:after="0"/>
        <w:jc w:val="left"/>
        <w:rPr/>
      </w:pPr>
      <w:r>
        <w:rPr/>
        <w:t>“</w:t>
      </w:r>
      <w:r>
        <w:rPr>
          <w:rFonts w:ascii="Times New Roman" w:hAnsi="Times New Roman"/>
          <w:sz w:val="20"/>
          <w:u w:val="single"/>
        </w:rPr>
        <w:t>Auction Agent</w:t>
      </w:r>
      <w:r>
        <w:rPr>
          <w:rFonts w:ascii="Times New Roman" w:hAnsi="Times New Roman"/>
          <w:sz w:val="20"/>
        </w:rPr>
        <w:t xml:space="preserve">” means (a) the Administrative Agent or (b) any other financial institution or advisor employed by Bidco (whether or not an Affiliate of the Administrative Agent) to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an arranger in connection with any Discounted Term Loan Prepayment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2.10(a)(ii)(A)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Bidco shall not designate the Administrative Agent as the Auction Agent without the written consent of the Administrative Agent (it being understood that the Administrative Agent shall be under no obligation to agree to act as the Auction Agent).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xml:space="preserve">” has the meaning assigned to such term in Section 6.05(a)(A). </w:t>
      </w:r>
    </w:p>
    <w:p>
      <w:pPr>
        <w:pStyle w:val="TextBody"/>
        <w:bidi w:val="0"/>
        <w:spacing w:before="240" w:after="0"/>
        <w:jc w:val="left"/>
        <w:rPr/>
      </w:pPr>
      <w:r>
        <w:rPr/>
        <w:t>“</w:t>
      </w:r>
      <w:r>
        <w:rPr>
          <w:rFonts w:ascii="Times New Roman" w:hAnsi="Times New Roman"/>
          <w:sz w:val="20"/>
          <w:u w:val="single"/>
        </w:rPr>
        <w:t>Available Investments Amount</w:t>
      </w:r>
      <w:r>
        <w:rPr>
          <w:rFonts w:ascii="Times New Roman" w:hAnsi="Times New Roman"/>
          <w:sz w:val="20"/>
        </w:rPr>
        <w:t xml:space="preserve">” means, at any time, (i) the amount of Investments that may be made at the time of determination pursuant to clause (14) of the definition of “Permitted Investments”, minus (ii) the amount of the Available Investments Amount utilized by Bidco or any Restricted Subsidiary to make Restricted Debt Payments pursuant to clause (xiv)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Available Restricted Debt Payments Amount</w:t>
      </w:r>
      <w:r>
        <w:rPr>
          <w:rFonts w:ascii="Times New Roman" w:hAnsi="Times New Roman"/>
          <w:sz w:val="20"/>
        </w:rPr>
        <w:t xml:space="preserve">” means, at any time, (i) the amount of Restricted Debt Payments that may be made at the time of determination pursuant to clause (xiv) of </w:t>
      </w:r>
      <w:r>
        <w:rPr>
          <w:rFonts w:ascii="Times New Roman" w:hAnsi="Times New Roman"/>
          <w:sz w:val="20"/>
          <w:u w:val="single"/>
        </w:rPr>
        <w:t>Section 6.05(b)</w:t>
      </w:r>
      <w:r>
        <w:rPr>
          <w:rFonts w:ascii="Times New Roman" w:hAnsi="Times New Roman"/>
          <w:sz w:val="20"/>
        </w:rPr>
        <w:t xml:space="preserve">, minus (ii) the sum of (a) the amount of the Available Restricted Debt Payments Amount utilized by Bidco or any Restricted Subsidiary to make Investments pursuant to clause (14) of the definition of “Permitted Investments” and (b) the amount of the Available Restricted Debt Payments Amount utilized by Bidco or any Restricted Subsidiary to make Restricted Payments pursuant to clause (xi)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Restricted Payments Amount</w:t>
      </w:r>
      <w:r>
        <w:rPr>
          <w:rFonts w:ascii="Times New Roman" w:hAnsi="Times New Roman"/>
          <w:sz w:val="20"/>
        </w:rPr>
        <w:t xml:space="preserve">” means, at any time, (i) the amount of Restricted Payments that may be made at the time of determination pursuant to clause (xi) of </w:t>
      </w:r>
      <w:r>
        <w:rPr>
          <w:rFonts w:ascii="Times New Roman" w:hAnsi="Times New Roman"/>
          <w:sz w:val="20"/>
          <w:u w:val="single"/>
        </w:rPr>
        <w:t>Section 6.05(b)</w:t>
      </w:r>
      <w:r>
        <w:rPr>
          <w:rFonts w:ascii="Times New Roman" w:hAnsi="Times New Roman"/>
          <w:sz w:val="20"/>
        </w:rPr>
        <w:t xml:space="preserve">, minus (ii) the sum of (a) the amount of the Available Restricted Payments Amount utilized by Bidco or any Restricted Subsidiary to make Investments pursuant to clause (14) of the definition of “Permitted Investments” and (b) the amount of the Available Restricted Payments Amount utilized by Bidco or any Restricted Subsidiary to make Restricted Debt Payments pursuant to clause (xiv)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w:t>
      </w:r>
      <w:r>
        <w:rPr>
          <w:rFonts w:ascii="Times New Roman" w:hAnsi="Times New Roman"/>
          <w:strike/>
          <w:color w:val="FF0000"/>
          <w:sz w:val="20"/>
        </w:rPr>
        <w:t xml:space="preserve">EEA </w:t>
      </w:r>
      <w:r>
        <w:rPr>
          <w:rFonts w:ascii="Times New Roman" w:hAnsi="Times New Roman"/>
          <w:sz w:val="20"/>
        </w:rPr>
        <w:t xml:space="preserve">Resolution Authority in respect of any liability of an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means</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(a)</w:t>
      </w:r>
      <w:r>
        <w:rPr>
          <w:rFonts w:ascii="Times New Roman" w:hAnsi="Times New Roman"/>
          <w:sz w:val="20"/>
        </w:rPr>
        <w:t> with respect to any EEA Member Country implementing Article 55 of Directive 2014/59/EU of the European Parliament and of the Council of the European Union, the implementing law</w:t>
      </w:r>
      <w:r>
        <w:rPr>
          <w:rFonts w:ascii="Times New Roman" w:hAnsi="Times New Roman"/>
          <w:color w:val="0000FF"/>
          <w:sz w:val="20"/>
          <w:u w:val="single"/>
          <w:bdr w:val="double" w:sz="2" w:space="1" w:color="000000"/>
        </w:rPr>
        <w:t>, regulation rule or requirement</w:t>
      </w:r>
      <w:r>
        <w:rPr>
          <w:rFonts w:ascii="Times New Roman" w:hAnsi="Times New Roman"/>
          <w:sz w:val="20"/>
        </w:rPr>
        <w:t xml:space="preserve"> for such EEA Member Country from time to time which is described in the EU Bail-In Legislation Schedule. </w:t>
      </w:r>
      <w:r>
        <w:rPr>
          <w:rFonts w:ascii="Times New Roman" w:hAnsi="Times New Roman"/>
          <w:color w:val="0000FF"/>
          <w:sz w:val="20"/>
          <w:u w:val="single"/>
          <w:bdr w:val="double" w:sz="2" w:space="1" w:color="000000"/>
        </w:rPr>
        <w:t>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as amended, or any similar federal or state law for the relief of debtors. </w:t>
      </w:r>
    </w:p>
    <w:p>
      <w:pPr>
        <w:pStyle w:val="TextBody"/>
        <w:bidi w:val="0"/>
        <w:spacing w:before="240" w:after="0"/>
        <w:jc w:val="left"/>
        <w:rPr/>
      </w:pPr>
      <w:r>
        <w:rPr/>
        <w:t>“</w:t>
      </w:r>
      <w:r>
        <w:rPr>
          <w:rFonts w:ascii="Times New Roman" w:hAnsi="Times New Roman"/>
          <w:sz w:val="20"/>
          <w:u w:val="single"/>
        </w:rPr>
        <w:t>Bank Products</w:t>
      </w:r>
      <w:r>
        <w:rPr>
          <w:rFonts w:ascii="Times New Roman" w:hAnsi="Times New Roman"/>
          <w:sz w:val="20"/>
        </w:rPr>
        <w:t xml:space="preserve">” means any facilities or services related to cash management, including treasury, depository, overdraft, credit or debit card, purchase card, electronic funds transfer and other cash management arrangements. </w:t>
      </w:r>
    </w:p>
    <w:p>
      <w:pPr>
        <w:pStyle w:val="TextBody"/>
        <w:bidi w:val="0"/>
        <w:spacing w:before="240" w:after="0"/>
        <w:jc w:val="left"/>
        <w:rPr/>
      </w:pPr>
      <w:r>
        <w:rPr/>
        <w:t>“</w:t>
      </w:r>
      <w:r>
        <w:rPr>
          <w:rFonts w:ascii="Times New Roman" w:hAnsi="Times New Roman"/>
          <w:sz w:val="20"/>
          <w:u w:val="single"/>
        </w:rPr>
        <w:t>Barclays</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Bidco</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 </w:t>
      </w:r>
    </w:p>
    <w:p>
      <w:pPr>
        <w:pStyle w:val="TextBody"/>
        <w:bidi w:val="0"/>
        <w:spacing w:before="240" w:after="0"/>
        <w:jc w:val="left"/>
        <w:rPr/>
      </w:pPr>
      <w:r>
        <w:rPr/>
        <w:t>“</w:t>
      </w:r>
      <w:r>
        <w:rPr>
          <w:rFonts w:ascii="Times New Roman" w:hAnsi="Times New Roman"/>
          <w:sz w:val="20"/>
          <w:u w:val="single"/>
        </w:rPr>
        <w:t>Board of Governors</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Borrower-Designated Guarantor</w:t>
      </w:r>
      <w:r>
        <w:rPr>
          <w:rFonts w:ascii="Times New Roman" w:hAnsi="Times New Roman"/>
          <w:sz w:val="20"/>
        </w:rPr>
        <w:t xml:space="preserve">” has the meaning assigned to such term in </w:t>
      </w:r>
      <w:r>
        <w:rPr>
          <w:rFonts w:ascii="Times New Roman" w:hAnsi="Times New Roman"/>
          <w:sz w:val="20"/>
          <w:u w:val="single"/>
        </w:rPr>
        <w:t>Section 5.11(a)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Offer of Specified Discount Prepayment</w:t>
      </w:r>
      <w:r>
        <w:rPr>
          <w:rFonts w:ascii="Times New Roman" w:hAnsi="Times New Roman"/>
          <w:sz w:val="20"/>
        </w:rPr>
        <w:t xml:space="preserve">” means the offer by the Borrower to make a voluntary prepayment of Term Loans at a Specified Discount to par pursuant to </w:t>
      </w:r>
      <w:r>
        <w:rPr>
          <w:rFonts w:ascii="Times New Roman" w:hAnsi="Times New Roman"/>
          <w:sz w:val="20"/>
          <w:u w:val="single"/>
        </w:rPr>
        <w:t>Section 2.10(a)(ii)(B)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Representative</w:t>
      </w:r>
      <w:r>
        <w:rPr>
          <w:rFonts w:ascii="Times New Roman" w:hAnsi="Times New Roman"/>
          <w:sz w:val="20"/>
        </w:rPr>
        <w:t xml:space="preserve">” has the meaning assigned to such term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Borrower Solicitation of Discount Range Prepayment Offers</w:t>
      </w:r>
      <w:r>
        <w:rPr>
          <w:rFonts w:ascii="Times New Roman" w:hAnsi="Times New Roman"/>
          <w:sz w:val="20"/>
        </w:rPr>
        <w:t xml:space="preserve">” means the solicitation by the Borrower Representative of offers for, and the corresponding acceptance by a Term Lender of, a voluntary prepayment of Term Loans at a specified range at a discount to par pursuant to </w:t>
      </w:r>
      <w:r>
        <w:rPr>
          <w:rFonts w:ascii="Times New Roman" w:hAnsi="Times New Roman"/>
          <w:sz w:val="20"/>
          <w:u w:val="single"/>
        </w:rPr>
        <w:t>Section 2.10(a)(ii)(C)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Solicitation of Discounted Prepayment Offers</w:t>
      </w:r>
      <w:r>
        <w:rPr>
          <w:rFonts w:ascii="Times New Roman" w:hAnsi="Times New Roman"/>
          <w:sz w:val="20"/>
        </w:rPr>
        <w:t xml:space="preserve">” means the solicitation by the Borrower Representative of offers for, and the subsequent acceptance, if any, by a Term Lender of, a voluntary prepayment of Term Loans at a discount to par pursuant to </w:t>
      </w:r>
      <w:r>
        <w:rPr>
          <w:rFonts w:ascii="Times New Roman" w:hAnsi="Times New Roman"/>
          <w:sz w:val="20"/>
          <w:u w:val="single"/>
        </w:rPr>
        <w:t>Section 2.10(a)(ii)(D)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Tax Jurisdiction</w:t>
      </w:r>
      <w:r>
        <w:rPr>
          <w:rFonts w:ascii="Times New Roman" w:hAnsi="Times New Roman"/>
          <w:sz w:val="20"/>
        </w:rPr>
        <w:t xml:space="preserve">” means, as regards the relevant Borrower, that Borrower’s jurisdiction of incorporation unless that Borrower is incorporated in Guernsey, in which case its Borrower Tax Jurisdiction shall be the United Kingdom.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Loans of the same Class and Type, made, converted or continued on the same date and, in the case of Eurodollar Loans, as to which a single Interest Period is in effect or (b) a Swingline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 Minimum</w:t>
      </w:r>
      <w:r>
        <w:rPr>
          <w:rFonts w:ascii="Times New Roman" w:hAnsi="Times New Roman"/>
          <w:sz w:val="20"/>
        </w:rPr>
        <w:t xml:space="preserve">” means (a) in the case of a Eurodollar Revolving Borrowing, $1,000,000, (b) in the case of an ABR Revolving Borrowing, $500,000 and (c) in the case of a Swingline Loan, $100,000. </w:t>
      </w:r>
    </w:p>
    <w:p>
      <w:pPr>
        <w:pStyle w:val="TextBody"/>
        <w:bidi w:val="0"/>
        <w:spacing w:before="240" w:after="0"/>
        <w:jc w:val="left"/>
        <w:rPr/>
      </w:pPr>
      <w:r>
        <w:rPr/>
        <w:t>“</w:t>
      </w:r>
      <w:r>
        <w:rPr>
          <w:rFonts w:ascii="Times New Roman" w:hAnsi="Times New Roman"/>
          <w:sz w:val="20"/>
          <w:u w:val="single"/>
        </w:rPr>
        <w:t>Borrowing Multiple</w:t>
      </w:r>
      <w:r>
        <w:rPr>
          <w:rFonts w:ascii="Times New Roman" w:hAnsi="Times New Roman"/>
          <w:sz w:val="20"/>
        </w:rPr>
        <w:t xml:space="preserve">” means (a) in the case of a Eurodollar Revolving Borrowing, $1,000,000, (b) in the case of an ABR Revolving Borrowing, $500,000 and (c) in the case of a Swingline Loan, $100,000.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a Borrower for a Borrowing in accordance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London, Luxembourg and/or Guernsey are authorized or required by law to remain closed; </w:t>
      </w:r>
      <w:r>
        <w:rPr>
          <w:rFonts w:ascii="Times New Roman" w:hAnsi="Times New Roman"/>
          <w:sz w:val="20"/>
          <w:u w:val="single"/>
        </w:rPr>
        <w:t>provided</w:t>
      </w:r>
      <w:r>
        <w:rPr>
          <w:rFonts w:ascii="Times New Roman" w:hAnsi="Times New Roman"/>
          <w:sz w:val="20"/>
        </w:rPr>
        <w:t xml:space="preserve"> that (x) when used in connection with a Eurodollar Loan denominated in Canadian Dollars, the term “Business Day” shall also exclude any day on which banks are not open for dealings in Canadian Dollar deposits in the Toronto interbank market, (y) when used in connection with a Eurodollar Loan denominated in Euros, the term “Business Day” shall also exclude any day on which the TARGET2 payment system is not open and (z) with respect to all notices and determinations in connection with, and payments of principal and interest on or with respect to, Loans denominated in any Alternative Currency, any day that is a Business Day which is not a legal holiday or a day on which banking institutions are authorized or required by Requirements of Law or other governmental action to remain closed in the country of issuance of the applicable currency.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shall mean the lawful currency of Canada.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or shares in the capital of such corporation;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but excluding from all of the foregoing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sz w:val="20"/>
          <w:u w:val="single"/>
        </w:rPr>
        <w:t>Capitalized Amount</w:t>
      </w:r>
      <w:r>
        <w:rPr>
          <w:rFonts w:ascii="Times New Roman" w:hAnsi="Times New Roman"/>
          <w:sz w:val="20"/>
        </w:rPr>
        <w:t xml:space="preserve">” means, as at the relevant date of determination, the sum of the amount of (a) the Equity Contributions and (b) the Senior Secured Notes actually issued, and the Initial Term Loans and Revolving Loans actually funded, on or prior to such date (excluding, in each case, (x) the aggregate gross proceeds of the Senior Secured Notes, the Initial Term Loans and the Revolving Loans to fund original issue discount or upfront fees and (y) any amounts drawn under the Revolving Facility on or prior to such date for working capital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Capitalized Lease Obligations</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IFRS; </w:t>
      </w:r>
      <w:r>
        <w:rPr>
          <w:rFonts w:ascii="Times New Roman" w:hAnsi="Times New Roman"/>
          <w:sz w:val="20"/>
          <w:u w:val="single"/>
        </w:rPr>
        <w:t>provided</w:t>
      </w:r>
      <w:r>
        <w:rPr>
          <w:rFonts w:ascii="Times New Roman" w:hAnsi="Times New Roman"/>
          <w:sz w:val="20"/>
        </w:rPr>
        <w:t xml:space="preserve"> that all obligations of any Person that are or would have been characterized as an operating lease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regardless of any change in IFRS following such date that would otherwise require such obligation to be recharacterized as a Capitalized Lease Obligation, to the extent that financial reporting shall not be affected hereby. </w:t>
      </w:r>
    </w:p>
    <w:p>
      <w:pPr>
        <w:pStyle w:val="TextBody"/>
        <w:bidi w:val="0"/>
        <w:spacing w:before="240" w:after="0"/>
        <w:jc w:val="left"/>
        <w:rPr/>
      </w:pPr>
      <w:r>
        <w:rPr/>
        <w:t>“</w:t>
      </w:r>
      <w:r>
        <w:rPr>
          <w:rFonts w:ascii="Times New Roman" w:hAnsi="Times New Roman"/>
          <w:sz w:val="20"/>
          <w:u w:val="single"/>
        </w:rPr>
        <w:t>Capitalized Leases</w:t>
      </w:r>
      <w:r>
        <w:rPr>
          <w:rFonts w:ascii="Times New Roman" w:hAnsi="Times New Roman"/>
          <w:sz w:val="20"/>
        </w:rPr>
        <w:t xml:space="preserve">” means all leases that have been or should be, in accordance with IFRS as in effect on the Effective Date, recorded as capitalized leases; </w:t>
      </w:r>
      <w:r>
        <w:rPr>
          <w:rFonts w:ascii="Times New Roman" w:hAnsi="Times New Roman"/>
          <w:sz w:val="20"/>
          <w:u w:val="single"/>
        </w:rPr>
        <w:t>provided</w:t>
      </w:r>
      <w:r>
        <w:rPr>
          <w:rFonts w:ascii="Times New Roman" w:hAnsi="Times New Roman"/>
          <w:sz w:val="20"/>
        </w:rPr>
        <w:t xml:space="preserve"> that for all purposes hereunder the amount of obligations under any Capitalized Lease shall be the amount thereof accounted for as a liability in accordance with IFRS;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leases of such Person that are or would have been characterized as operating leases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notwithstanding the fact that such obligations are required in accordance with IFRS (on a prospective or retroactive basis or otherwise) to be characterized as capitalized lease obligations in the financial statements to be delivered pursuant to the Loan Documents. </w:t>
      </w:r>
    </w:p>
    <w:p>
      <w:pPr>
        <w:pStyle w:val="TextBody"/>
        <w:bidi w:val="0"/>
        <w:spacing w:before="240" w:after="0"/>
        <w:jc w:val="left"/>
        <w:rPr/>
      </w:pPr>
      <w:r>
        <w:rPr/>
        <w:t>“</w:t>
      </w:r>
      <w:r>
        <w:rPr>
          <w:rFonts w:ascii="Times New Roman" w:hAnsi="Times New Roman"/>
          <w:sz w:val="20"/>
          <w:u w:val="single"/>
        </w:rPr>
        <w:t>Capitalized Software Expenditures</w:t>
      </w:r>
      <w:r>
        <w:rPr>
          <w:rFonts w:ascii="Times New Roman" w:hAnsi="Times New Roman"/>
          <w:sz w:val="20"/>
        </w:rPr>
        <w:t xml:space="preserve">” means, for any period, the aggregate of all expenditures (whether paid in cash or accrued as liabilities) by Bidco and the Restricted Subsidiaries during such period in respect of purchased software or internally developed software and software enhancements that, in conformity with IFRS, are or are required to be reflected as capitalized costs on the consolidated balance sheet of Bidco and the Restricted Subsidiaries.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United States dollars; </w:t>
      </w:r>
    </w:p>
    <w:p>
      <w:pPr>
        <w:pStyle w:val="TextBody"/>
        <w:bidi w:val="0"/>
        <w:spacing w:before="120" w:after="0"/>
        <w:jc w:val="left"/>
        <w:rPr>
          <w:rFonts w:ascii="Times New Roman" w:hAnsi="Times New Roman"/>
          <w:sz w:val="20"/>
        </w:rPr>
      </w:pPr>
      <w:r>
        <w:rPr>
          <w:rFonts w:ascii="Times New Roman" w:hAnsi="Times New Roman"/>
          <w:sz w:val="20"/>
        </w:rPr>
        <w:t xml:space="preserve">(2) (a) Canadian Dollars, Yen, pounds sterling, euros, or any national currency of any participating member state of the EMU or (b) in the case of any Foreign Subsidiary, such local currencies held by it from time to time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 securities issued or directly and fully and unconditionally guaranteed or insured by the U.S. government or any agency or instrumentality thereof, Canada, Switzerland, a member of the European Union rated “A” (or the equivalent thereof) or better by S&amp;P and A2 (or the equivalent thereof) or better by Moody’s, the securities of which are unconditionally guaranteed as a full faith and credit obligation of such government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$250,000,000 in the case of U.S. banks or $100,000,000 (or the Dollar Equivalent as of the date of determination) in the case of non-U.S. banks (any such bank being an “</w:t>
      </w:r>
      <w:r>
        <w:rPr>
          <w:rFonts w:ascii="Times New Roman" w:hAnsi="Times New Roman"/>
          <w:sz w:val="20"/>
          <w:u w:val="single"/>
        </w:rPr>
        <w:t>Approved Bank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repurchase obligations for underlying securities of the types described in clause (3), (4) or (7) entered into with any financial institution or recognized securities dealer meeting the qualifications specified in clause (4) above; </w:t>
      </w:r>
    </w:p>
    <w:p>
      <w:pPr>
        <w:pStyle w:val="TextBody"/>
        <w:bidi w:val="0"/>
        <w:spacing w:before="120" w:after="0"/>
        <w:jc w:val="left"/>
        <w:rPr>
          <w:rFonts w:ascii="Times New Roman" w:hAnsi="Times New Roman"/>
          <w:sz w:val="20"/>
        </w:rPr>
      </w:pPr>
      <w:r>
        <w:rPr>
          <w:rFonts w:ascii="Times New Roman" w:hAnsi="Times New Roman"/>
          <w:sz w:val="20"/>
        </w:rPr>
        <w:t xml:space="preserve">(6)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(7) 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(8) readily marketable direct obligations issued by any state, commonwealth or territory of the United States of America or any political subdivision or taxing authority thereof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(9) Indebtedness or Preferred Stock issued by Persons with a rating of “A” or higher from S&amp;P or “A2” or higher from Moody’s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(10) readily marketable direct obligations issued by any foreign government or any political subdivision or public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(11)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 </w:t>
      </w:r>
    </w:p>
    <w:p>
      <w:pPr>
        <w:pStyle w:val="TextBody"/>
        <w:bidi w:val="0"/>
        <w:spacing w:before="120" w:after="0"/>
        <w:jc w:val="left"/>
        <w:rPr>
          <w:rFonts w:ascii="Times New Roman" w:hAnsi="Times New Roman"/>
          <w:sz w:val="20"/>
        </w:rPr>
      </w:pPr>
      <w:r>
        <w:rPr>
          <w:rFonts w:ascii="Times New Roman" w:hAnsi="Times New Roman"/>
          <w:sz w:val="20"/>
        </w:rPr>
        <w:t xml:space="preserve">(12) 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(13) instruments equivalent to those referred to in clauses (1) through (12)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investments, classified in accordance with IFRS as current assets of Bidco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(1) through (13)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(15) 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hAnsi="Times New Roman"/>
          <w:sz w:val="20"/>
          <w:u w:val="single"/>
        </w:rPr>
        <w:t>Approved Foreign Bank</w:t>
      </w:r>
      <w:r>
        <w:rPr>
          <w:rFonts w:ascii="Times New Roman" w:hAnsi="Times New Roman"/>
          <w:sz w:val="20"/>
        </w:rPr>
        <w:t xml:space="preserve">”), and in each case with maturities of not more than 24 months from the date of acquisition and (iii) the equivalent of demand deposit accounts which are maintained with an Approved Foreign Bank; and </w:t>
      </w:r>
    </w:p>
    <w:p>
      <w:pPr>
        <w:pStyle w:val="TextBody"/>
        <w:bidi w:val="0"/>
        <w:spacing w:before="120" w:after="0"/>
        <w:jc w:val="left"/>
        <w:rPr>
          <w:rFonts w:ascii="Times New Roman" w:hAnsi="Times New Roman"/>
          <w:sz w:val="20"/>
        </w:rPr>
      </w:pPr>
      <w:r>
        <w:rPr>
          <w:rFonts w:ascii="Times New Roman" w:hAnsi="Times New Roman"/>
          <w:sz w:val="20"/>
        </w:rPr>
        <w:t xml:space="preserve">(16) investment funds investing at least 90% of their assets in securities of the types described in clauses (1) through (15)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Cash Equivalents shall include amounts denominated in currencies other than those set forth in clauses (1) or (2) above or the immediately preceding paragraph; </w:t>
      </w:r>
      <w:r>
        <w:rPr>
          <w:rFonts w:ascii="Times New Roman" w:hAnsi="Times New Roman"/>
          <w:sz w:val="20"/>
          <w:u w:val="single"/>
        </w:rPr>
        <w:t>provided</w:t>
      </w:r>
      <w:r>
        <w:rPr>
          <w:rFonts w:ascii="Times New Roman" w:hAnsi="Times New Roman"/>
          <w:sz w:val="20"/>
        </w:rPr>
        <w:t xml:space="preserve"> that such amounts are converted into any currency listed in clauses (1) or (2) above or the immediately preceding paragraph as promptly as practicable and in any event within ten Business Days following the receipt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(16) above of foreign obligors, which Investments or obligors (or the parents of such obligors) have ratings described in such clauses or equivalent ratings from comparable foreign rating agencies and (b) other short term investments utilized by Foreign Subsidiaries that are Restricted Subsidiaries in accordance with normal investment practices for cash management in investments analogous to the foregoing investments in clauses (1) through (16)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auction-rate obligations; or (iv) the next put exercise date (for obligations with put features). </w:t>
      </w:r>
    </w:p>
    <w:p>
      <w:pPr>
        <w:pStyle w:val="TextBody"/>
        <w:bidi w:val="0"/>
        <w:spacing w:before="240" w:after="0"/>
        <w:jc w:val="left"/>
        <w:rPr/>
      </w:pPr>
      <w:r>
        <w:rPr/>
        <w:t>“</w:t>
      </w:r>
      <w:r>
        <w:rPr>
          <w:rFonts w:ascii="Times New Roman" w:hAnsi="Times New Roman"/>
          <w:sz w:val="20"/>
          <w:u w:val="single"/>
        </w:rPr>
        <w:t>Cash Management Obligations</w:t>
      </w:r>
      <w:r>
        <w:rPr>
          <w:rFonts w:ascii="Times New Roman" w:hAnsi="Times New Roman"/>
          <w:sz w:val="20"/>
        </w:rPr>
        <w:t xml:space="preserve">” means (a) obligations of Holdings, any Intermediate Parent, Bidco or any Subsidiary in respect of any overdraft and related liabilities arising from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depository, cash pooling arrangements and cash management services or any automated clearing house transfers of funds and (b) other obligations in respect of netting services, employee credit or purchase card programs and similar arrangements. </w:t>
      </w:r>
    </w:p>
    <w:p>
      <w:pPr>
        <w:pStyle w:val="TextBody"/>
        <w:bidi w:val="0"/>
        <w:spacing w:before="240" w:after="0"/>
        <w:jc w:val="left"/>
        <w:rPr/>
      </w:pPr>
      <w:r>
        <w:rPr/>
        <w:t>“</w:t>
      </w:r>
      <w:r>
        <w:rPr>
          <w:rFonts w:ascii="Times New Roman" w:hAnsi="Times New Roman"/>
          <w:sz w:val="20"/>
          <w:u w:val="single"/>
        </w:rPr>
        <w:t>Casualty Event</w:t>
      </w:r>
      <w:r>
        <w:rPr>
          <w:rFonts w:ascii="Times New Roman" w:hAnsi="Times New Roman"/>
          <w:sz w:val="20"/>
        </w:rPr>
        <w:t xml:space="preserve">” means any event that gives rise to the receipt by Bidco or any Subsidiary of any insurance proceeds or condemnation awards in respect of any equipment, fixed assets or real property (including any improvements thereon) to replace or repair such equipment, fixed assets or real property. </w:t>
      </w:r>
    </w:p>
    <w:p>
      <w:pPr>
        <w:pStyle w:val="TextBody"/>
        <w:bidi w:val="0"/>
        <w:spacing w:before="240" w:after="0"/>
        <w:jc w:val="left"/>
        <w:rPr/>
      </w:pPr>
      <w:r>
        <w:rPr/>
        <w:t>“</w:t>
      </w:r>
      <w:r>
        <w:rPr>
          <w:rFonts w:ascii="Times New Roman" w:hAnsi="Times New Roman"/>
          <w:sz w:val="20"/>
          <w:u w:val="single"/>
        </w:rPr>
        <w:t>Certain Funds Loan Party</w:t>
      </w:r>
      <w:r>
        <w:rPr>
          <w:rFonts w:ascii="Times New Roman" w:hAnsi="Times New Roman"/>
          <w:sz w:val="20"/>
        </w:rPr>
        <w:t xml:space="preserve">” means Initial Holdings, Bidco, the Finco Borrower and the U.S. Borrower, in each case as of the Effective Date. </w:t>
      </w:r>
    </w:p>
    <w:p>
      <w:pPr>
        <w:pStyle w:val="TextBody"/>
        <w:bidi w:val="0"/>
        <w:spacing w:before="240" w:after="0"/>
        <w:jc w:val="left"/>
        <w:rPr/>
      </w:pPr>
      <w:r>
        <w:rPr/>
        <w:t>“</w:t>
      </w:r>
      <w:r>
        <w:rPr>
          <w:rFonts w:ascii="Times New Roman" w:hAnsi="Times New Roman"/>
          <w:sz w:val="20"/>
          <w:u w:val="single"/>
        </w:rPr>
        <w:t>Certain Funds Period</w:t>
      </w:r>
      <w:r>
        <w:rPr>
          <w:rFonts w:ascii="Times New Roman" w:hAnsi="Times New Roman"/>
          <w:sz w:val="20"/>
        </w:rPr>
        <w:t xml:space="preserve">” means the period from (and including) the Effective Date to (and including) 11:59 p.m., New York City time, on the earliest of (a) the date on which the Initial Term Commitments have been utilized in full and (b) the date falling 60 days after the Effective Date (or, in each case, such later time as agreed by the Administrative Agent (acting reasonably and in good faith)). </w:t>
      </w:r>
    </w:p>
    <w:p>
      <w:pPr>
        <w:pStyle w:val="TextBody"/>
        <w:bidi w:val="0"/>
        <w:spacing w:before="240" w:after="0"/>
        <w:jc w:val="left"/>
        <w:rPr/>
      </w:pPr>
      <w:r>
        <w:rPr/>
        <w:t>“</w:t>
      </w:r>
      <w:r>
        <w:rPr>
          <w:rFonts w:ascii="Times New Roman" w:hAnsi="Times New Roman"/>
          <w:sz w:val="20"/>
          <w:u w:val="single"/>
        </w:rPr>
        <w:t>Certain Funds Utilization</w:t>
      </w:r>
      <w:r>
        <w:rPr>
          <w:rFonts w:ascii="Times New Roman" w:hAnsi="Times New Roman"/>
          <w:sz w:val="20"/>
        </w:rPr>
        <w:t xml:space="preserve">” means any borrowing of Initial Term Loans on or after the Effective Date and prior to the expiration of the Certain Funds Period in accordance with </w:t>
      </w:r>
      <w:r>
        <w:rPr>
          <w:rFonts w:ascii="Times New Roman" w:hAnsi="Times New Roman"/>
          <w:sz w:val="20"/>
          <w:u w:val="single"/>
        </w:rPr>
        <w:t>Section 3.17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CFC</w:t>
      </w:r>
      <w:r>
        <w:rPr>
          <w:rFonts w:ascii="Times New Roman" w:hAnsi="Times New Roman"/>
          <w:sz w:val="20"/>
        </w:rPr>
        <w:t xml:space="preserve">” means a “controlled foreign corporation” within the meaning of Section 957 of the Code.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shall mean (i) the adoption of any law, treaty, order, policy, rule, or regulation after the Effective Date, (ii) any change in any law, treaty, order, policy, rule, or regulation or in the interpretation or application thereof by any Governmental Authority after the Effective Date or (iii) compliance by any Lender with any guideline, request, directive, or order issued or made after the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Effective Date.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 (i) prior to an IPO, the failure of Holdings, directly or indirectly through one or more Intermediate Parents, to own all of the Equity Interests of Bidco or (ii) prior to an IPO by a Borrower, the failure of Bidco, directly or indirectly, to own all of the Equity Interests of each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the Board of Directors of Holdings represented by the issued and outstanding Equity Interests in Holdings, unless the Permitted Holders otherwise have the right (pursuant to contract, proxy or otherwise), directly or indirectly, to designate, nominate or appoint (and do so designate, nominate or appoint) a majority of the Board of Directors of Holdings, (c) after an IPO, (i)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indirectly, including through one of more holding companies) otherwise have the right (pursuant to contract, proxy or otherwise), directly or indirectly, to designate, nominate or appoint (and do so designate, nominate or appoint) a majority of the Board of Directors of the IPO Entity or (ii) if the IPO Entity is a parent entity of Holdings, the failure of Holdings to remain an indirect or direct subsidiary of the IPO Entity,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Holdings or (d) the occurrence of a “Change of Control” (or similar event, however denominated), as defined in the documentation governing any Subordinated Indebtedness that is Material Indebtedness, unless such Subordinated Indebtedness is repaid substantially simultaneously with the occurrence of such “Change of Control” under such documentation in a manner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Bidco, as applicable, directly or indirectly owned by the Permitted Holders that are part of such Person or “group” shall not be treated as being owned by such Person or “group” for purposes of determining whether clause (c) of this definition is triggered). </w:t>
      </w:r>
    </w:p>
    <w:p>
      <w:pPr>
        <w:pStyle w:val="TextBody"/>
        <w:bidi w:val="0"/>
        <w:spacing w:before="240" w:after="0"/>
        <w:jc w:val="left"/>
        <w:rPr/>
      </w:pPr>
      <w:r>
        <w:rPr/>
        <w:t>“</w:t>
      </w:r>
      <w:r>
        <w:rPr>
          <w:rFonts w:ascii="Times New Roman" w:hAnsi="Times New Roman"/>
          <w:sz w:val="20"/>
          <w:u w:val="single"/>
        </w:rPr>
        <w:t>City Code</w:t>
      </w:r>
      <w:r>
        <w:rPr>
          <w:rFonts w:ascii="Times New Roman" w:hAnsi="Times New Roman"/>
          <w:sz w:val="20"/>
        </w:rPr>
        <w:t xml:space="preserve">” means the UK City Code on Takeovers and Mergers, as administered by the Panel.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 any Loan or Borrowing, refers to whether such Loan, or the Loans comprising such Borrowing, are Revolving Loans, Other Revolving Loans, Term Loans, Incremental Term Loans, Other Term Loans or Swingline Loans, (b) any Commitment, refers to whether such Commitment is a Revolving Commitment, Additional/Replacement Revolving Commitment, Other Revolving Commitment, Term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and Incremental Term Loans that have different terms and conditions (other than with respect to original issue discount or upfront fees) shall be construed to be in different Classes.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United States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assets, whether real or personal, tangible or intangible, on which Liens are purported to be granted pursuant to the Security Documents as security for the Secured Obligations.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has the meaning given to such term in </w:t>
      </w:r>
      <w:r>
        <w:rPr>
          <w:rFonts w:ascii="Times New Roman" w:hAnsi="Times New Roman"/>
          <w:sz w:val="20"/>
          <w:u w:val="single"/>
        </w:rPr>
        <w:t>Section 8.01(b)</w:t>
      </w:r>
      <w:r>
        <w:rPr>
          <w:rFonts w:ascii="Times New Roman" w:hAnsi="Times New Roman"/>
          <w:sz w:val="20"/>
        </w:rPr>
        <w:t xml:space="preserve"> and its successors in such capacity as provided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means the Collateral Agreement among the Loan Parties party thereto and the Collateral Agent, substantially in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Collateral and Guarantee Requirement</w:t>
      </w:r>
      <w:r>
        <w:rPr>
          <w:rFonts w:ascii="Times New Roman" w:hAnsi="Times New Roman"/>
          <w:sz w:val="20"/>
        </w:rPr>
        <w:t xml:space="preserve">” means, at any time, subject in all respects to the Agreed Security Principles (other than with respect to U.S. Restricted Subsidiaries or U.S. Loan Parties),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from (i) Holdings, any Intermediate Parent, Bidco, each of the U.S. Restricted Subsidiaries (other than any Excluded Subsidiary) and each of the Non-U.S. Restricted Subsidiaries (other than any Non-U.S. Restricted Subsidiary that is incorporated in an Excluded Jurisdiction) that is a Guarantor Coverage Material Subsidiary or that is designated to accede as a Guarantor pursuant to </w:t>
      </w:r>
      <w:r>
        <w:rPr>
          <w:rFonts w:ascii="Times New Roman" w:hAnsi="Times New Roman"/>
          <w:sz w:val="20"/>
          <w:u w:val="single"/>
        </w:rPr>
        <w:t>Section 5.11</w:t>
      </w:r>
      <w:r>
        <w:rPr>
          <w:rFonts w:ascii="Times New Roman" w:hAnsi="Times New Roman"/>
          <w:sz w:val="20"/>
        </w:rPr>
        <w:t xml:space="preserve">, either (x) a counterpart of the Guarantee Agreement duly executed and delivered on behalf of such Person or (y) in the case of any Person that becomes a Restricted Subsidiary (other than an Excluded Subsidiary) or a Loan Party after the Effective Date or that ceases to be an Excluded Subsidiary, a supplement to the Guarantee Agreement, in substantially the form specified therein, duly executed and delivered on behalf of such Person, (ii) any Borrower or Guarantor that is a U.S. Loan Party, (x) a counterpart of the Collateral Agreement duly executed and delivered on behalf of such Person, (y) in the case of any Person that becomes a U.S. Loan Party after the Effective Date (including by ceasing to be an Excluded Subsidiary), a supplement to the Collateral Agreement in substantially the form specified therein, duly executed and delivered on behalf of such Person, and (iii) any Borrower or Guarantor that is a Non-U.S. Loan Party, (x) a counterpart of each applicable Non-U.S. Security Agreement listed on </w:t>
      </w:r>
      <w:r>
        <w:rPr>
          <w:rFonts w:ascii="Times New Roman" w:hAnsi="Times New Roman"/>
          <w:sz w:val="20"/>
          <w:u w:val="single"/>
        </w:rPr>
        <w:t>Schedule 1.01(d)</w:t>
      </w:r>
      <w:r>
        <w:rPr>
          <w:rFonts w:ascii="Times New Roman" w:hAnsi="Times New Roman"/>
          <w:sz w:val="20"/>
        </w:rPr>
        <w:t xml:space="preserve"> duly executed and delivered on behalf of such Person and (y) in the case of any Person that becomes a Non-U.S. Loan Party after the Effective Date (including by ceasing to be an Excluded Subsidiary), executed pledge and security agreement(s) in accordance with the Agreed Security Principles (including but not limited to the Overriding Principle (as defined therein)) or under </w:t>
      </w:r>
      <w:r>
        <w:rPr>
          <w:rFonts w:ascii="Times New Roman" w:hAnsi="Times New Roman"/>
          <w:sz w:val="20"/>
          <w:u w:val="single"/>
        </w:rPr>
        <w:t>Section 5.14</w:t>
      </w:r>
      <w:r>
        <w:rPr>
          <w:rFonts w:ascii="Times New Roman" w:hAnsi="Times New Roman"/>
          <w:sz w:val="20"/>
        </w:rPr>
        <w:t xml:space="preserve"> (as applicable), in each case under this clause (a) together with, in the case of any such Loan Documents executed and delivered after the Effective Date, to the extent reasonably requested by the Administrative Agent, opinions and documents of the type referred to in </w:t>
      </w:r>
      <w:r>
        <w:rPr>
          <w:rFonts w:ascii="Times New Roman" w:hAnsi="Times New Roman"/>
          <w:sz w:val="20"/>
          <w:u w:val="single"/>
        </w:rPr>
        <w:t>Sections 4.01(b)</w:t>
      </w:r>
      <w:r>
        <w:rPr>
          <w:rFonts w:ascii="Times New Roman" w:hAnsi="Times New Roman"/>
          <w:sz w:val="20"/>
        </w:rPr>
        <w:t xml:space="preserve"> and </w:t>
      </w:r>
      <w:r>
        <w:rPr>
          <w:rFonts w:ascii="Times New Roman" w:hAnsi="Times New Roman"/>
          <w:sz w:val="20"/>
          <w:u w:val="single"/>
        </w:rPr>
        <w:t>4.01(d)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outstanding Equity Interests of Bidco, each Intermediate Parent, the Borrowers, each Material Subsidiary that is a U.S. Restricted Subsidiary and each Guarantor Coverage Material Subsidiary that is a Non-U.S. Restricted </w:t>
      </w:r>
      <w:r>
        <w:rPr>
          <w:rFonts w:ascii="Times New Roman" w:hAnsi="Times New Roman"/>
          <w:strike/>
          <w:color w:val="FF0000"/>
          <w:sz w:val="20"/>
        </w:rPr>
        <w:t>Subsidary</w:t>
      </w:r>
      <w:r>
        <w:rPr>
          <w:rFonts w:ascii="Times New Roman" w:hAnsi="Times New Roman"/>
          <w:color w:val="0000FF"/>
          <w:sz w:val="20"/>
          <w:u w:val="single"/>
          <w:bdr w:val="double" w:sz="2" w:space="1" w:color="000000"/>
        </w:rPr>
        <w:t>Subsidiary</w:t>
      </w:r>
      <w:r>
        <w:rPr>
          <w:rFonts w:ascii="Times New Roman" w:hAnsi="Times New Roman"/>
          <w:sz w:val="20"/>
        </w:rPr>
        <w:t xml:space="preserve"> (other than any Equity Interests constituting Excluded Assets) owned by or on behalf of any Loan Party, shall have been pledged pursuant to the applicable Security Document, and the Collateral Agent shall have received certificates, if any, or other instruments, if any, representing all such Equity Interests to the extent constituting “certificated securities” (other than such Equity Interests constituting Excluded Assets), together with undated stock powers or other instruments of transfer with respect thereto endorsed in blank or updated shareholders’ register reflecting the registration of the pledge, in each case, as is customary in that jurisdiction and required to be delivered under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(c) if any Indebtedness for borrowed money of Bidco or any Restricted Subsidiary in a principal amount of $125,000,000 or more is owing by such obligor to any U.S. Loan Party and such Indebtedness is evidenced by a promissory note, such promissory note shall be pledged pursuant to the applicable Security Document, the Collateral Agent shall have received all such promissory notes, together with undated instruments of transfer with respect thereto endorsed in blank;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delivery requirement with respect to any intercompany indebtedness may be satisfied, at Bidco’s sole discretion, by delivery of an omnibus or global intercompany note executed by all U.S. Loan Parties as payees and all such obligors as payors;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each Non-U.S. Loan Party shall grant to the Collateral Agent (A) fixed security over material bank accounts (without control over use) and (B) fixed security over material, structural, long-term documented intercompany loans made by such Non-U.S. Loan Party, and (ii) in the United Kingdom (and where customary in any other jurisdiction), each Non- U.S. Loan Party which is incorporated in the United Kingdom (or such other jurisdiction) shall grant to the Collateral Agent “floating charges” or such equivalent or substantially equivalent concept as may exist under relevant law; and </w:t>
      </w:r>
    </w:p>
    <w:p>
      <w:pPr>
        <w:pStyle w:val="TextBody"/>
        <w:bidi w:val="0"/>
        <w:spacing w:before="120" w:after="0"/>
        <w:jc w:val="left"/>
        <w:rPr>
          <w:rFonts w:ascii="Times New Roman" w:hAnsi="Times New Roman"/>
          <w:sz w:val="20"/>
        </w:rPr>
      </w:pPr>
      <w:r>
        <w:rPr>
          <w:rFonts w:ascii="Times New Roman" w:hAnsi="Times New Roman"/>
          <w:sz w:val="20"/>
        </w:rPr>
        <w:t xml:space="preserve">(e) all certificates, agreements, documents and instruments, including Uniform Commercial Code financing statements and Intellectual Property Security Agreements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the other provisions of the term “Collateral and Guarantee Requirement” and (in the case of the Non-U.S. Loan Parties) the Agreed Security Principles, shall have been filed, registered or recorded or delivered to the Collateral Agent for filing, registration or recording.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the Administrative Agent and Bidco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outweighs the benefits to be obtained by the Lenders therefrom; (b) Liens required to be granted from time to time pursuant to the term “Collateral and Guarantee Requirement” shall be subject to exceptions and limitations set forth in this Agreement and the Security Documents; (c) in the case of U.S. Loan Parties, in no event shall control agreements or other control or similar arrangements be required with respect to cash, Cash Equivalents, other deposit accounts, securities and commodities accounts (including securities entitlements and related assets), letter of credit rights or other assets requiring perfection by control (but not, for avoidance of doubt, possession); (d) [reserved]; (e) the U.S. Loan Parties shall not be required, nor shall the Administrative Agent be authorized, to perfect the above-described pledges, security interests and mortgages by any means other than by (i) filings pursuant to the Uniform Commercial Code in the office of the secretary of state (or similar central filing office) of the relevant jurisdiction, (ii) filings in United States Patent and Trademark Office and the United States Copyright Office with respect to registered and applied-for Intellectual Property as expressly required in the Loan Documents and (iii) delivery to the Collateral Agent to be held in its possession of all Collateral consisting of intercompany notes, stock certificates of any Intermediate Parent, Bidco and its Subsidiaries and instruments, in each case as expressly required in the Loan Documents; (f) in the case of the Non-U.S. Restricted Subsidiaries and the Non-U.S. Loan Parties, the foregoing provisions of this definition shall be subject in all respects to the Agreed Security Principles and (g) in no event shall the Collateral include any Excluded Assets, except at the option or in the sole discretion of Bidco. The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or due to factors beyond the control of Bidco and the Restricted Subsidiaries by the time or times at which it would otherwise be required to be accomplished by this Agreement (including as set forth on </w:t>
      </w:r>
      <w:r>
        <w:rPr>
          <w:rFonts w:ascii="Times New Roman" w:hAnsi="Times New Roman"/>
          <w:sz w:val="20"/>
          <w:u w:val="single"/>
        </w:rPr>
        <w:t>Schedule 5.14</w:t>
      </w:r>
      <w:r>
        <w:rPr>
          <w:rFonts w:ascii="Times New Roman" w:hAnsi="Times New Roman"/>
          <w:sz w:val="20"/>
        </w:rPr>
        <w:t xml:space="preserve">) or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Commitment</w:t>
      </w:r>
      <w:r>
        <w:rPr>
          <w:rFonts w:ascii="Times New Roman" w:hAnsi="Times New Roman"/>
          <w:sz w:val="20"/>
        </w:rPr>
        <w:t xml:space="preserve">” means (a) with respect to any Lender, its Revolving Commitment, Other Revolving Commitment of any Class, Term Commitment, Initial Term Commitment, Other Term Commitment of any Class or any combination thereof (as the context requires) and (b) with respect to any Swingline Lender, its Swingline Commitment. </w:t>
      </w:r>
    </w:p>
    <w:p>
      <w:pPr>
        <w:pStyle w:val="TextBody"/>
        <w:bidi w:val="0"/>
        <w:spacing w:before="240" w:after="0"/>
        <w:jc w:val="left"/>
        <w:rPr/>
      </w:pPr>
      <w:r>
        <w:rPr/>
        <w:t>“</w:t>
      </w:r>
      <w:r>
        <w:rPr>
          <w:rFonts w:ascii="Times New Roman" w:hAnsi="Times New Roman"/>
          <w:sz w:val="20"/>
          <w:u w:val="single"/>
        </w:rPr>
        <w:t>Commitment Fee Percentage</w:t>
      </w:r>
      <w:r>
        <w:rPr>
          <w:rFonts w:ascii="Times New Roman" w:hAnsi="Times New Roman"/>
          <w:sz w:val="20"/>
        </w:rPr>
        <w:t xml:space="preserve">” means, for any day, the applicable percentage set forth below under the caption “Commitment Fee Percentage” based upon the Senior Secured First Lien Net Leverage Ratio as of the end of the fiscal quarter of Bidco for which consolidated financial statements have theretofore been most recently delivered pursuant to </w:t>
      </w:r>
      <w:r>
        <w:rPr>
          <w:rFonts w:ascii="Times New Roman" w:hAnsi="Times New Roman"/>
          <w:sz w:val="20"/>
          <w:u w:val="single"/>
        </w:rPr>
        <w:t>Section 5.01(a)</w:t>
      </w:r>
      <w:r>
        <w:rPr>
          <w:rFonts w:ascii="Times New Roman" w:hAnsi="Times New Roman"/>
          <w:sz w:val="20"/>
        </w:rPr>
        <w:t xml:space="preserve"> or</w:t>
      </w:r>
      <w:r>
        <w:rPr>
          <w:rFonts w:ascii="Times New Roman" w:hAnsi="Times New Roman"/>
          <w:sz w:val="20"/>
          <w:u w:val="single"/>
        </w:rPr>
        <w:t xml:space="preserve"> 5.01(b)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until the date of the delivery of the consolidated financial statements pursuant to </w:t>
      </w:r>
      <w:r>
        <w:rPr>
          <w:rFonts w:ascii="Times New Roman" w:hAnsi="Times New Roman"/>
          <w:sz w:val="20"/>
          <w:u w:val="single"/>
        </w:rPr>
        <w:t>Section 5.01</w:t>
      </w:r>
      <w:r>
        <w:rPr>
          <w:rFonts w:ascii="Times New Roman" w:hAnsi="Times New Roman"/>
          <w:sz w:val="20"/>
        </w:rPr>
        <w:t xml:space="preserve"> as of and for the fiscal year ended December 31, 2019, the Commitment Fee Percentage shall be based on the rates per annum set forth in Category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98"/>
        <w:gridCol w:w="505"/>
        <w:gridCol w:w="160"/>
        <w:gridCol w:w="1499"/>
        <w:gridCol w:w="277"/>
      </w:tblGrid>
      <w:tr>
        <w:trPr/>
        <w:tc>
          <w:tcPr>
            <w:tcW w:w="4498"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498"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Senior Secured First Lien Net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Leverage Ratio                        </w:t>
            </w:r>
          </w:p>
        </w:tc>
        <w:tc>
          <w:tcPr>
            <w:tcW w:w="505"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pPr>
            <w:r>
              <w:rPr/>
              <w:t>Commitment Fee</w:t>
              <w:br/>
              <w:t>Percentage</w:t>
            </w:r>
          </w:p>
        </w:tc>
        <w:tc>
          <w:tcPr>
            <w:tcW w:w="277" w:type="dxa"/>
            <w:tcBorders/>
            <w:vAlign w:val="bottom"/>
          </w:tcPr>
          <w:p>
            <w:pPr>
              <w:pStyle w:val="TableContents"/>
              <w:bidi w:val="0"/>
              <w:spacing w:before="0" w:after="283"/>
              <w:jc w:val="left"/>
              <w:rPr/>
            </w:pPr>
            <w:r>
              <w:rPr/>
              <w:t> </w:t>
            </w:r>
          </w:p>
        </w:tc>
      </w:tr>
      <w:tr>
        <w:trPr/>
        <w:tc>
          <w:tcPr>
            <w:tcW w:w="4498"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4.85 to 1.00</w:t>
            </w:r>
          </w:p>
        </w:tc>
        <w:tc>
          <w:tcPr>
            <w:tcW w:w="50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0.375</w:t>
            </w:r>
          </w:p>
        </w:tc>
        <w:tc>
          <w:tcPr>
            <w:tcW w:w="277" w:type="dxa"/>
            <w:tcBorders/>
            <w:shd w:fill="CCEEFF" w:val="clear"/>
            <w:vAlign w:val="bottom"/>
          </w:tcPr>
          <w:p>
            <w:pPr>
              <w:pStyle w:val="TableContents"/>
              <w:bidi w:val="0"/>
              <w:spacing w:before="0" w:after="283"/>
              <w:jc w:val="left"/>
              <w:rPr/>
            </w:pPr>
            <w:r>
              <w:rPr/>
              <w:t>% </w:t>
            </w:r>
          </w:p>
        </w:tc>
      </w:tr>
      <w:tr>
        <w:trPr/>
        <w:tc>
          <w:tcPr>
            <w:tcW w:w="44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Less than or equal to 4.85 to 1.00</w:t>
            </w:r>
          </w:p>
        </w:tc>
        <w:tc>
          <w:tcPr>
            <w:tcW w:w="5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0.250</w:t>
            </w:r>
          </w:p>
        </w:tc>
        <w:tc>
          <w:tcPr>
            <w:tcW w:w="27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each change in the Commitment Fee Percentage resulting from a change in the Senior Secured First Lien Net Leverage Ratio shall be effective during the period commencing on and including the Business Day following the date of delivery to the Administrative Agent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of the consolidated financial statements and related Compliance Certificate indicating such change and ending on the date immediately preceding the effective date of the next such change. Notwithstanding the foregoing, the Commitment Fee Percentage, at the option of the Administrative Agent or the Required Revolving Lenders, commencing upon written notice to Bidco, shall be based on the rates per annum set forth in Category 1 (i) at any time that an Event of Default under </w:t>
      </w:r>
      <w:r>
        <w:rPr>
          <w:rFonts w:ascii="Times New Roman" w:hAnsi="Times New Roman"/>
          <w:sz w:val="20"/>
          <w:u w:val="single"/>
        </w:rPr>
        <w:t>Section 7.01(a)</w:t>
      </w:r>
      <w:r>
        <w:rPr>
          <w:rFonts w:ascii="Times New Roman" w:hAnsi="Times New Roman"/>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pPr>
      <w:r>
        <w:rPr/>
        <w:t>“</w:t>
      </w:r>
      <w:r>
        <w:rPr>
          <w:rFonts w:ascii="Times New Roman" w:hAnsi="Times New Roman"/>
          <w:sz w:val="20"/>
          <w:u w:val="single"/>
        </w:rPr>
        <w:t>Commitment Letter</w:t>
      </w:r>
      <w:r>
        <w:rPr>
          <w:rFonts w:ascii="Times New Roman" w:hAnsi="Times New Roman"/>
          <w:sz w:val="20"/>
        </w:rPr>
        <w:t xml:space="preserve">” means the second amended and restated commitment letter dated as of September 4,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as amended from time to time, and any successor statute.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Inmarsat Group Holdings Limited (f/k/a Inmarsat plc), a limited company incorporated under the laws of England and Wales with registered number 04886072.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the certificate required to be delivered pursuant to </w:t>
      </w:r>
      <w:r>
        <w:rPr>
          <w:rFonts w:ascii="Times New Roman" w:hAnsi="Times New Roman"/>
          <w:sz w:val="20"/>
          <w:u w:val="single"/>
        </w:rPr>
        <w:t>Section 5.01(d)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Cash Interest Expense</w:t>
      </w:r>
      <w:r>
        <w:rPr>
          <w:rFonts w:ascii="Times New Roman" w:hAnsi="Times New Roman"/>
          <w:sz w:val="20"/>
        </w:rPr>
        <w:t xml:space="preserve">” means, as of any date for the applicable period ending on such date with respect to Bidco and the Restricted Subsidiaries on a consolidated basis, the amount payable with respect to such period in respect of (a) total interest expense payable in cash with respect to all outstanding Indebtedness of Bidco and the Restricted Subsidiaries including the interest component under Capitalized Leases, but excluding, to the extent included in interest expense, (i) fees and expenses (including any penalties and interest relating to Taxes) associated with the consummation of the Transactions, (ii) annual agency fees paid to the administrative agents and collateral agents under any credit facilities or other debt instruments or documents, (iii) costs associated with obtaining Swap Agreements and any interest expense attributable to the movement of the mark-to-market valuation of obligations under Swap Agreements or other derivative instruments, and any one-time cash costs associated with breakage in respect of Swap Agreements for interest rates, (iv) fees and expenses (including any penalties and interest relating to Taxes) associated with any Investment not prohibited by </w:t>
      </w:r>
      <w:r>
        <w:rPr>
          <w:rFonts w:ascii="Times New Roman" w:hAnsi="Times New Roman"/>
          <w:sz w:val="20"/>
          <w:u w:val="single"/>
        </w:rPr>
        <w:t>Section 6.04</w:t>
      </w:r>
      <w:r>
        <w:rPr>
          <w:rFonts w:ascii="Times New Roman" w:hAnsi="Times New Roman"/>
          <w:sz w:val="20"/>
        </w:rPr>
        <w:t xml:space="preserve">, the issuance of Equity Interests or Indebtedness, (v) any interest component relating to accretion or accrual of discounted liabilities, (vi) all non-recurring cash interest expense consisting of liquidated damages for failure to timely comply with registration rights obligations, (vii) amortization of deferred financing fees, debt issuance costs, commissions, fees and expenses or expensing of any financing fees or prepayment or redemption premiums or penalty and any other amounts of non-cash interest (including as a result of the effects of acquisition method accounting or pushdown accounting), and (viii)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IFRS minus (b) cash interest income of Bidco and the Restricted Subsidiaries earned during such period, in each case as determined in accordance with IFRS. </w:t>
      </w:r>
    </w:p>
    <w:p>
      <w:pPr>
        <w:pStyle w:val="TextBody"/>
        <w:bidi w:val="0"/>
        <w:spacing w:before="240" w:after="0"/>
        <w:jc w:val="left"/>
        <w:rPr/>
      </w:pPr>
      <w:r>
        <w:rPr/>
        <w:t>“</w:t>
      </w:r>
      <w:r>
        <w:rPr>
          <w:rFonts w:ascii="Times New Roman" w:hAnsi="Times New Roman"/>
          <w:sz w:val="20"/>
          <w:u w:val="single"/>
        </w:rPr>
        <w:t>Consolidated Depreciation and Amortization Expense</w:t>
      </w:r>
      <w:r>
        <w:rPr>
          <w:rFonts w:ascii="Times New Roman" w:hAnsi="Times New Roman"/>
          <w:sz w:val="20"/>
        </w:rPr>
        <w:t xml:space="preserve">” means with respect to any Person for any period, the total amount of depreciation and amortization expense for such period, including the amortization of deferred financing fees, debt issuance costs, commissions, fees and expenses and Capitalized Software Expenditures of such Person and its Restricted Subsidiaries for such period (including such expense attributable to held-for-sale discontinued operations) determined on a consolidated basis and otherwise determined in accordance with IFRS.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the following, in each case, to the extent deducted (and not added back) in arriving at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Taxes paid (including pursuant to any Tax sharing arrangements) and provisions for Taxes of such Person and its Restricted Subsidiaries, including, in each case federal, state, provincial, local, foreign, unitary, franchise, excise, property, withholding, use and similar Taxes, including any penalties and interest, plus, without duplication, Tax Distributions paid or accrued during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Fixed Charges of such Person for such period (including (1) premium payments, debt discount, fees, charges and related expenses incurred in connection with borrowed money (including capitalized interest) or in connection with the deferred purchase price of assets, (2) the portion of rent expense with respect to such period under Capitalized Lease Obligations that is treated as interest expense in accordance with IFRS, (3) the implied interest component of synthetic leases with respect to such period, (4) net losses on Hedging Obligations or other derivative instruments entered into for the purpose of hedging interest rate risk, net of interest income and gains with respect to such obligations plus bank fees, (5) bank and letter of credit fees and costs of surety bonds in connection with financing activities, and (6) any commissions, discounts, yield and other fees and charges (including any interest expense) related to any Receivables Facility, in each case, to the extent included in Fixed Charges), together with items excluded from the definition of “Consolidated Interest Expense” pursuant to clauses 1(o) through 1(z) thereof;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Consolidated Depreciation and Amortization Expense of such Person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expenses or charges (other than depreciation or amortization expense) related to any Equity Offering, Permitted Investment, Restricted Payment, acquisition, disposition, recapitalization or the incurrence of Indebtedness (and any amendment or modification to any such transaction) (including a refinancing thereof) (whether or not successful), including (i) such fees, expenses or charges related to the incurrence of the Loans hereunder and all Transaction Costs, (ii) such fees, expenses, or charges related to the Loan Documents and any other credit facilities, or debt issuances and (iii) any amendment or other modification of the Loans hereunder, or other indebtedness;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Effective Date, project startup costs and costs related to the closure and/or consolidation of facilities, in each case, whether or not classified as restructuring expense on the consolidated financial statements;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other non-cash charges, including, without limitation, any write offs or write downs, reducing Consolidated Net Income for such period; </w:t>
      </w:r>
      <w:r>
        <w:rPr>
          <w:rFonts w:ascii="Times New Roman" w:hAnsi="Times New Roman"/>
          <w:sz w:val="20"/>
          <w:u w:val="single"/>
        </w:rPr>
        <w:t>provided</w:t>
      </w:r>
      <w:r>
        <w:rPr>
          <w:rFonts w:ascii="Times New Roman" w:hAnsi="Times New Roman"/>
          <w:sz w:val="20"/>
        </w:rPr>
        <w:t xml:space="preserv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r>
        <w:rPr>
          <w:rFonts w:ascii="Times New Roman" w:hAnsi="Times New Roman"/>
          <w:sz w:val="20"/>
          <w:u w:val="single"/>
        </w:rPr>
        <w:t xml:space="preserve"> 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amount of any non-controlling interest expense consisting of income attributable to non-controlling interests of third parties in any Non-Wholly Owned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the amount of board of directors fees and management, monitoring, consulting, advisory fees and other fees (including termination and transaction fees), indemnities and related expenses paid or accrued in such period under the Sponsor Management Agreement or otherwise to (or on behalf of) the Investors (including any termination fees payable in connection with the early termination of management and monitoring agreements) to the extent otherwise permitted under</w:t>
      </w:r>
      <w:r>
        <w:rPr>
          <w:rFonts w:ascii="Times New Roman" w:hAnsi="Times New Roman"/>
          <w:sz w:val="20"/>
          <w:u w:val="single"/>
        </w:rPr>
        <w:t xml:space="preserve"> Section 5.17</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(x) start-up fees, losses, costs, charges, expenses or payments incurred in the first twelve (12) months following the commitment to open a new facility with respect to the prospecting, opening, and organizing of any new facility (including, but not limited to, the cost of feasibility studies, staff-training and recruiting costs, advertising and marketing costs, rental or mortgage costs, compensation costs, insurance costs, travel costs and other employee related costs and expenses for employees engaged in such startup activities), (y) operating losses of new facilities (including, but not limited to, allocation of corporate overhead expenses) incurred in the first twelve (12) months following the opening of such new facility and (z) expenses relating to any remodeling costs attributable to any existing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losses on dispositions of accounts receivable, Receivables Assets and related assets incurred in connection with a Receivables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any costs or expense incurred by Bidco or a Restricted Subsidiary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Bidco or net cash proceeds of an issuance of Equity Interest of Bidco (other than Disqualified Equity Interests) solely to the extent that such net cash proceeds are excluded from the calculation set forth in </w:t>
      </w:r>
      <w:r>
        <w:rPr>
          <w:rFonts w:ascii="Times New Roman" w:hAnsi="Times New Roman"/>
          <w:sz w:val="20"/>
          <w:u w:val="single"/>
        </w:rPr>
        <w:t>Section 6.05(a)(A)(2)</w:t>
      </w:r>
      <w:r>
        <w:rPr>
          <w:rFonts w:ascii="Times New Roman" w:hAnsi="Times New Roman"/>
          <w:sz w:val="20"/>
        </w:rPr>
        <w:t xml:space="preserve"> hereof;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IAS 19, 26 and 37, and any other items of a similar nature;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operating expenses incurred on or prior to the Effective Date attributable to (A) salary obligations paid to employees terminated prior to the Effective Date and (B) wages paid to executives in excess of the amounts the Company and its Subsidiaries are required to pay pursuant to any employment agreements;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any net loss from discontinued operations;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cash receipts (or any netting arrangements resulting in reduced cash expenditures) not representing Consolidated EBITDA or Consolidated Net Income in any period to the extent non cash gains relating to such income were deducted in the calculation of Consolidated EBITDA pursuant to clause (3) below for any previous period and not added back;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any loss relating to amounts paid in cash prior to the stated settlement date of any hedging obligation that has been reflected in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any gain relating to hedging obligations associated with transactions realized in the current period that has been reflected in Consolidated Net Income in prior periods and excluded from Consolidated EBITDA pursuant to clauses (3)(c) and (3)(d) below;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the amount of expenses relating to payments made to option holders of any direct or indirect parent company of Bidco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earn-out and contingent consideration obligations (including to the extent accounted for as bonuses or otherwise) and adjustments thereof and purchase price adjustments, in each case in connection with acquisitions or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 Public Company Costs;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“run rate” cost savings, operating expense reductions, other operating improvements, revenue enhancements and synergies related to any Specified Transaction, the Transactions, any restructuring, cost saving initiative or other initiative projected by Bidco in good faith to be realized as a result of actions taken, committed to be taken or planned to be taken, in each case on or prior to the date that is 24 months after the end of the relevant period (including actions initiated prior to the Effective Date) (which cost savings, operating expense reductions, other operating improvements, revenue enhancements and synergies shall be added to Consolidated EBITDA until fully realized and calculated on a Pro Forma Basis as though such cost savings, operating expense reductions, other operating improvements, revenue enhancements and synergies had been realized on the first day of the relevant period), net of the amount of actual benefits realized from such actions; </w:t>
      </w:r>
      <w:r>
        <w:rPr>
          <w:rFonts w:ascii="Times New Roman" w:hAnsi="Times New Roman"/>
          <w:sz w:val="20"/>
          <w:u w:val="single"/>
        </w:rPr>
        <w:t>provided</w:t>
      </w:r>
      <w:r>
        <w:rPr>
          <w:rFonts w:ascii="Times New Roman" w:hAnsi="Times New Roman"/>
          <w:sz w:val="20"/>
        </w:rPr>
        <w:t xml:space="preserve"> that (A) such cost savings, operating expense reductions, other operating improvements, revenue enhancements and synergies are reasonably identifiable and quantifiable and (B) no cost savings, operating expense reductions, other operating improvements, revenue enhancements or synergies shall be added pursuant to this clause (a) to the extent duplicative of any expenses or charges relating to such cost savings, operating expense reductions, other operating improvements, revenue enhancements or synergies that are included in any other clause of this definition or in the definition of “Pro Forma Adjustment” (it being understood and agreed that “run rate” shall mean the full recurring benefit that is associated with any action taken);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aggregate amount of “run rate” cost savings, operating expense reductions, other operating improvements, revenue enhancements and synergies related to any Specified Transaction, any restructuring, cost saving initiative or other initiative added pursuant to this clause (a) shall not exceed 25% of Consolidated EBITDA (calculated after giving effect to any addback under this clause (a) for any Test Period);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other add-backs and adjustments of the type reflected in the Model and the Information Memorandum;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adjustments consistent with Regulation S-X or contained in a quality of earnings report in connection with a Permitted Acquisition or Investment made available to the Administrative Agent conducted by financial advisors (which are either nationally recognized or reasonably acceptable to the Administrative Agent (it being understood and agreed that any of the “Big Four” accounting firms are acceptable));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reasonably identifiable and factually supportable “run-rate” Consolidated EBITDA (calculated on a pre-tax basis) that is projected by Bidco in good faith to be derived from New Contracts (calculated on a Pro Forma Basis as though such Consolidated EBITDA had been realized on the first day of such period) within 36 months of the entry into such New Contract net of the amount of actual earnings realized prior to or during such period from such New Contracts and without giving any benefit for any period after the termination of such New Contract;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amount of reasonably identifiable and factually supportable “run-rate” Consolidated EBITDA (calculated on a pre-tax basis) that is projected by Bidco in good faith to be derived from any anticipated revenue enhancements from the launch of new satellites (calculated on a Pro Forma Basis as though such revenue enhancements had been realized on the first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(3) decreased (without duplication) by the following, in each case, to the extent included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non-cash gains increasing Consolidated Net Income of such Person for such period, excluding any non-cash gains to the extent they represent the reversal of an accrual or reserve for a potential cash item that reduced Consolidated EBITDA in any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any non-controlling interest consisting of loss attributable to non-controlling interests of third parties in any Non-Wholly Owned Subsidiaries;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any gain relating to amounts received in cash prior to the stated settlement date of any hedging obligation that has been reflected in Consolidated Net Income in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(d) any loss relating to hedging obligations associated with transactions realized in the current period that has been reflected in Consolidated Net Income in prior periods and excluded from Consolidated EBITDA pursuant to clauses (1)(p) and (1)(q) above; </w:t>
      </w:r>
    </w:p>
    <w:p>
      <w:pPr>
        <w:pStyle w:val="TextBody"/>
        <w:bidi w:val="0"/>
        <w:spacing w:before="120" w:after="0"/>
        <w:jc w:val="left"/>
        <w:rPr>
          <w:rFonts w:ascii="Times New Roman" w:hAnsi="Times New Roman"/>
          <w:sz w:val="20"/>
        </w:rPr>
      </w:pPr>
      <w:r>
        <w:rPr>
          <w:rFonts w:ascii="Times New Roman" w:hAnsi="Times New Roman"/>
          <w:sz w:val="20"/>
        </w:rPr>
        <w:t xml:space="preserve">(4) 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(3) above if it were income of Bidco or any of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 above if it were a loss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(6) increased by an amount, with respect to investments recorded using the equity method of accounting or the cost method of accounting and without duplication of any amounts added pursuant to clause (4) above, equal to the amount attributable to each such investment that would be added to Consolidated EBITDA pursuant to clause (1) above if instead attributable to Bidco or a Subsidiary, pro-rated according to Bidco’s or the applicable Subsidiary’s percentage ownership in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(7) decreased by an amount, with respect to investments recorded using the equity method of accounting or the cost method of accounting and without duplication of any amounts deducted pursuant to clause (5) above, equal to the amount attributable to each such investment that would be deducted from Consolidated EBITDA pursuant to clause (3) above if instead attributable to Bidco or a Subsidiary, pro-rated according to Bidco’s or the applicable Subsidiary’s percentage ownership in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in each case, as determined on a consolidated basis for such Person in accordance with IFRS;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included in Consolidated Net Income, there shall be excluded in determining Consolidated EBITDA for any period any adjustments resulting from the application of IFRS 9, </w:t>
      </w:r>
    </w:p>
    <w:p>
      <w:pPr>
        <w:pStyle w:val="TextBody"/>
        <w:bidi w:val="0"/>
        <w:spacing w:before="120" w:after="0"/>
        <w:jc w:val="left"/>
        <w:rPr>
          <w:rFonts w:ascii="Times New Roman" w:hAnsi="Times New Roman"/>
          <w:sz w:val="20"/>
        </w:rPr>
      </w:pPr>
      <w:r>
        <w:rPr>
          <w:rFonts w:ascii="Times New Roman" w:hAnsi="Times New Roman"/>
          <w:sz w:val="20"/>
        </w:rPr>
        <w:t>(III) 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Bidco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hAnsi="Times New Roman"/>
          <w:sz w:val="20"/>
          <w:u w:val="single"/>
        </w:rPr>
        <w:t>Acquired Entity or Business</w:t>
      </w:r>
      <w:r>
        <w:rPr>
          <w:rFonts w:ascii="Times New Roman" w:hAnsi="Times New Roman"/>
          <w:sz w:val="20"/>
        </w:rPr>
        <w:t>”), and the Acquired EBITDA of any Unrestricted Subsidiary that is converted into a Restricted Subsidiary during such period (each, a “</w:t>
      </w:r>
      <w:r>
        <w:rPr>
          <w:rFonts w:ascii="Times New Roman" w:hAnsi="Times New Roman"/>
          <w:sz w:val="20"/>
          <w:u w:val="single"/>
        </w:rPr>
        <w:t>Converted Restricted Subsidiary</w:t>
      </w:r>
      <w:r>
        <w:rPr>
          <w:rFonts w:ascii="Times New Roman" w:hAnsi="Times New Roman"/>
          <w:sz w:val="20"/>
        </w:rPr>
        <w:t xml:space="preserve">”),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certificate delivered to the Administrative Agent (for further delivery to the Lenders);</w:t>
      </w:r>
      <w:r>
        <w:rPr>
          <w:rFonts w:ascii="Times New Roman" w:hAnsi="Times New Roman"/>
          <w:sz w:val="20"/>
          <w:u w:val="single"/>
        </w:rPr>
        <w:t xml:space="preserve"> provided</w:t>
      </w:r>
      <w:r>
        <w:rPr>
          <w:rFonts w:ascii="Times New Roman" w:hAnsi="Times New Roman"/>
          <w:sz w:val="20"/>
        </w:rPr>
        <w:t xml:space="preserve"> that with respect to any determination to be made on a Pro Forma Basis, at the election of Bidco, such Acquired EBITDA or such adjustment shall not be required to be included for any Pro Forma Entity to the extent the aggregate consideration paid in connection with the acquisition of such Acquired Entity or Business or the fair market value of such Converted Restricted Subsidiary, in the aggregate, is less than $375,000,000; </w:t>
      </w:r>
    </w:p>
    <w:p>
      <w:pPr>
        <w:pStyle w:val="TextBody"/>
        <w:bidi w:val="0"/>
        <w:spacing w:before="120" w:after="0"/>
        <w:jc w:val="left"/>
        <w:rPr>
          <w:rFonts w:ascii="Times New Roman" w:hAnsi="Times New Roman"/>
          <w:sz w:val="20"/>
        </w:rPr>
      </w:pPr>
      <w:r>
        <w:rPr>
          <w:rFonts w:ascii="Times New Roman" w:hAnsi="Times New Roman"/>
          <w:sz w:val="20"/>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IFRS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w:t>
      </w:r>
      <w:r>
        <w:rPr>
          <w:rFonts w:ascii="Times New Roman" w:hAnsi="Times New Roman"/>
          <w:sz w:val="20"/>
          <w:u w:val="single"/>
        </w:rPr>
        <w:t>i.e.</w:t>
      </w:r>
      <w:r>
        <w:rPr>
          <w:rFonts w:ascii="Times New Roman" w:hAnsi="Times New Roman"/>
          <w:sz w:val="20"/>
        </w:rPr>
        <w:t>, if such Disposed EBITDA is negative, it shall be added back in determining Consolidated EBITDA for any period)) by Bidco or any Restricted Subsidiary during such period (each such Person, property, business or asset so sold, transferred or otherwise disposed of, closed or classified, a “</w:t>
      </w:r>
      <w:r>
        <w:rPr>
          <w:rFonts w:ascii="Times New Roman" w:hAnsi="Times New Roman"/>
          <w:sz w:val="20"/>
          <w:u w:val="single"/>
        </w:rPr>
        <w:t>Sold Entity or Business</w:t>
      </w:r>
      <w:r>
        <w:rPr>
          <w:rFonts w:ascii="Times New Roman" w:hAnsi="Times New Roman"/>
          <w:sz w:val="20"/>
        </w:rPr>
        <w:t>”), and the Disposed EBITDA of any Restricted Subsidiary that is converted into an Unrestricted Subsidiary during such period (each, a “</w:t>
      </w:r>
      <w:r>
        <w:rPr>
          <w:rFonts w:ascii="Times New Roman" w:hAnsi="Times New Roman"/>
          <w:sz w:val="20"/>
          <w:u w:val="single"/>
        </w:rPr>
        <w:t>Converted Unrestricted Subsidiary</w:t>
      </w:r>
      <w:r>
        <w:rPr>
          <w:rFonts w:ascii="Times New Roman" w:hAnsi="Times New Roman"/>
          <w:sz w:val="20"/>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included in Consolidated Net Income, there shall be excluded in determining Consolidated EBITDA any expense (or income) as a result of adjustments recorded to contingent consideration liabilities relating to the Transactions or any Permitted Acquisition (or other Investment not prohibited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Consolidated EBITDA shall be deemed to equal (a) $189.95 million for the fiscal quarter ended September 30, 2018, (b) $174.05 million for the fiscal quarter ended December 31, 2018, (c) $188.85 million for the fiscal quarter ended March 31, 2019 and (d) $200.60 million for the fiscal quarter ended June 30, 2019 (it being understood that such amounts are subject to adjustments, as and to the extent otherwise contemplated in this Agreement, in connection with any Pro Forma Adjustment or any calculation on a Pro Forma Basis); </w:t>
      </w:r>
      <w:r>
        <w:rPr>
          <w:rFonts w:ascii="Times New Roman" w:hAnsi="Times New Roman"/>
          <w:sz w:val="20"/>
          <w:u w:val="single"/>
        </w:rPr>
        <w:t>provided</w:t>
      </w:r>
      <w:r>
        <w:rPr>
          <w:rFonts w:ascii="Times New Roman" w:hAnsi="Times New Roman"/>
          <w:sz w:val="20"/>
        </w:rPr>
        <w:t xml:space="preserve"> that such amounts of Consolidated EBITDA for any such fiscal quarter shall be adjusted to include, without duplication, any cost savings that would otherwise be included pursuant to clause (1)(i) of this definition.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with respect to any Person for any period,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IFRS),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interest component of Capitalized Lease Obligations, and (v) net payments, if any, pursuant to interest rate Hedging Obligations with respect to Indebtedness, and excluding (o) all non-recurring cash interest expense consisting of liquidated damages for failure to timely comply with registration rights obligations, (p) any interest expense attributable to the exercise of appraisal rights and the settlement of any claims or actions (whether actual, contingent or potential) with respect thereto and with respect to any Investment, (q) any prepayment premium or penalty, (r) costs associated with obtaining Hedging Obligations and breakage costs in respect of Hedging Obligations related to interest rates, (s) any accretion of accrued interest on discounted liabilities (other than Indebtedness except to the extent arising from the application of purchase accounting), (t) penalties and interest relating to Taxes, (u) accretion or accrual of discounted liabilities not constituting Indebtedness, (v) any expense resulting from the discounting of Indebtedness in connection with the application of recapitalization or purchase accounting, (w) any “additional interest” with respect to debt securities, (x) [reserved], (y) any amortization or expensing of bridge, commitment and other financing fees and (z) commissions, discounts, yield and other fees and charges (including any interest expense) related to any Receivables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consolidated capitalized interest of such Person and its Restricted Subsidiaries for such period, whether paid or accrued;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interest income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interest on a Capitalized Lease Obligation shall be deemed to accrue at an interest rate reasonably determined by such Person to be the rate of interest implicit in such Capitalized Lease Obligation in accordance with IFRS.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means, with respect to any Person for any period, the aggregate of the Net Income, of such Person and its Restricted Subsidiaries for such period, on a consolidated basis, and otherwise determined in accordance with IFRS;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extraordinary, non-recurring or unusual gains or losses (less all fees and expenses relating thereto) or expenses (including the Transaction Costs or any multi-year strategic cost-saving initiatives, any unusual or non-recurring operating expenses directly attributable to the implementation of cost savings initiatives and any accruals or reserves in respect of any extraordinary, non-recurring or unusual items), severance, relocation costs, integration and facilities’ opening costs and other business optimization expenses (including related to new product introductions), recruiting fees, restructuring charges, accruals or reserves (including restructuring and integration costs related to acquisitions after the Effective Date and adjustments to existing reserves), whether or not classified as restructuring expense on the consolidated financial statements,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cumulative effect of a change in accounting principles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(3) any income (loss) from disposed, abandoned or discontinued operations and any gains or losses on disposal of disposed, abandoned or discontinued operations shall be excluded (but if such operations are classified as discontinued due to the fact that they are subject to an agreement to dispose of such operations, only when and to the extent such operations are actually disposed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any gains or losses (less all fees and expenses relating thereto) attributable to asset dispositions, disposals or abandonments other than in the ordinary course of business, as determined in good faith by Bidco,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the Net Income for such period of any Person that is an Unrestricted Subsidiary, or any Person that is not a Subsidiary or that is accounted for by the equity method of accounting, shall be excluded; </w:t>
      </w:r>
      <w:r>
        <w:rPr>
          <w:rFonts w:ascii="Times New Roman" w:hAnsi="Times New Roman"/>
          <w:sz w:val="20"/>
          <w:u w:val="single"/>
        </w:rPr>
        <w:t>provided</w:t>
      </w:r>
      <w:r>
        <w:rPr>
          <w:rFonts w:ascii="Times New Roman" w:hAnsi="Times New Roman"/>
          <w:sz w:val="20"/>
        </w:rPr>
        <w:t xml:space="preserve"> 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(6) solely for the purpose of determining the amount available for Restricted Payments under </w:t>
      </w:r>
      <w:r>
        <w:rPr>
          <w:rFonts w:ascii="Times New Roman" w:hAnsi="Times New Roman"/>
          <w:sz w:val="20"/>
          <w:u w:val="single"/>
        </w:rPr>
        <w:t>Section 6.05(a)(A)(1)</w:t>
      </w:r>
      <w:r>
        <w:rPr>
          <w:rFonts w:ascii="Times New Roman" w:hAnsi="Times New Roman"/>
          <w:sz w:val="20"/>
        </w:rPr>
        <w:t xml:space="preserve"> 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 restrictions that have been waived or otherwise released, (b) restrictions pursuant to the Loan Documents or this Agreement and (c) restrictions specified in clause (xviii) of </w:t>
      </w:r>
      <w:r>
        <w:rPr>
          <w:rFonts w:ascii="Times New Roman" w:hAnsi="Times New Roman"/>
          <w:sz w:val="20"/>
          <w:u w:val="single"/>
        </w:rPr>
        <w:t>Section 6.06(b)</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that Consolidated Net Income of Bidco shall be increased by the amount of dividends or other distributions or other payments actually paid in cash (or to the extent converted into cash) or Cash Equivalents to Bidco or a Restricted Subsidiary thereof in respect of such period, to the extent not already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(7) effects of adjustments (including the effects of such adjustments pushed down to Bidco and its Restricted Subsidiaries) in the inventory, property and equipment, software, goodwill, other intangible assets, in-process research and development, deferred revenue, debt line items and other non-cash charges in such Person’s consolidated financial statements pursuant to IFRS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(8) any income (loss) from the early extinguishment or conversion of (a) Indebtedness, (b) Hedging Obligations or (c)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(9)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IFRS, and the amortization of intangibles arising pursuant to IFRS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(10) (i) 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any cash charges associated with the rollover, acceleration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payout of Equity Interests by management of Bidco or any of its direct or indirect parent companies in connection with the Transactions and (iv) the amount of any expense required to be recorded as compensation expense related to contingent transaction consideration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(11) any fees, expenses (including any transaction or retention bonus or similar payment) or charges incurred during such period, or any amortization thereof for such period, in connection with any acquisition, non-recurring costs to acquire equipment to the extent not capitalized in accordance with IFRS, Investment (including Investments in the form of Recruitment Notes and associated fees and expenses paid to recruiters in connection therewith), recapitalization, asset disposition, non-competition agreement, issuance, incurrence or repayment of Indebtedness (including such fees, expenses or charges related to the offering of the Loans) issuance of Equity Interests, refinancing transaction or amendment or modification of or waiver or consent relating to any debt instrument (including the obligations under this Agreement and the other Loan Documents) and including, in each case, without limitation,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IFRS),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(12) accruals and reserves that are established or adjusted as a result of the Transactions or an Investment permitted under this Agreement in accordance with IFRS (including any adjustment of estimated payouts on earn-outs), or changes as a result of the adoption or modification of accounting policies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(13) any expenses, charges, lost profits or losses that are covered by indemnification, insurance or other reimbursement provisions in connection with the Transactions, any investment, acquisition or any sale, conveyance, transfer or other disposition of assets permitted under this Agreement, to the extent actually reimbursed, or, so long as Bidco has made a determination that a reasonable basis exists for indemnification, insurance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(14) to the extent covered by insurance and actually reimbursed, or, so long as Bidco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(15) any net pension costs or other post-employment benefit costs representing amortization of unrecognized prior service costs, actuarial losses, including amortization of such amounts arising in prior periods, amortization of the unrecognized net obligation (and loss or cost), and any other non-cash items of a similar nature,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(16) any Transaction Costs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any income (loss) from Investments recorded using the equity method of accounting (but including any cash dividends or distributions actually received by Bidco or any Restricted Subsidiary in respect of such investment)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(18) the following items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(a) any non-cash gain or loss (after any offset) attributable to the mark to market movement in the valuation of Hedging Obligations or other derivative instruments pursuant to IFRS 9 or mark to market movement of other financial instruments pursuant to IFRS 9 shall be excluded; </w:t>
      </w:r>
      <w:r>
        <w:rPr>
          <w:rFonts w:ascii="Times New Roman" w:hAnsi="Times New Roman"/>
          <w:sz w:val="20"/>
          <w:u w:val="single"/>
        </w:rPr>
        <w:t>provided</w:t>
      </w:r>
      <w:r>
        <w:rPr>
          <w:rFonts w:ascii="Times New Roman" w:hAnsi="Times New Roman"/>
          <w:sz w:val="20"/>
        </w:rPr>
        <w:t xml:space="preserve"> that any cash payments or receipts relating to transactions realized in a given period shall be taken into account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(b) any non-cash gain or loss (after any offset) from currency translation and transaction gains or losses including those related to currency remeasurements of Indebtedness (including any net gain or loss resulting from hedging agreements for currency exchange risk and revaluations of intercompany balances) any other monetary assets and liabilities; and </w:t>
      </w:r>
    </w:p>
    <w:p>
      <w:pPr>
        <w:pStyle w:val="TextBody"/>
        <w:bidi w:val="0"/>
        <w:spacing w:before="120" w:after="0"/>
        <w:jc w:val="left"/>
        <w:rPr>
          <w:rFonts w:ascii="Times New Roman" w:hAnsi="Times New Roman"/>
          <w:sz w:val="20"/>
        </w:rPr>
      </w:pPr>
      <w:r>
        <w:rPr>
          <w:rFonts w:ascii="Times New Roman" w:hAnsi="Times New Roman"/>
          <w:sz w:val="20"/>
        </w:rPr>
        <w:t>(19) any non-cash expenses, accruals or reserves related to adjustments to historical tax exposures (</w:t>
      </w:r>
      <w:r>
        <w:rPr>
          <w:rFonts w:ascii="Times New Roman" w:hAnsi="Times New Roman"/>
          <w:sz w:val="20"/>
          <w:u w:val="single"/>
        </w:rPr>
        <w:t>provided</w:t>
      </w:r>
      <w:r>
        <w:rPr>
          <w:rFonts w:ascii="Times New Roman" w:hAnsi="Times New Roman"/>
          <w:sz w:val="20"/>
        </w:rPr>
        <w:t xml:space="preserve">, in each case, that the cash payment in respect thereof in such future period shall be subtracted from Consolidated Net Income for the period in which such cash payment was made)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purpose of </w:t>
      </w:r>
      <w:r>
        <w:rPr>
          <w:rFonts w:ascii="Times New Roman" w:hAnsi="Times New Roman"/>
          <w:sz w:val="20"/>
          <w:u w:val="single"/>
        </w:rPr>
        <w:t>Section 6.05</w:t>
      </w:r>
      <w:r>
        <w:rPr>
          <w:rFonts w:ascii="Times New Roman" w:hAnsi="Times New Roman"/>
          <w:sz w:val="20"/>
        </w:rPr>
        <w:t xml:space="preserve"> hereof only (other than clause (A)(4) of </w:t>
      </w:r>
      <w:r>
        <w:rPr>
          <w:rFonts w:ascii="Times New Roman" w:hAnsi="Times New Roman"/>
          <w:sz w:val="20"/>
          <w:u w:val="single"/>
        </w:rPr>
        <w:t>Section 6.05(a)</w:t>
      </w:r>
      <w:r>
        <w:rPr>
          <w:rFonts w:ascii="Times New Roman" w:hAnsi="Times New Roman"/>
          <w:sz w:val="20"/>
        </w:rPr>
        <w:t xml:space="preserve">), there shall be excluded from Consolidated Net Income any income arising from any sale or other disposition of Restricted Investments made by Bidco and its Restricted Subsidiaries, any repurchases and redemptions of Restricted Investments from Bidco and its Restricted Subsidiaries, any repayments of loans and advances which constitute Restricted Investments by Bidco or any of its Restricted Subsidiaries, any sale or other disposition of the stock of an Unrestricted Subsidiary or any distribution or dividend from an Unrestricted Subsidiary, in each case only to the extent such amounts increase the amount of Restricted Payments permitted under </w:t>
      </w:r>
      <w:r>
        <w:rPr>
          <w:rFonts w:ascii="Times New Roman" w:hAnsi="Times New Roman"/>
          <w:sz w:val="20"/>
          <w:u w:val="single"/>
        </w:rPr>
        <w:t>Section 6.05(a)(A)(4)</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Consolidated Senior Secured First Lien Indebtedness</w:t>
      </w:r>
      <w:r>
        <w:rPr>
          <w:rFonts w:ascii="Times New Roman" w:hAnsi="Times New Roman"/>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on an equal priority basis with Liens on the Collateral securing the Loan Document Obligations (including, for avoidance of doubt, the Loan Document Obligations), determined on a consolidated basis in accordance with IFRS. </w:t>
      </w:r>
    </w:p>
    <w:p>
      <w:pPr>
        <w:pStyle w:val="TextBody"/>
        <w:bidi w:val="0"/>
        <w:spacing w:before="240" w:after="0"/>
        <w:jc w:val="left"/>
        <w:rPr/>
      </w:pPr>
      <w:r>
        <w:rPr/>
        <w:t>“</w:t>
      </w:r>
      <w:r>
        <w:rPr>
          <w:rFonts w:ascii="Times New Roman" w:hAnsi="Times New Roman"/>
          <w:sz w:val="20"/>
          <w:u w:val="single"/>
        </w:rPr>
        <w:t>Consolidated Senior Secured Indebtedness</w:t>
      </w:r>
      <w:r>
        <w:rPr>
          <w:rFonts w:ascii="Times New Roman" w:hAnsi="Times New Roman"/>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determined on a consolidated basis in accordance with IFRS.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Total Indebtedness</w:t>
      </w:r>
      <w:r>
        <w:rPr>
          <w:rFonts w:ascii="Times New Roman" w:hAnsi="Times New Roman"/>
          <w:sz w:val="20"/>
        </w:rPr>
        <w:t xml:space="preserve">” means, as of any date of determination, the aggregate amount of Indebtedness of Bidco and the Restricted Subsidiaries outstanding on such date, determined on a consolidated basis in accordance with IFRS (but excluding the effects of any discounting of Indebtedness resulting from the application of the acquisition method accounting in connection with the Transactions or any Permitted Acquisition (or other Investment not prohibited hereunder)) and consisting only of Indebtedness for borrowed money, drawn obligations under letters of credit that have not been reimbursed after two (2) Business Days, Capitalized Lease Obligations and debt obligations evidenced by promissory notes or similar instruments, but excluding any obligations under or in respect of Receivables Facilities and excluding outstanding Revolving Loans used to finance seasonal working capital needs of Bidco and its Subsidiaries (as reasonably determined by Bidco in its reasonable discretion), </w:t>
      </w:r>
      <w:r>
        <w:rPr>
          <w:rFonts w:ascii="Times New Roman" w:hAnsi="Times New Roman"/>
          <w:sz w:val="20"/>
          <w:u w:val="single"/>
        </w:rPr>
        <w:t>minus</w:t>
      </w:r>
      <w:r>
        <w:rPr>
          <w:rFonts w:ascii="Times New Roman" w:hAnsi="Times New Roman"/>
          <w:sz w:val="20"/>
        </w:rPr>
        <w:t xml:space="preserve"> the aggregate amount of cash and Cash Equivalents (in each case, free and clear of all liens, other than Liens permitted pursuant to </w:t>
      </w:r>
      <w:r>
        <w:rPr>
          <w:rFonts w:ascii="Times New Roman" w:hAnsi="Times New Roman"/>
          <w:sz w:val="20"/>
          <w:u w:val="single"/>
        </w:rPr>
        <w:t>Section 6.02</w:t>
      </w:r>
      <w:r>
        <w:rPr>
          <w:rFonts w:ascii="Times New Roman" w:hAnsi="Times New Roman"/>
          <w:sz w:val="20"/>
        </w:rPr>
        <w:t xml:space="preserve">), excluding cash and Cash Equivalents that are listed as “restricted” on the consolidated balance sheet of Bidco and the Restricted Subsidiaries as of such date, but including cash and Cash Equivalents subject to a Permitted Lien (which may also secure other Indebtedness secured by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lien on the Collateral along with the Secured Obligations). </w:t>
      </w:r>
    </w:p>
    <w:p>
      <w:pPr>
        <w:pStyle w:val="TextBody"/>
        <w:bidi w:val="0"/>
        <w:spacing w:before="240" w:after="0"/>
        <w:jc w:val="left"/>
        <w:rPr/>
      </w:pPr>
      <w:r>
        <w:rPr/>
        <w:t>“</w:t>
      </w:r>
      <w:r>
        <w:rPr>
          <w:rFonts w:ascii="Times New Roman" w:hAnsi="Times New Roman"/>
          <w:sz w:val="20"/>
          <w:u w:val="single"/>
        </w:rPr>
        <w:t>Consolidated Working Capital</w:t>
      </w:r>
      <w:r>
        <w:rPr>
          <w:rFonts w:ascii="Times New Roman" w:hAnsi="Times New Roman"/>
          <w:sz w:val="20"/>
        </w:rPr>
        <w:t xml:space="preserve">” means, at any date, the excess of (a) the sum of all amounts (other than cash and Cash Equivalents) that would, in conformity with IFRS, be set forth opposite the caption “total current assets” (or any like caption) on a consolidated balance sheet of Bidco and the Restricted Subsidiaries at such date, excluding the current portion of deferred income taxes </w:t>
      </w:r>
      <w:r>
        <w:rPr>
          <w:rFonts w:ascii="Times New Roman" w:hAnsi="Times New Roman"/>
          <w:sz w:val="20"/>
          <w:u w:val="single"/>
        </w:rPr>
        <w:t>over</w:t>
      </w:r>
      <w:r>
        <w:rPr>
          <w:rFonts w:ascii="Times New Roman" w:hAnsi="Times New Roman"/>
          <w:sz w:val="20"/>
        </w:rPr>
        <w:t xml:space="preserve"> (b) the sum of all amounts that would, in conformity with IFRS, be set forth opposite the caption “total current liabilities” (or any like caption) on a consolidated balance sheet of Bidco and the Restricted Subsidiaries on such date, including deferred revenue but excluding, without duplication, (i) the current portion of any Funded Debt, (ii) all Indebtedness consisting of Loans, Senior Secured Notes and obligations under Letters of Credit to the extent otherwise included therein, (iii) the current portion of interest and (iv) the current portion of current and deferred income taxes; </w:t>
      </w:r>
      <w:r>
        <w:rPr>
          <w:rFonts w:ascii="Times New Roman" w:hAnsi="Times New Roman"/>
          <w:sz w:val="20"/>
          <w:u w:val="single"/>
        </w:rPr>
        <w:t>provided</w:t>
      </w:r>
      <w:r>
        <w:rPr>
          <w:rFonts w:ascii="Times New Roman" w:hAnsi="Times New Roman"/>
          <w:sz w:val="20"/>
        </w:rPr>
        <w:t xml:space="preserve"> that, for purposes of calculating Excess Cash Flow, increases or decreases in working capital (A) arising from acquisitions or dispositions by Bidco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IFRS of assets or liabilities, as applicable, between current and noncurrent or (z) the effects of acquisition method accounting. </w:t>
      </w:r>
    </w:p>
    <w:p>
      <w:pPr>
        <w:pStyle w:val="TextBody"/>
        <w:bidi w:val="0"/>
        <w:spacing w:before="240" w:after="0"/>
        <w:jc w:val="left"/>
        <w:rPr/>
      </w:pPr>
      <w:r>
        <w:rPr/>
        <w:t>“</w:t>
      </w:r>
      <w:r>
        <w:rPr>
          <w:rFonts w:ascii="Times New Roman" w:hAnsi="Times New Roman"/>
          <w:sz w:val="20"/>
          <w:u w:val="single"/>
        </w:rPr>
        <w:t>Contingent Obligations</w:t>
      </w:r>
      <w:r>
        <w:rPr>
          <w:rFonts w:ascii="Times New Roman" w:hAnsi="Times New Roman"/>
          <w:sz w:val="20"/>
        </w:rPr>
        <w:t xml:space="preserve">” means, with respect to any Person, any obligation of such Person guaranteeing any leases, dividends or other obligations that do not constitute Indebtedness (“primary obligations”) of any other Person (the “primary obligor”) in any manner, whether directly or indirectly, including, without limitation, any obligation of such Person, whether or not contingent, </w:t>
      </w:r>
    </w:p>
    <w:p>
      <w:pPr>
        <w:pStyle w:val="TextBody"/>
        <w:bidi w:val="0"/>
        <w:spacing w:before="24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24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24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maintain working capital or equity capital of the primary obligor or otherwise to maintain the net worth or solvency of the primary obligor, or </w:t>
      </w:r>
    </w:p>
    <w:p>
      <w:pPr>
        <w:pStyle w:val="TextBody"/>
        <w:bidi w:val="0"/>
        <w:spacing w:before="24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sz w:val="20"/>
          <w:u w:val="single"/>
        </w:rPr>
        <w:t>Contract Consideration</w:t>
      </w:r>
      <w:r>
        <w:rPr>
          <w:rFonts w:ascii="Times New Roman" w:hAnsi="Times New Roman"/>
          <w:sz w:val="20"/>
        </w:rPr>
        <w:t xml:space="preserve">” has the meaning assigned to such term in the definition of “Excess Cash Flow”. </w:t>
      </w:r>
    </w:p>
    <w:p>
      <w:pPr>
        <w:pStyle w:val="TextBody"/>
        <w:bidi w:val="0"/>
        <w:spacing w:before="240" w:after="0"/>
        <w:jc w:val="left"/>
        <w:rPr/>
      </w:pPr>
      <w:r>
        <w:rPr/>
        <w:t>“</w:t>
      </w:r>
      <w:r>
        <w:rPr>
          <w:rFonts w:ascii="Times New Roman" w:hAnsi="Times New Roman"/>
          <w:sz w:val="20"/>
          <w:u w:val="single"/>
        </w:rPr>
        <w:t>Contributed Holdings Investments</w:t>
      </w:r>
      <w:r>
        <w:rPr>
          <w:rFonts w:ascii="Times New Roman" w:hAnsi="Times New Roman"/>
          <w:sz w:val="20"/>
        </w:rPr>
        <w:t xml:space="preserve">” has the meaning assigned to such term in </w:t>
      </w:r>
      <w:r>
        <w:rPr>
          <w:rFonts w:ascii="Times New Roman" w:hAnsi="Times New Roman"/>
          <w:sz w:val="20"/>
          <w:u w:val="single"/>
        </w:rPr>
        <w:t>Section 6.05(b)(xv)(I)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hAnsi="Times New Roman"/>
          <w:sz w:val="20"/>
          <w:u w:val="single"/>
        </w:rPr>
        <w:t>Controlled</w:t>
      </w:r>
      <w:r>
        <w:rPr>
          <w:rFonts w:ascii="Times New Roman" w:hAnsi="Times New Roman"/>
          <w:sz w:val="20"/>
        </w:rPr>
        <w:t xml:space="preserve">” has the meaning correlative thereto. </w:t>
      </w:r>
    </w:p>
    <w:p>
      <w:pPr>
        <w:pStyle w:val="TextBody"/>
        <w:bidi w:val="0"/>
        <w:spacing w:before="240" w:after="0"/>
        <w:jc w:val="left"/>
        <w:rPr/>
      </w:pPr>
      <w:r>
        <w:rPr/>
        <w:t>“</w:t>
      </w:r>
      <w:r>
        <w:rPr>
          <w:rFonts w:ascii="Times New Roman" w:hAnsi="Times New Roman"/>
          <w:sz w:val="20"/>
          <w:u w:val="single"/>
        </w:rPr>
        <w:t>Controlled Investment Affiliate</w:t>
      </w:r>
      <w:r>
        <w:rPr>
          <w:rFonts w:ascii="Times New Roman" w:hAnsi="Times New Roman"/>
          <w:sz w:val="20"/>
        </w:rPr>
        <w:t xml:space="preserve">”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Bidco and/or other companies. </w:t>
      </w:r>
    </w:p>
    <w:p>
      <w:pPr>
        <w:pStyle w:val="TextBody"/>
        <w:bidi w:val="0"/>
        <w:spacing w:before="240" w:after="0"/>
        <w:jc w:val="left"/>
        <w:rPr/>
      </w:pPr>
      <w:r>
        <w:rPr/>
        <w:t>“</w:t>
      </w:r>
      <w:r>
        <w:rPr>
          <w:rFonts w:ascii="Times New Roman" w:hAnsi="Times New Roman"/>
          <w:sz w:val="20"/>
          <w:u w:val="single"/>
        </w:rPr>
        <w:t>Converted Restricted Subsidiary</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Converted Unrestricted Subsidiary</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Convertible Bonds</w:t>
      </w:r>
      <w:r>
        <w:rPr>
          <w:rFonts w:ascii="Times New Roman" w:hAnsi="Times New Roman"/>
          <w:sz w:val="20"/>
        </w:rPr>
        <w:t xml:space="preserve">” means the $650,000,000 3.875% convertible bonds due 2023 issued by Inmarsat Group Holdings Limited (f/k/a Inmarsat plc). </w:t>
      </w:r>
    </w:p>
    <w:p>
      <w:pPr>
        <w:pStyle w:val="TextBody"/>
        <w:bidi w:val="0"/>
        <w:spacing w:before="240" w:after="0"/>
        <w:jc w:val="left"/>
        <w:rPr/>
      </w:pPr>
      <w:r>
        <w:rPr/>
        <w:t>“</w:t>
      </w:r>
      <w:r>
        <w:rPr>
          <w:rFonts w:ascii="Times New Roman" w:hAnsi="Times New Roman"/>
          <w:sz w:val="20"/>
          <w:u w:val="single"/>
        </w:rPr>
        <w:t>Court Order</w:t>
      </w:r>
      <w:r>
        <w:rPr>
          <w:rFonts w:ascii="Times New Roman" w:hAnsi="Times New Roman"/>
          <w:sz w:val="20"/>
        </w:rPr>
        <w:t xml:space="preserve">” means the order of the High Court of Justice of England and Wales sanctioning the Scheme. </w:t>
      </w:r>
    </w:p>
    <w:p>
      <w:pPr>
        <w:pStyle w:val="TextBody"/>
        <w:bidi w:val="0"/>
        <w:spacing w:before="240" w:after="0"/>
        <w:jc w:val="left"/>
        <w:rPr/>
      </w:pPr>
      <w:r>
        <w:rPr/>
        <w:t>“</w:t>
      </w:r>
      <w:r>
        <w:rPr>
          <w:rFonts w:ascii="Times New Roman" w:hAnsi="Times New Roman"/>
          <w:sz w:val="20"/>
          <w:u w:val="single"/>
        </w:rPr>
        <w:t>Co-operation Agreement</w:t>
      </w:r>
      <w:r>
        <w:rPr>
          <w:rFonts w:ascii="Times New Roman" w:hAnsi="Times New Roman"/>
          <w:sz w:val="20"/>
        </w:rPr>
        <w:t xml:space="preserve">” means the co-operation agreement, dated as of March 25, 2019, entered into between Bidco and the Company in respect of the Acquisition. </w:t>
      </w:r>
    </w:p>
    <w:p>
      <w:pPr>
        <w:pStyle w:val="TextBody"/>
        <w:bidi w:val="0"/>
        <w:spacing w:before="240" w:after="0"/>
        <w:jc w:val="left"/>
        <w:rPr/>
      </w:pPr>
      <w:r>
        <w:rPr/>
        <w:t>“</w:t>
      </w:r>
      <w:r>
        <w:rPr>
          <w:rFonts w:ascii="Times New Roman" w:hAnsi="Times New Roman"/>
          <w:sz w:val="20"/>
          <w:u w:val="single"/>
        </w:rPr>
        <w:t>Credit Agreement Refinancing Indebtedness</w:t>
      </w:r>
      <w:r>
        <w:rPr>
          <w:rFonts w:ascii="Times New Roman" w:hAnsi="Times New Roman"/>
          <w:sz w:val="20"/>
        </w:rPr>
        <w:t>” means Indebtedness issued, incurred or otherwise obtained (including by means of the extension or renewal of existing Indebtedness) in exchange for, or to extend, renew, replace or refinance, in whole or part, existing Term Loans, Revolving Loans (or unused Revolving Commitments) or Incremental Equivalent Debt (“</w:t>
      </w:r>
      <w:r>
        <w:rPr>
          <w:rFonts w:ascii="Times New Roman" w:hAnsi="Times New Roman"/>
          <w:sz w:val="20"/>
          <w:u w:val="single"/>
        </w:rPr>
        <w:t>Refinanced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except in the case of any Designated Earlier Maturing Debt,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and does not have a shorter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Weighted Average Life to Maturity than the Refinanced Debt), (c) shall not be guaranteed by any entity that is not a Loan Party, (d) in the case of any secured Indebtedness (i) is not secured by any assets not securing the Secured Obligations and (ii) if not comprising Other Term Loans or Other Revolving Commitments hereunder that are secured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other Secured Obligations, is subject to a Customary Intercreditor Agreement(s) and (e) otherwise has terms and conditions that shall be reasonably satisfactory to Bidco and the lenders providing such Credit Agreement Refinancing Indebtedness. Notwithstanding anything to the contrary, no Credit Agreement Refinancing Indebtedness shall be subject to any “most favored nation” pricing adjustments set forth in this Agreement. </w:t>
      </w:r>
    </w:p>
    <w:p>
      <w:pPr>
        <w:pStyle w:val="TextBody"/>
        <w:bidi w:val="0"/>
        <w:spacing w:before="240" w:after="0"/>
        <w:jc w:val="left"/>
        <w:rPr/>
      </w:pPr>
      <w:r>
        <w:rPr/>
        <w:t>“</w:t>
      </w:r>
      <w:r>
        <w:rPr>
          <w:rFonts w:ascii="Times New Roman" w:hAnsi="Times New Roman"/>
          <w:sz w:val="20"/>
          <w:u w:val="single"/>
        </w:rPr>
        <w:t>Cure Amount</w:t>
      </w:r>
      <w:r>
        <w:rPr>
          <w:rFonts w:ascii="Times New Roman" w:hAnsi="Times New Roman"/>
          <w:sz w:val="20"/>
        </w:rPr>
        <w:t xml:space="preserve">” has the meaning assigned to such term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Cure Right</w:t>
      </w:r>
      <w:r>
        <w:rPr>
          <w:rFonts w:ascii="Times New Roman" w:hAnsi="Times New Roman"/>
          <w:sz w:val="20"/>
        </w:rPr>
        <w:t xml:space="preserve">” has the meaning assigned to such term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Customary Intercreditor Agreement</w:t>
      </w:r>
      <w:r>
        <w:rPr>
          <w:rFonts w:ascii="Times New Roman" w:hAnsi="Times New Roman"/>
          <w:sz w:val="20"/>
        </w:rPr>
        <w:t xml:space="preserve">” means (a) to the extent executed in connection with the incurrence of Indebtedness secured by Liens on the Collateral which are intended to rank equal in priority to the Liens on the Collateral securing the Secured Obligations, at the option of Bidco, either (i) an intercreditor agreement substantially in the form of the Pari Passu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Bidco, either (i) an intercreditor agreement substantially in the form of the Second Lien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junior to the Liens on the Collateral securing the Secured Obligations. With regard to any changes in light of prevailing market conditions as set forth above in clause (a)(i) or (b)(i) or with regard to clause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Administrative Agent’s entry into such intercreditor agreement (including with such changes) is reasonable and to have consented to such intercreditor agreement (including with such changes) and to the Administrative Agent’s execution thereof.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2.21(b)</w:t>
      </w:r>
      <w:r>
        <w:rPr>
          <w:rFonts w:ascii="Times New Roman" w:hAnsi="Times New Roman"/>
          <w:sz w:val="20"/>
        </w:rPr>
        <w:t xml:space="preserve">, any Lender that (a) has failed to perform any of its funding obligations hereunder, including in respect of its Loans or participations in respect of Letters of Credit or Swingline Loans, within two (2) Business Days of the date required to be funded by it hereunder, (b) has notified Bidco, the Administrative Agent, any Issuing Bank, any Swingline Lender or any Lender that it does not intend to comply with its funding obligations or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made a public statement or provided any written notification to any Person to that effect with respect to its funding obligations hereunder or under other agreements in which it commits to extend credit, (c) has failed, within three (3) Business Days after request by the Administrative Agent (whether acting on its own behalf or at the reasonable request of Bidco (it being understood that the Administrative Agent shall comply with any such reasonable request)) or any Issuing Bank, to confirm in a manner satisfactory to the Administrative Agent, such Issuing Bank and Bidco that it will comply with its funding obligations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Bidco), or (d) has, or has a direct or indirect parent company that, other than via an Undisclosed Administration, (i) has become or is insolvent, (ii) has become the subject of a proceeding under any Debtor Relief Law, (iii) had a receiver, conservator, trustee, administrator, assignee for the benefit of creditors or similar Person charged with reorganization or liquidation of its business or a custodian appointed for it, (iv) has taken any action in furtherance of, or indicated its consent to, approval of or acquiescence in any such proceeding or appointment or (v) has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 </w:t>
      </w:r>
    </w:p>
    <w:p>
      <w:pPr>
        <w:pStyle w:val="TextBody"/>
        <w:bidi w:val="0"/>
        <w:spacing w:before="240" w:after="0"/>
        <w:jc w:val="left"/>
        <w:rPr/>
      </w:pPr>
      <w:r>
        <w:rPr/>
        <w:t>“</w:t>
      </w:r>
      <w:r>
        <w:rPr>
          <w:rFonts w:ascii="Times New Roman" w:hAnsi="Times New Roman"/>
          <w:sz w:val="20"/>
          <w:u w:val="single"/>
        </w:rPr>
        <w:t>Defaulting Lender Fronting Exposure</w:t>
      </w:r>
      <w:r>
        <w:rPr>
          <w:rFonts w:ascii="Times New Roman" w:hAnsi="Times New Roman"/>
          <w:sz w:val="20"/>
        </w:rPr>
        <w:t xml:space="preserve">” means, at any time there is a Revolving Lender that is a Defaulting Lender, (a) with respect to any Issuing Bank, such Defaulting Lender’s Applicable Percentage of the LC Exposure with respect to the Letters of Credit issued by such Issuing Bank, other than LC Exposure as to which such Defaulting Lender’s participation obligation has been reallocated to other Lenders or cash collateralized in accordance with the terms of this Agreement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of this Agreement. </w:t>
      </w:r>
    </w:p>
    <w:p>
      <w:pPr>
        <w:pStyle w:val="TextBody"/>
        <w:bidi w:val="0"/>
        <w:spacing w:before="240" w:after="0"/>
        <w:jc w:val="left"/>
        <w:rPr/>
      </w:pPr>
      <w:r>
        <w:rPr/>
        <w:t>“</w:t>
      </w:r>
      <w:r>
        <w:rPr>
          <w:rFonts w:ascii="Times New Roman" w:hAnsi="Times New Roman"/>
          <w:sz w:val="20"/>
          <w:u w:val="single"/>
        </w:rPr>
        <w:t>Designated Earlier Maturing Debt</w:t>
      </w:r>
      <w:r>
        <w:rPr>
          <w:rFonts w:ascii="Times New Roman" w:hAnsi="Times New Roman"/>
          <w:sz w:val="20"/>
        </w:rPr>
        <w:t>” means (x) any (i) Incremental Term Loans, (ii) Incremental Equivalent Debt, (iii) Credit Agreement Refinancing Indebtedness (other than Other Revolving Commitments) and/or (iv) other Indebtedness, in each case, incurred to consummate a Permitted Acquisition or other Investment not prohibited by this Agreement and (y) any (i) Incremental Term Loans, (ii) Incremental Equivalent Debt, (iii) Credit Agreement Refinancing Indebtedness (other than Other Revolving Commitments) and/or (iv) other Indebtedness designated by Bidco to the Administrative Agent that has a maturity date earlier than the Term Maturity Date and/or a shorter Weighted Average Life to Maturity than the remaining</w:t>
      </w:r>
      <w:r>
        <w:rPr>
          <w:rFonts w:ascii="Times New Roman" w:hAnsi="Times New Roman"/>
          <w:strike/>
          <w:color w:val="FF0000"/>
          <w:sz w:val="20"/>
        </w:rPr>
        <w:t xml:space="preserve"> 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w:t>
      </w:r>
      <w:r>
        <w:rPr>
          <w:rFonts w:ascii="Times New Roman" w:hAnsi="Times New Roman"/>
          <w:sz w:val="20"/>
          <w:u w:val="single"/>
        </w:rPr>
        <w:t>provided</w:t>
      </w:r>
      <w:r>
        <w:rPr>
          <w:rFonts w:ascii="Times New Roman" w:hAnsi="Times New Roman"/>
          <w:sz w:val="20"/>
        </w:rPr>
        <w:t xml:space="preserve"> that at the time of any incurrence of such Indebtedness pursuant to this clause (y), the aggregate principal amount of all such Indebtedness shall not exceed the greater of (x) $750,000,000 and (y) Consolidated EBITDA for the most recently ended Test Period as of such date, calculated on a Pro Forma Basis.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Bidco or a Restricted Subsidiary in connection with an Asset Sale that is so designated as Designated Non-cash Consideration pursuant to an officer’s certificate, setting forth the basis of such valuation, executed by a Financial Officer of Bidco or a Restricted Subsidiary, less the amount of cash or Cash Equivalents received in connection with a subsequent sale, redemption or repurchase of or collection or payment on such Designated Non-cash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Designated Alternative Security Debt</w:t>
      </w:r>
      <w:r>
        <w:rPr>
          <w:rFonts w:ascii="Times New Roman" w:hAnsi="Times New Roman"/>
          <w:sz w:val="20"/>
        </w:rPr>
        <w:t xml:space="preserve">” means any (i) Incremental Term Loans, (ii) Incremental Equivalent Debt, (iii) Credit Agreement Refinancing Indebtedness and/or (iv) other Indebtedness designated by Bidco to the Administrative Agent that is guaranteed by any entity that is not a Loan Party or secured by any assets other than Collateral; </w:t>
      </w:r>
      <w:r>
        <w:rPr>
          <w:rFonts w:ascii="Times New Roman" w:hAnsi="Times New Roman"/>
          <w:sz w:val="20"/>
          <w:u w:val="single"/>
        </w:rPr>
        <w:t>provided</w:t>
      </w:r>
      <w:r>
        <w:rPr>
          <w:rFonts w:ascii="Times New Roman" w:hAnsi="Times New Roman"/>
          <w:sz w:val="20"/>
        </w:rPr>
        <w:t xml:space="preserve"> that at the time of any incurrence of such Indebtedness, the aggregate principal amount of all such Indebtedness shall not exceed the greater of (x) $375,000,000 and (y) 50% of Consolidated EBITDA for the most recently ended Test Period as of such date, calculated on a Pro Forma Basis. </w:t>
      </w:r>
    </w:p>
    <w:p>
      <w:pPr>
        <w:pStyle w:val="TextBody"/>
        <w:bidi w:val="0"/>
        <w:spacing w:before="240" w:after="0"/>
        <w:jc w:val="left"/>
        <w:rPr/>
      </w:pPr>
      <w:r>
        <w:rPr/>
        <w:t>“</w:t>
      </w:r>
      <w:r>
        <w:rPr>
          <w:rFonts w:ascii="Times New Roman" w:hAnsi="Times New Roman"/>
          <w:sz w:val="20"/>
          <w:u w:val="single"/>
        </w:rPr>
        <w:t>Designated Preferred Stock</w:t>
      </w:r>
      <w:r>
        <w:rPr>
          <w:rFonts w:ascii="Times New Roman" w:hAnsi="Times New Roman"/>
          <w:sz w:val="20"/>
        </w:rPr>
        <w:t xml:space="preserve">” means Preferred Stock of Bidco or any direct or indirect parent company thereof (in each case other than Disqualified Equity Interests) that is issued for cash (other than to a Restricted Subsidiary or an employee stock ownership plan or trust established by Bidco or any of its Subsidiaries) and is so designated as Designated Preferred Stock, pursuant to an officer’s certificate executed by a Financial Officer of Bidco, a Restricted Subsidiary or the applicable parent corporation thereof, as the case may be, on the issuance date thereof, the cash proceeds of which are excluded from the calculation set forth in clause (A) of </w:t>
      </w:r>
      <w:r>
        <w:rPr>
          <w:rFonts w:ascii="Times New Roman" w:hAnsi="Times New Roman"/>
          <w:sz w:val="20"/>
          <w:u w:val="single"/>
        </w:rPr>
        <w:t>Section 6.05(a)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Discount Prepayment Accepting Lender</w:t>
      </w:r>
      <w:r>
        <w:rPr>
          <w:rFonts w:ascii="Times New Roman" w:hAnsi="Times New Roman"/>
          <w:sz w:val="20"/>
        </w:rPr>
        <w:t xml:space="preserve">” has the meaning assigned to such term in </w:t>
      </w:r>
      <w:r>
        <w:rPr>
          <w:rFonts w:ascii="Times New Roman" w:hAnsi="Times New Roman"/>
          <w:sz w:val="20"/>
          <w:u w:val="single"/>
        </w:rPr>
        <w:t>Section 2.10(a)(ii)(B)(2)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Amount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Notice</w:t>
      </w:r>
      <w:r>
        <w:rPr>
          <w:rFonts w:ascii="Times New Roman" w:hAnsi="Times New Roman"/>
          <w:sz w:val="20"/>
        </w:rPr>
        <w:t xml:space="preserve">” means a written notice of a Borrower Solicitation of Discount Range Prepayment Offers made pursuant to </w:t>
      </w:r>
      <w:r>
        <w:rPr>
          <w:rFonts w:ascii="Times New Roman" w:hAnsi="Times New Roman"/>
          <w:sz w:val="20"/>
          <w:u w:val="single"/>
        </w:rPr>
        <w:t>Section 2.10(a)(ii)(C)</w:t>
      </w:r>
      <w:r>
        <w:rPr>
          <w:rFonts w:ascii="Times New Roman" w:hAnsi="Times New Roman"/>
          <w:sz w:val="20"/>
        </w:rPr>
        <w:t xml:space="preserve"> substantially in the form of </w:t>
      </w:r>
      <w:r>
        <w:rPr>
          <w:rFonts w:ascii="Times New Roman" w:hAnsi="Times New Roman"/>
          <w:sz w:val="20"/>
          <w:u w:val="single"/>
        </w:rPr>
        <w:t>Exhibit 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Offer</w:t>
      </w:r>
      <w:r>
        <w:rPr>
          <w:rFonts w:ascii="Times New Roman" w:hAnsi="Times New Roman"/>
          <w:sz w:val="20"/>
        </w:rPr>
        <w:t xml:space="preserve">” means the irrevocable written offer by a Term Lender, substantially in the form of </w:t>
      </w:r>
      <w:r>
        <w:rPr>
          <w:rFonts w:ascii="Times New Roman" w:hAnsi="Times New Roman"/>
          <w:sz w:val="20"/>
          <w:u w:val="single"/>
        </w:rPr>
        <w:t>Exhibit M</w:t>
      </w:r>
      <w:r>
        <w:rPr>
          <w:rFonts w:ascii="Times New Roman" w:hAnsi="Times New Roman"/>
          <w:sz w:val="20"/>
        </w:rPr>
        <w:t xml:space="preserve">, submitted in response to an invitation to submit offers following the Auction Agent’s receipt of a Discount Range Prepayment Notice. </w:t>
      </w:r>
    </w:p>
    <w:p>
      <w:pPr>
        <w:pStyle w:val="TextBody"/>
        <w:bidi w:val="0"/>
        <w:spacing w:before="240" w:after="0"/>
        <w:jc w:val="left"/>
        <w:rPr/>
      </w:pPr>
      <w:r>
        <w:rPr/>
        <w:t>“</w:t>
      </w:r>
      <w:r>
        <w:rPr>
          <w:rFonts w:ascii="Times New Roman" w:hAnsi="Times New Roman"/>
          <w:sz w:val="20"/>
          <w:u w:val="single"/>
        </w:rPr>
        <w:t>Discount Range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Proration</w:t>
      </w:r>
      <w:r>
        <w:rPr>
          <w:rFonts w:ascii="Times New Roman" w:hAnsi="Times New Roman"/>
          <w:sz w:val="20"/>
        </w:rPr>
        <w:t xml:space="preserve">” has the meaning assigned to such term in </w:t>
      </w:r>
      <w:r>
        <w:rPr>
          <w:rFonts w:ascii="Times New Roman" w:hAnsi="Times New Roman"/>
          <w:sz w:val="20"/>
          <w:u w:val="single"/>
        </w:rPr>
        <w:t>Section 2.10(a)(ii)(C)(3)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Discounted Prepayment Determination Date</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Discounted Prepayment Effective Date</w:t>
      </w:r>
      <w:r>
        <w:rPr>
          <w:rFonts w:ascii="Times New Roman" w:hAnsi="Times New Roman"/>
          <w:sz w:val="20"/>
        </w:rPr>
        <w:t xml:space="preserve">” means in the case of a Borrower Offer of Specified Discount Prepayment or Borrower Solicitation of Discount Range Prepayment Offer, five (5) Business Days following the receipt by each relevant Term Lender of notice from the Auction Agent in accordance with </w:t>
      </w:r>
      <w:r>
        <w:rPr>
          <w:rFonts w:ascii="Times New Roman" w:hAnsi="Times New Roman"/>
          <w:sz w:val="20"/>
          <w:u w:val="single"/>
        </w:rPr>
        <w:t>Section 2.10(a)(ii)(B)</w:t>
      </w:r>
      <w:r>
        <w:rPr>
          <w:rFonts w:ascii="Times New Roman" w:hAnsi="Times New Roman"/>
          <w:sz w:val="20"/>
        </w:rPr>
        <w:t xml:space="preserve">, </w:t>
      </w:r>
      <w:r>
        <w:rPr>
          <w:rFonts w:ascii="Times New Roman" w:hAnsi="Times New Roman"/>
          <w:sz w:val="20"/>
          <w:u w:val="single"/>
        </w:rPr>
        <w:t>Section 2.10(a)(ii)(C)</w:t>
      </w:r>
      <w:r>
        <w:rPr>
          <w:rFonts w:ascii="Times New Roman" w:hAnsi="Times New Roman"/>
          <w:sz w:val="20"/>
        </w:rPr>
        <w:t xml:space="preserve"> or </w:t>
      </w:r>
      <w:r>
        <w:rPr>
          <w:rFonts w:ascii="Times New Roman" w:hAnsi="Times New Roman"/>
          <w:sz w:val="20"/>
          <w:u w:val="single"/>
        </w:rPr>
        <w:t>Section 2.10(a)(ii)(D)</w:t>
      </w:r>
      <w:r>
        <w:rPr>
          <w:rFonts w:ascii="Times New Roman" w:hAnsi="Times New Roman"/>
          <w:sz w:val="20"/>
        </w:rPr>
        <w:t xml:space="preserve">, as applicable unless a shorter period is agreed to between the Borrower and the Auction Agent. </w:t>
      </w:r>
    </w:p>
    <w:p>
      <w:pPr>
        <w:pStyle w:val="TextBody"/>
        <w:bidi w:val="0"/>
        <w:spacing w:before="240" w:after="0"/>
        <w:jc w:val="left"/>
        <w:rPr/>
      </w:pPr>
      <w:r>
        <w:rPr/>
        <w:t>“</w:t>
      </w:r>
      <w:r>
        <w:rPr>
          <w:rFonts w:ascii="Times New Roman" w:hAnsi="Times New Roman"/>
          <w:sz w:val="20"/>
          <w:u w:val="single"/>
        </w:rPr>
        <w:t>Discounted Term Loan Prepayment</w:t>
      </w:r>
      <w:r>
        <w:rPr>
          <w:rFonts w:ascii="Times New Roman" w:hAnsi="Times New Roman"/>
          <w:sz w:val="20"/>
        </w:rPr>
        <w:t xml:space="preserve">” has the meaning assigned to such term in </w:t>
      </w:r>
      <w:r>
        <w:rPr>
          <w:rFonts w:ascii="Times New Roman" w:hAnsi="Times New Roman"/>
          <w:sz w:val="20"/>
          <w:u w:val="single"/>
        </w:rPr>
        <w:t>Section</w:t>
      </w:r>
      <w:r>
        <w:rPr>
          <w:rFonts w:ascii="Times New Roman" w:hAnsi="Times New Roman"/>
          <w:sz w:val="20"/>
        </w:rPr>
        <w:t xml:space="preserve"> 2.10(a)(ii)(A). </w:t>
      </w:r>
    </w:p>
    <w:p>
      <w:pPr>
        <w:pStyle w:val="TextBody"/>
        <w:bidi w:val="0"/>
        <w:spacing w:before="240" w:after="0"/>
        <w:jc w:val="left"/>
        <w:rPr/>
      </w:pPr>
      <w:r>
        <w:rPr/>
        <w:t>“</w:t>
      </w:r>
      <w:r>
        <w:rPr>
          <w:rFonts w:ascii="Times New Roman" w:hAnsi="Times New Roman"/>
          <w:sz w:val="20"/>
          <w:u w:val="single"/>
        </w:rPr>
        <w:t>Disposed EBITDA</w:t>
      </w:r>
      <w:r>
        <w:rPr>
          <w:rFonts w:ascii="Times New Roman" w:hAnsi="Times New Roman"/>
          <w:sz w:val="20"/>
        </w:rPr>
        <w:t xml:space="preserve">” means, with respect to any Sold Entity or Business or Converted Unrestricted Subsidiary for any period through (but not after) the date of such disposition, the amount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period of Consolidated EBITDA of such Sold Entity or Business or Converted Unrestricted Subsidiary (determined as if references to Bidco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xml:space="preserve">” has the meaning assigned to such term in clause (1) of the definition of “Asset Sale”. </w:t>
      </w:r>
    </w:p>
    <w:p>
      <w:pPr>
        <w:pStyle w:val="TextBody"/>
        <w:bidi w:val="0"/>
        <w:spacing w:before="240" w:after="0"/>
        <w:jc w:val="left"/>
        <w:rPr/>
      </w:pPr>
      <w:r>
        <w:rPr/>
        <w:t>“</w:t>
      </w:r>
      <w:r>
        <w:rPr>
          <w:rFonts w:ascii="Times New Roman" w:hAnsi="Times New Roman"/>
          <w:sz w:val="20"/>
          <w:u w:val="single"/>
        </w:rPr>
        <w:t>Disqualified Equity Interests</w:t>
      </w:r>
      <w:r>
        <w:rPr>
          <w:rFonts w:ascii="Times New Roman" w:hAnsi="Times New Roman"/>
          <w:sz w:val="20"/>
        </w:rPr>
        <w:t xml:space="preserve">” means, with respect to any Person, any Equity Interests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Loans or the date the Loans are no longer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Equity Interests held by any future, current or former employee, director, officer, manager or consultant (or their respective Controlled Investment Affiliates (excluding the Investors (but not excluding any future, current or former employee, director, officer, manager or consultant)) or Immediate Family Members), of Bidco, any of its Subsidiaries, any of its direct or indirect parent companies or any other entity in which Bidco or a Restricted Subsidiary has an Investment and is designated in good faith as an “affiliate” by the board of directors of Bidco or a Restricted Subsidiary (or the compensation committee thereof), in each case pursuant to any stock subscription or shareholders’ agreement, management equity plan or stock option plan or any other management or employee benefit plan or agreement shall not constitute Disqualified Equity Interests solely because it may be required to be repurchased by Bidco or its Subsidiaries or in order to satisfy applicable statutory or regulatory obligations. Notwithstanding the preceding sentence, any Equity Interests that would constitute Disqualified Equity Interests solely because the holders of the Equity Interests have the right to require Bidco or a Subsidiary to repurchase such Equity Interests upon the occurrence of a change of control or an asset sale shall not constitute Disqualified Equity Interests if the terms of such Equity Interests (and all such securities into which it is convertible or for which it is ratable or exchangeable) provide that Bidco or such Subsidiary may not repurchase or redeem any such Equity Interests (and all such securities into which it is convertible or for which it is ratable or exchangeable) pursuant to such provisions unless such repurchase or redemption complies with the terms of this Agreement. The amount of Disqualified Equity Interests deemed to be outstanding at any time for purposes of this Agreement shall be the maximum amount that Bidco and its Restricted Subsidiaries may become obligated to pay upon the maturity of, or pursuant to any mandatory redemption provisions of, such Disqualified Equity Interests, exclusive of accrued dividends. </w:t>
      </w:r>
    </w:p>
    <w:p>
      <w:pPr>
        <w:pStyle w:val="TextBody"/>
        <w:bidi w:val="0"/>
        <w:spacing w:before="240" w:after="0"/>
        <w:jc w:val="left"/>
        <w:rPr/>
      </w:pPr>
      <w:r>
        <w:rPr/>
        <w:t>“</w:t>
      </w:r>
      <w:r>
        <w:rPr>
          <w:rFonts w:ascii="Times New Roman" w:hAnsi="Times New Roman"/>
          <w:sz w:val="20"/>
          <w:u w:val="single"/>
        </w:rPr>
        <w:t>Disqualified Lenders</w:t>
      </w:r>
      <w:r>
        <w:rPr>
          <w:rFonts w:ascii="Times New Roman" w:hAnsi="Times New Roman"/>
          <w:sz w:val="20"/>
        </w:rPr>
        <w:t xml:space="preserve">” means (i) those Persons identified by Bidco or a Restricted Subsidiary to the Administrative Agent in writing prior to March 23, 2019 as being “Disqualified Lenders,” (ii) those Persons who are competitors of Bidco and its Subsidiaries (other than any bona fide diversified debt investment fund) identified by the Investors, Bidco or a Restricted Subsidiary to the Administrative Agent from time to time in writing (including by email) which designation shall become effective two (2) days after delivery of each such written designation to the Administrative Agent, but which shall not apply retroactively to disqualify any persons that have previously acquired an assignment or participation interest in any Loan, (iii) Excluded Affiliates and (iv) in the case of each Person identified pursuant to clause (ii) above, any of their Affiliates that are either (x) identified in writing by the Investors, Bidco or a Restricted Subsidiary to the Administrative Agent from time to time or (y) are known or reasonably identifiable as an Affiliate of such Person (other than Affiliates that are bona fide diversified debt investment funds). Upon inquiry by any Lender to the Administrative Agent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p>
    <w:p>
      <w:pPr>
        <w:pStyle w:val="TextBody"/>
        <w:bidi w:val="0"/>
        <w:spacing w:before="240" w:after="0"/>
        <w:jc w:val="left"/>
        <w:rPr/>
      </w:pPr>
      <w:r>
        <w:rPr/>
        <w:t>“</w:t>
      </w:r>
      <w:r>
        <w:rPr>
          <w:rFonts w:ascii="Times New Roman" w:hAnsi="Times New Roman"/>
          <w:sz w:val="20"/>
          <w:u w:val="single"/>
        </w:rPr>
        <w:t>Division</w:t>
      </w:r>
      <w:r>
        <w:rPr>
          <w:rFonts w:ascii="Times New Roman" w:hAnsi="Times New Roman"/>
          <w:sz w:val="20"/>
        </w:rPr>
        <w:t xml:space="preserve">” has the meaning assigned to such term in </w:t>
      </w:r>
      <w:r>
        <w:rPr>
          <w:rFonts w:ascii="Times New Roman" w:hAnsi="Times New Roman"/>
          <w:sz w:val="20"/>
          <w:u w:val="single"/>
        </w:rPr>
        <w:t>Section 1.10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on any date of determination, (a) with respect to any amount denominated in dollars, such amount, and (b) with respect to any amount in any Alternative Currency or any other currency, the equivalent in dollars of such amount, as determined by the Administrative Agent or the applicable Issuing Bank, as applicable, pursuant to </w:t>
      </w:r>
      <w:r>
        <w:rPr>
          <w:rFonts w:ascii="Times New Roman" w:hAnsi="Times New Roman"/>
          <w:sz w:val="20"/>
          <w:u w:val="single"/>
        </w:rPr>
        <w:t>Section 1.09</w:t>
      </w:r>
      <w:r>
        <w:rPr>
          <w:rFonts w:ascii="Times New Roman" w:hAnsi="Times New Roman"/>
          <w:sz w:val="20"/>
        </w:rPr>
        <w:t xml:space="preserve"> using the Spot Rate with respect to such currency at the time in effect under the provisions of such Section.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240" w:after="0"/>
        <w:jc w:val="left"/>
        <w:rPr/>
      </w:pPr>
      <w:r>
        <w:rPr/>
        <w:t>“</w:t>
      </w:r>
      <w:r>
        <w:rPr>
          <w:rFonts w:ascii="Times New Roman" w:hAnsi="Times New Roman"/>
          <w:sz w:val="20"/>
          <w:u w:val="single"/>
        </w:rPr>
        <w:t>Domestic Foreign Holdco</w:t>
      </w:r>
      <w:r>
        <w:rPr>
          <w:rFonts w:ascii="Times New Roman" w:hAnsi="Times New Roman"/>
          <w:sz w:val="20"/>
        </w:rPr>
        <w:t xml:space="preserve">” means any Subsidiary that is not a CFC, substantially all of whose assets (directly and/or indirectly through one or more Subsidiaries) are capital stock (and, if applicable, debt) of one or more Subsidiaries that are (1) CFCs that are direct or indirect Subsidiaries of a Domestic Subsidiary and/or (2) other Domestic Foreign Holdcos.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that is organized under the law of the United States, any state thereof or the District of Columbia. </w:t>
      </w:r>
    </w:p>
    <w:p>
      <w:pPr>
        <w:pStyle w:val="TextBody"/>
        <w:bidi w:val="0"/>
        <w:spacing w:before="240" w:after="0"/>
        <w:jc w:val="left"/>
        <w:rPr/>
      </w:pPr>
      <w:r>
        <w:rPr/>
        <w:t>“</w:t>
      </w:r>
      <w:r>
        <w:rPr>
          <w:rFonts w:ascii="Times New Roman" w:hAnsi="Times New Roman"/>
          <w:sz w:val="20"/>
          <w:u w:val="single"/>
        </w:rPr>
        <w:t>ECF Percentage</w:t>
      </w:r>
      <w:r>
        <w:rPr>
          <w:rFonts w:ascii="Times New Roman" w:hAnsi="Times New Roman"/>
          <w:sz w:val="20"/>
        </w:rPr>
        <w:t xml:space="preserve">” means, with respect to the prepayment required by </w:t>
      </w:r>
      <w:r>
        <w:rPr>
          <w:rFonts w:ascii="Times New Roman" w:hAnsi="Times New Roman"/>
          <w:sz w:val="20"/>
          <w:u w:val="single"/>
        </w:rPr>
        <w:t>Section 2.10(d)</w:t>
      </w:r>
      <w:r>
        <w:rPr>
          <w:rFonts w:ascii="Times New Roman" w:hAnsi="Times New Roman"/>
          <w:sz w:val="20"/>
        </w:rPr>
        <w:t xml:space="preserve"> with respect to any fiscal year of Bidco, if the Senior Secured First Lien Net Leverage Ratio (prior to giving effect to the applicable prepayment pursuant to </w:t>
      </w:r>
      <w:r>
        <w:rPr>
          <w:rFonts w:ascii="Times New Roman" w:hAnsi="Times New Roman"/>
          <w:sz w:val="20"/>
          <w:u w:val="single"/>
        </w:rPr>
        <w:t>Section 2.10(d)</w:t>
      </w:r>
      <w:r>
        <w:rPr>
          <w:rFonts w:ascii="Times New Roman" w:hAnsi="Times New Roman"/>
          <w:sz w:val="20"/>
        </w:rPr>
        <w:t xml:space="preserve">, but after giving effect to any voluntary prepayments made pursuant to </w:t>
      </w:r>
      <w:r>
        <w:rPr>
          <w:rFonts w:ascii="Times New Roman" w:hAnsi="Times New Roman"/>
          <w:sz w:val="20"/>
          <w:u w:val="single"/>
        </w:rPr>
        <w:t>Section 2.10(a)</w:t>
      </w:r>
      <w:r>
        <w:rPr>
          <w:rFonts w:ascii="Times New Roman" w:hAnsi="Times New Roman"/>
          <w:sz w:val="20"/>
        </w:rPr>
        <w:t xml:space="preserve"> or otherwise in a manner not prohibited by </w:t>
      </w:r>
      <w:r>
        <w:rPr>
          <w:rFonts w:ascii="Times New Roman" w:hAnsi="Times New Roman"/>
          <w:sz w:val="20"/>
          <w:u w:val="single"/>
        </w:rPr>
        <w:t>Section 9.04(g)</w:t>
      </w:r>
      <w:r>
        <w:rPr>
          <w:rFonts w:ascii="Times New Roman" w:hAnsi="Times New Roman"/>
          <w:sz w:val="20"/>
        </w:rPr>
        <w:t xml:space="preserve"> prior to the date of such prepayment) as of the end of such fiscal year is (a) greater than 4.60 to 1.00, 50% of Excess Cash Flow for such fiscal year, (b) greater than 4.10 to 1.00 but less than or equal to 4.60 to 1.00, 25% of Excess Cash Flow for such fiscal year and (c) less than or equal to 4.10 to 1.00, 0% of Excess Cash Flow for such fiscal year.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means December 12, 2019. </w:t>
      </w:r>
    </w:p>
    <w:p>
      <w:pPr>
        <w:pStyle w:val="TextBody"/>
        <w:bidi w:val="0"/>
        <w:spacing w:before="240" w:after="0"/>
        <w:jc w:val="left"/>
        <w:rPr/>
      </w:pPr>
      <w:r>
        <w:rPr/>
        <w:t>“</w:t>
      </w:r>
      <w:r>
        <w:rPr>
          <w:rFonts w:ascii="Times New Roman" w:hAnsi="Times New Roman"/>
          <w:sz w:val="20"/>
          <w:u w:val="single"/>
        </w:rPr>
        <w:t>Effective Yield</w:t>
      </w:r>
      <w:r>
        <w:rPr>
          <w:rFonts w:ascii="Times New Roman" w:hAnsi="Times New Roman"/>
          <w:sz w:val="20"/>
        </w:rPr>
        <w:t xml:space="preserve">” means, as to any Indebtedness, the effective yield on such Indebtedness in the reasonable determination of the Administrative Agent and Bidco and consistent with generally accepted financial practices, taking into account the applicable interest rate margins, any interest rate floors (the effect of which floors shall be determined in a manner set forth in the proviso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below) or similar devices and all fees, including upfront or similar fees or original issue discount paid with respect to the initial incurrence of any Class of Loans or series of Indebtedness, as applicable (</w:t>
      </w:r>
      <w:r>
        <w:rPr>
          <w:rFonts w:ascii="Times New Roman" w:hAnsi="Times New Roman"/>
          <w:color w:val="0000FF"/>
          <w:sz w:val="20"/>
          <w:u w:val="single"/>
          <w:bdr w:val="double" w:sz="2" w:space="1" w:color="000000"/>
        </w:rPr>
        <w:t>and, with respect to the Amendment No. 1 Refinancing Term Loans, assuming that such Loans were issued with the same upfront fees and original issue discount as the Initial Term Loans) (</w:t>
      </w:r>
      <w:r>
        <w:rPr>
          <w:rFonts w:ascii="Times New Roman" w:hAnsi="Times New Roman"/>
          <w:sz w:val="20"/>
        </w:rPr>
        <w:t xml:space="preserve">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w:t>
      </w:r>
      <w:r>
        <w:rPr>
          <w:rFonts w:ascii="Times New Roman" w:hAnsi="Times New Roman"/>
          <w:sz w:val="20"/>
          <w:u w:val="single"/>
        </w:rPr>
        <w:t>Section 2.10(a)(i)</w:t>
      </w:r>
      <w:r>
        <w:rPr>
          <w:rFonts w:ascii="Times New Roman" w:hAnsi="Times New Roman"/>
          <w:sz w:val="20"/>
        </w:rPr>
        <w:t xml:space="preserve">, any original issue discount or upfront fees payable in connection with the Initial Term Loans issued on the Effective Date); </w:t>
      </w:r>
      <w:r>
        <w:rPr>
          <w:rFonts w:ascii="Times New Roman" w:hAnsi="Times New Roman"/>
          <w:sz w:val="20"/>
          <w:u w:val="single"/>
        </w:rPr>
        <w:t>provided</w:t>
      </w:r>
      <w:r>
        <w:rPr>
          <w:rFonts w:ascii="Times New Roman" w:hAnsi="Times New Roman"/>
          <w:sz w:val="20"/>
        </w:rPr>
        <w:t xml:space="preserve"> that with respect to any Indebtedness that includes a “LIBOR floor” or “Base Rate floor,” (i) to the extent that the LIBO Rate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 or Alternate Base Rate (without giving effect to any floors in such definitions), as applicable, on the date that the Effective Yield is being calculated is greater than such floor, then the floor shall be disregarded in calculating the Effective Yield.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 a Lender, (b) an Affiliate of a Lender, (c) an Approved Fund and (d) any other Person (other than Holdings, any Intermediate Parent, Bidco or any of their respective Affiliates), other than, in each case, (i) a natural person, (ii) a Defaulting Lender or (iii) a Disqualified Lender. Notwithstanding the foregoing, each Loan Party and each Lender acknowledges and agrees that the Administrative Agent shall have no liability with respect to any assignment made to a Disqualified Lender unless (i) the Administrative Agent has acted with gross negligence, bad faith or willful misconduct (as determined by a court of competent jurisdiction in a final and non-appealable judgment) and (ii) Bidco has not consented to such assignment or is not deemed to have consented to such assignment to the extent required by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EMU Legislation</w:t>
      </w:r>
      <w:r>
        <w:rPr>
          <w:rFonts w:ascii="Times New Roman" w:hAnsi="Times New Roman"/>
          <w:sz w:val="20"/>
        </w:rPr>
        <w:t xml:space="preserve">” means the legislative measures of the European Council for the introduction of, changeover to or operation of a single or unified European currency.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shall mean ambient air, indoor air, surface water, groundwater, drinking water, land surface, sediments, and subsurface strata and natural resources such as wetlands, flora and fauna.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applicable Requirements of Law relating to the protection of the environment, to preservation or reclamation of natural resources, to the Release or threatened Release of any Hazardous Material, or (to the extent relating to exposure to Hazardous Materials) to health or safety matters.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resulting from or based upon (a) any actual or alleged violation of any Environmental Law or permit, license or approval issued thereunder, (b) the generation, use, handling, transportation, storage, or treatment of any Hazardous Materials, (c) exposure to any Hazardous Materials or (d) the Release or threatened Release of any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Equity Contributions</w:t>
      </w:r>
      <w:r>
        <w:rPr>
          <w:rFonts w:ascii="Times New Roman" w:hAnsi="Times New Roman"/>
          <w:sz w:val="20"/>
        </w:rPr>
        <w:t xml:space="preserve">” means the aggregate amount of investments (made on or prior to the relevant date of determination) in cash or in kind in the form of equity interests (including share subscriptions, share premium and/or contribution to capital reserves) or Subordinated Shareholder Liabilities by the Investors and Holdings (or any of their parent entities) (directly or indirectly) to Bidco.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w:t>
      </w:r>
    </w:p>
    <w:p>
      <w:pPr>
        <w:pStyle w:val="TextBody"/>
        <w:bidi w:val="0"/>
        <w:spacing w:before="240" w:after="0"/>
        <w:jc w:val="left"/>
        <w:rPr/>
      </w:pPr>
      <w:r>
        <w:rPr/>
        <w:t>“</w:t>
      </w:r>
      <w:r>
        <w:rPr>
          <w:rFonts w:ascii="Times New Roman" w:hAnsi="Times New Roman"/>
          <w:sz w:val="20"/>
          <w:u w:val="single"/>
        </w:rPr>
        <w:t>Equity Offering</w:t>
      </w:r>
      <w:r>
        <w:rPr>
          <w:rFonts w:ascii="Times New Roman" w:hAnsi="Times New Roman"/>
          <w:sz w:val="20"/>
        </w:rPr>
        <w:t xml:space="preserve">” means any public or private sale of common stock or Preferred Stock of Bidco or any of its direct or indirect parent companies (excluding Disqualified Equity Interest), other than: </w:t>
      </w:r>
    </w:p>
    <w:p>
      <w:pPr>
        <w:pStyle w:val="TextBody"/>
        <w:bidi w:val="0"/>
        <w:spacing w:before="120" w:after="0"/>
        <w:jc w:val="left"/>
        <w:rPr>
          <w:rFonts w:ascii="Times New Roman" w:hAnsi="Times New Roman"/>
          <w:sz w:val="20"/>
        </w:rPr>
      </w:pPr>
      <w:r>
        <w:rPr>
          <w:rFonts w:ascii="Times New Roman" w:hAnsi="Times New Roman"/>
          <w:sz w:val="20"/>
        </w:rPr>
        <w:t xml:space="preserve">(1) public offerings with respect to Bidco’s or any direct or indirect parent company’s common stock registered on Form S-8; </w:t>
      </w:r>
    </w:p>
    <w:p>
      <w:pPr>
        <w:pStyle w:val="TextBody"/>
        <w:bidi w:val="0"/>
        <w:spacing w:before="120" w:after="0"/>
        <w:jc w:val="left"/>
        <w:rPr>
          <w:rFonts w:ascii="Times New Roman" w:hAnsi="Times New Roman"/>
          <w:sz w:val="20"/>
        </w:rPr>
      </w:pPr>
      <w:r>
        <w:rPr>
          <w:rFonts w:ascii="Times New Roman" w:hAnsi="Times New Roman"/>
          <w:sz w:val="20"/>
        </w:rPr>
        <w:t xml:space="preserve">(2) issuances to any Subsidiary of Bidco; and </w:t>
      </w:r>
    </w:p>
    <w:p>
      <w:pPr>
        <w:pStyle w:val="TextBody"/>
        <w:bidi w:val="0"/>
        <w:spacing w:before="120" w:after="0"/>
        <w:jc w:val="left"/>
        <w:rPr>
          <w:rFonts w:ascii="Times New Roman" w:hAnsi="Times New Roman"/>
          <w:sz w:val="20"/>
        </w:rPr>
      </w:pPr>
      <w:r>
        <w:rPr>
          <w:rFonts w:ascii="Times New Roman" w:hAnsi="Times New Roman"/>
          <w:sz w:val="20"/>
        </w:rPr>
        <w:t xml:space="preserve">(3) any such public or private sale that constitutes an Excluded Contribution or a Contributed Holdings Investment.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its withdrawal or partial withdrawal from any Multiemployer Plan; (h) the receipt by a Loan Party or any ERISA Affiliate from a Multiemployer Plan of any notice concerning the imposition of Withdrawal Liability on a Loan Party or ERISA Affiliate; (i) the failure of a Loan Party or any ERISA Affiliate to pay when due, after the expiration of any applicable grace period, any installment payment with respect to any Withdrawal Liability; or (j)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Participating Member States introduced in accordance with the EMU Legislation. </w:t>
      </w:r>
    </w:p>
    <w:p>
      <w:pPr>
        <w:pStyle w:val="TextBody"/>
        <w:bidi w:val="0"/>
        <w:spacing w:before="240" w:after="0"/>
        <w:jc w:val="left"/>
        <w:rPr/>
      </w:pPr>
      <w:r>
        <w:rPr/>
        <w:t>“</w:t>
      </w:r>
      <w:r>
        <w:rPr>
          <w:rFonts w:ascii="Times New Roman" w:hAnsi="Times New Roman"/>
          <w:sz w:val="20"/>
          <w:u w:val="single"/>
        </w:rPr>
        <w:t>Eurodollar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LIBO Rate.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means, for any period, an amount equal to the excess of: </w:t>
      </w:r>
    </w:p>
    <w:p>
      <w:pPr>
        <w:pStyle w:val="TextBody"/>
        <w:bidi w:val="0"/>
        <w:spacing w:before="240" w:after="0"/>
        <w:jc w:val="left"/>
        <w:rPr>
          <w:rFonts w:ascii="Times New Roman" w:hAnsi="Times New Roman"/>
          <w:sz w:val="20"/>
        </w:rPr>
      </w:pPr>
      <w:r>
        <w:rPr>
          <w:rFonts w:ascii="Times New Roman" w:hAnsi="Times New Roman"/>
          <w:sz w:val="20"/>
        </w:rPr>
        <w:t xml:space="preserve">(a)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(ii) an amount equal to the amount of all non-cash charges to the extent deducted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(iii) decreases in Consolidated Working Capital and long-term accounts receivable for such period (other than decreases relating to dispositions permitted pursuant to clause (k) of the definition of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loss on dispositions by Bidco and the Restricted Subsidiaries during such period (other than dispositions in the ordinary course of business) to the extent deducted in arriving at such Consolidated Net Income, </w:t>
      </w:r>
      <w:r>
        <w:rPr>
          <w:rFonts w:ascii="Times New Roman" w:hAnsi="Times New Roman"/>
          <w:sz w:val="20"/>
          <w:u w:val="single"/>
        </w:rPr>
        <w:t>less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(1), (2), (8), (10), (11), (12), (16) and (17) of the definition of “Consolidated Net Income” (other than cash charges in respect of Transaction Costs paid on or about the Effective Date to the extent financed with the proceeds of Indebtedness incurred on the Effective Date or an equity investment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without duplication of amounts deducted pursuant to clause (xii) below in prior fiscal years, the amount of capital expenditures made in cash or accrued during such period, except to the extent that such capital expenditures were financed with the proceeds of long-term Indebtedness of Bidco or the Restricted Subsidiaries (other than the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and all prepayments of revolving loans and swingline loans (including Revolving Loans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Bidco or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gain on dispositions by Bidco and the Restricted Subsidiaries during such period (other than dispositions in the ordinary course of business) to the extent included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(v) increases in Consolidated Working Capital and long-term accounts receivable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(vi) cash payments by Bidco and the Restricted Subsidiaries during such period in respect of long-term liabilities of Bidco and the Restricted Subsidiaries other than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(vii) without duplication of amounts deducted pursuant to clause (xii) below in prior fiscal years, the amount of Investments (other than Investments in Cash Equivalents) and acquisitions not prohibited by this Agreement, except to the extent that such Investments and acquisitions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(viii) the amount of dividends and other Restricted Payments (including the amount of Tax Distributions made by Bidco to the extent not deducted in arriving at Consolidated Net Income) paid in cash during such period, except to the extent that such dividends and Restricted Payments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(ix) the aggregate amount of payments and expenditures actually made by Bidco and the Restricted Subsidiaries in cash during such period (including expenditures for the payment of financing fees) to the extent that such payments and expenditures are not expensed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(x) cash payments by Bidco and the Restricted Subsidiaries during such period in respect of non-cash charges included in the calculation of Consolidated Net Income in any prior period; </w:t>
      </w:r>
    </w:p>
    <w:p>
      <w:pPr>
        <w:pStyle w:val="TextBody"/>
        <w:bidi w:val="0"/>
        <w:spacing w:before="120" w:after="0"/>
        <w:jc w:val="left"/>
        <w:rPr>
          <w:rFonts w:ascii="Times New Roman" w:hAnsi="Times New Roman"/>
          <w:sz w:val="20"/>
        </w:rPr>
      </w:pPr>
      <w:r>
        <w:rPr>
          <w:rFonts w:ascii="Times New Roman" w:hAnsi="Times New Roman"/>
          <w:sz w:val="20"/>
        </w:rPr>
        <w:t xml:space="preserve">(xi) the aggregate amount of any premium, make-whole or penalty payments actually paid in cash by Bidco and the Restricted Subsidiaries during such period that are required to be made in connection with any prepayment of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(xii) at the option of Bidco, and without duplication of amounts deducted in prior periods, (A) the aggregate consideration required to be paid in cash by Bidco or any of the Restricted Subsidiaries pursuant to binding contracts, commitments, letters of intent or purchase orders (the “</w:t>
      </w:r>
      <w:r>
        <w:rPr>
          <w:rFonts w:ascii="Times New Roman" w:hAnsi="Times New Roman"/>
          <w:sz w:val="20"/>
          <w:u w:val="single"/>
        </w:rPr>
        <w:t>Contract Consideration</w:t>
      </w:r>
      <w:r>
        <w:rPr>
          <w:rFonts w:ascii="Times New Roman" w:hAnsi="Times New Roman"/>
          <w:sz w:val="20"/>
        </w:rPr>
        <w:t xml:space="preserve">”), in each case, entered into prior to or during such period and (B) to the extent set forth in a certificate of a Financial Officer delivered to the Administrative Agent at or before the time the Compliance Certificate for such period is required to be delivered pursuant to </w:t>
      </w:r>
      <w:r>
        <w:rPr>
          <w:rFonts w:ascii="Times New Roman" w:hAnsi="Times New Roman"/>
          <w:sz w:val="20"/>
          <w:u w:val="single"/>
        </w:rPr>
        <w:t>Section 5.01(d)</w:t>
      </w:r>
      <w:r>
        <w:rPr>
          <w:rFonts w:ascii="Times New Roman" w:hAnsi="Times New Roman"/>
          <w:sz w:val="20"/>
        </w:rPr>
        <w:t>, the aggregate amount of cash that is reasonably expected to be paid in respect of planned cash expenditures by Bidco or any of the Restricted Subsidiaries (the “</w:t>
      </w:r>
      <w:r>
        <w:rPr>
          <w:rFonts w:ascii="Times New Roman" w:hAnsi="Times New Roman"/>
          <w:sz w:val="20"/>
          <w:u w:val="single"/>
        </w:rPr>
        <w:t>Planned Expenditures</w:t>
      </w:r>
      <w:r>
        <w:rPr>
          <w:rFonts w:ascii="Times New Roman" w:hAnsi="Times New Roman"/>
          <w:sz w:val="20"/>
        </w:rPr>
        <w:t>”), in the case of each of clauses (A) and (B), relating to Permitted Acquisitions, other Investments (other than Investments in Cash Equivalents), capital expenditures (including Capitalized Software Expenditures or other purchases of Intellectual Property) or Restricted Payments to be consummated or made during a subsequent period;</w:t>
      </w:r>
      <w:r>
        <w:rPr>
          <w:rFonts w:ascii="Times New Roman" w:hAnsi="Times New Roman"/>
          <w:sz w:val="20"/>
          <w:u w:val="single"/>
        </w:rPr>
        <w:t xml:space="preserve"> provided</w:t>
      </w:r>
      <w:r>
        <w:rPr>
          <w:rFonts w:ascii="Times New Roman" w:hAnsi="Times New Roman"/>
          <w:sz w:val="20"/>
        </w:rPr>
        <w:t xml:space="preserve">, that to the extent the aggregate amount of cash actually utilized to finance such Permitted Acquisitions, Investments, capital expenditures or Restricted Payments during such subsequent period (excluding any cash from the proceeds of long-term Indebtedness of Bidco or the Restricted Subsidiaries (other than the Revolving Loans)) is less than the Contract Consideration and Planned Expenditures, the amount of such shortfall shall be added to the calculation of Excess Cash Flow at the end of such subsequent period; </w:t>
      </w:r>
    </w:p>
    <w:p>
      <w:pPr>
        <w:pStyle w:val="TextBody"/>
        <w:bidi w:val="0"/>
        <w:spacing w:before="120" w:after="0"/>
        <w:jc w:val="left"/>
        <w:rPr>
          <w:rFonts w:ascii="Times New Roman" w:hAnsi="Times New Roman"/>
          <w:sz w:val="20"/>
        </w:rPr>
      </w:pPr>
      <w:r>
        <w:rPr>
          <w:rFonts w:ascii="Times New Roman" w:hAnsi="Times New Roman"/>
          <w:sz w:val="20"/>
        </w:rPr>
        <w:t xml:space="preserve">(xiii) the amount of cash payments made in such period to the extent they exceed the amount of rent payments deducted in determining Consolidated Net Income for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(xiv) the amount of taxes (including penalties and interest) paid in cash and/or tax reserves set aside or payable (without duplication) in such period to the extent they exceed the amount of tax expense deducted in determining Consolidated Net Income for such period.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from time to time. </w:t>
      </w:r>
    </w:p>
    <w:p>
      <w:pPr>
        <w:pStyle w:val="TextBody"/>
        <w:bidi w:val="0"/>
        <w:spacing w:before="240" w:after="0"/>
        <w:jc w:val="left"/>
        <w:rPr/>
      </w:pPr>
      <w:r>
        <w:rPr/>
        <w:t>“</w:t>
      </w:r>
      <w:r>
        <w:rPr>
          <w:rFonts w:ascii="Times New Roman" w:hAnsi="Times New Roman"/>
          <w:sz w:val="20"/>
          <w:u w:val="single"/>
        </w:rPr>
        <w:t>Excluded Affiliates</w:t>
      </w:r>
      <w:r>
        <w:rPr>
          <w:rFonts w:ascii="Times New Roman" w:hAnsi="Times New Roman"/>
          <w:sz w:val="20"/>
        </w:rPr>
        <w:t xml:space="preserve">” means (a) Affiliates of the Joint Lead Arrangers that are engaged as principals primarily in private equity, mezzanine financing or venture capital and (b) employees of the Joint Lead Arrangers engaged directly or indirectly in the sale of the Company as representatives of the Company (other than, in each case, such Persons engaged by Bidco or its Affiliates as part of the Transactions and such senior employees who are required, in accordance with industry regulations or such Joint Lead Arranger’s (or its Affiliate’s) internal policies and procedures, to act in a supervisory capacity and such Joint Lead Arranger’s internal legal, compliance, risk management, credit or investment committee members). </w:t>
      </w:r>
    </w:p>
    <w:p>
      <w:pPr>
        <w:pStyle w:val="TextBody"/>
        <w:bidi w:val="0"/>
        <w:spacing w:before="240" w:after="0"/>
        <w:jc w:val="left"/>
        <w:rPr/>
      </w:pPr>
      <w:r>
        <w:rPr/>
        <w:t>“</w:t>
      </w:r>
      <w:r>
        <w:rPr>
          <w:rFonts w:ascii="Times New Roman" w:hAnsi="Times New Roman"/>
          <w:sz w:val="20"/>
          <w:u w:val="single"/>
        </w:rPr>
        <w:t>Excluded Assets</w:t>
      </w:r>
      <w:r>
        <w:rPr>
          <w:rFonts w:ascii="Times New Roman" w:hAnsi="Times New Roman"/>
          <w:sz w:val="20"/>
        </w:rPr>
        <w:t xml:space="preserve">” means (a) in relation to a U.S. Loan Party, “Excluded Assets” as defined in the Collateral Agreement, (b) in relation to the relevant Loan Party, any other excluded assets defined or described in any other Security Documents, as reasonably agreed between the Administrative Agent and Bidco and (c) in relation to a Non-U.S. Loan Party, any assets of, held by or relating to, such Non-U.S. Loan Party, which, in each case, do not fall within the assets expressly contemplated under the definition of Overriding Principle (as defined in the Agreed Security Principles) or are otherwise excluded in accordance with the Agreed Security Principles. Notwithstanding anything to the contrary herein (but subject to the Agreed Security Principles in the case of any Non-U.S. Loan Party), the Collateral shall include all Satellite Collateral; </w:t>
      </w:r>
      <w:r>
        <w:rPr>
          <w:rFonts w:ascii="Times New Roman" w:hAnsi="Times New Roman"/>
          <w:sz w:val="20"/>
          <w:u w:val="single"/>
        </w:rPr>
        <w:t>provided</w:t>
      </w:r>
      <w:r>
        <w:rPr>
          <w:rFonts w:ascii="Times New Roman" w:hAnsi="Times New Roman"/>
          <w:sz w:val="20"/>
        </w:rPr>
        <w:t xml:space="preserve"> that the Collateral shall not include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Excluded Assets shall include) any Satellite Collateral to the extent granting a security therein is contractually or legally prohibited, prevented by public policy or national security concern or requires governmental (including regulatory) consent, approval, license or authorization from any Governmental Authority. </w:t>
      </w:r>
    </w:p>
    <w:p>
      <w:pPr>
        <w:pStyle w:val="TextBody"/>
        <w:bidi w:val="0"/>
        <w:spacing w:before="240" w:after="0"/>
        <w:jc w:val="left"/>
        <w:rPr/>
      </w:pPr>
      <w:r>
        <w:rPr/>
        <w:t>“</w:t>
      </w:r>
      <w:r>
        <w:rPr>
          <w:rFonts w:ascii="Times New Roman" w:hAnsi="Times New Roman"/>
          <w:sz w:val="20"/>
          <w:u w:val="single"/>
        </w:rPr>
        <w:t>Excluded Contribution</w:t>
      </w:r>
      <w:r>
        <w:rPr>
          <w:rFonts w:ascii="Times New Roman" w:hAnsi="Times New Roman"/>
          <w:sz w:val="20"/>
        </w:rPr>
        <w:t xml:space="preserve">” means net cash proceeds, marketable securities or Qualified Proceeds received by Bidco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and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of Bidco or to any management equity plan or stock option plan or any other management or employee benefit plan or agreement of Bidco) of Equity Interests (other than Disqualified Equity Interests and Designated Preferred Stock) of Bidco,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by the principal financial officer of Bidco on the date such capital contributions are made or the date such Equity Interests are sold, as the case may be, which are excluded from the calculation set forth in clause (A) of </w:t>
      </w:r>
      <w:r>
        <w:rPr>
          <w:rFonts w:ascii="Times New Roman" w:hAnsi="Times New Roman"/>
          <w:sz w:val="20"/>
          <w:u w:val="single"/>
        </w:rPr>
        <w:t>Section 6.05(a)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has the meaning assigned to such term in </w:t>
      </w:r>
      <w:r>
        <w:rPr>
          <w:rFonts w:ascii="Times New Roman" w:hAnsi="Times New Roman"/>
          <w:sz w:val="20"/>
          <w:u w:val="single"/>
        </w:rPr>
        <w:t>Section 2.10(a)(ii)(A)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Jurisdiction</w:t>
      </w:r>
      <w:r>
        <w:rPr>
          <w:rFonts w:ascii="Times New Roman" w:hAnsi="Times New Roman"/>
          <w:sz w:val="20"/>
        </w:rPr>
        <w:t xml:space="preserve">” means each of Bosnia, Brazil, China, Columbia, Ecuador, Egypt, India, Indonesia, Japan, Macedonia, Panama, Peru, Qatar, Romania, Russia, Serbia, Saudi Arabia, South Africa, the United Arab Emirates and Vietnam.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means (i) with reference to any Domestic Subsidiary, (a) any Subsidiary that is a Non-Wholly Owned Subsidiary, including any joint ventures, (b) each Subsidiary listed on </w:t>
      </w:r>
      <w:r>
        <w:rPr>
          <w:rFonts w:ascii="Times New Roman" w:hAnsi="Times New Roman"/>
          <w:sz w:val="20"/>
          <w:u w:val="single"/>
        </w:rPr>
        <w:t>Schedule 1.01(b)</w:t>
      </w:r>
      <w:r>
        <w:rPr>
          <w:rFonts w:ascii="Times New Roman" w:hAnsi="Times New Roman"/>
          <w:sz w:val="20"/>
        </w:rPr>
        <w:t xml:space="preserve">, (c) any Subsidiary for which the Guarantee of or the grant of Liens to secure the Secured Obligations (i) is prohibited by any applicable contractual obligation existing on the Effective Date or on the date any such Subsidiary is acquired or organized or ceases to be an Excluded Subsidiary pursuant to any other clause of this definition (as long as such prohibition was not entered into in contemplation of such transaction) or (ii) is prohibited by any Requirement of Law or requires governmental consent, approval, license or authorization (unless such consent, approval, license or authorization has been obtained), (d) any Immaterial Subsidiary, (e)(i) any direct or indirect Subsidiary that is (or that is a direct or indirect Subsidiary of) a CFC that is a Subsidiary of a Domestic Subsidiary, (ii) any Domestic Foreign Holdco and (iii) any Subsidiary whose provision of a Guarantee would result in a material adverse Tax consequence to Bidco or any Borrower (or, if applicable, the common parent of Bidco’s consolidated group for applicable income Tax purposes) and its Subsidiaries as reasonably determined by Bidco in consultation with the Administrative Agent, (f) each Unrestricted Subsidiary, (g) any Subsidiary that is (or, if it were a Loan Party, would be) an “investment company” under the Investment Company Act of 1940, as amended, (h) any not-for profit Subsidiaries, captive insurance companies, captive risk retention subsidiaries, special purpose securitization vehicle (including any Receivables Subsidiary) or other special purpose subsidiaries, or any broker dealer or trust companies, (i) [reserved], (j) any Restricted Subsidiary acquired pursuant to a Permitted Acquisition (or other Investment not prohibited by this Agreement) that is financed with Indebtedness permitted under </w:t>
      </w:r>
      <w:r>
        <w:rPr>
          <w:rFonts w:ascii="Times New Roman" w:hAnsi="Times New Roman"/>
          <w:sz w:val="20"/>
          <w:u w:val="single"/>
        </w:rPr>
        <w:t>Section 6.01</w:t>
      </w:r>
      <w:r>
        <w:rPr>
          <w:rFonts w:ascii="Times New Roman" w:hAnsi="Times New Roman"/>
          <w:sz w:val="20"/>
        </w:rPr>
        <w:t xml:space="preserve"> hereof as assumed Indebtedness and any Restricted Subsidiary thereof that Guarantees such Indebtedness, in each case to the extent such Indebtedness prohibits such Restricted Subsidiary from becoming a Guarantor, (k) any Subsidiary whose capital requirements are subject to regulation by a Governmental Authority in respect of which the guaranteeing by such Subsidiary of the Loan Document Obligations would, as reasonably determined by Bidco, result in adverse regulatory consequences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or impair the conduct of the business of such Subsidiary and any Subsidiary of such Subsidiary and (l) [reserved], (ii) with reference to any Foreign Subsidiary, any Foreign Subsidiary excluded pursuant to the Agreed Security Principles, and (iii) any other Subsidiary with respect to which, in the reasonable judgment of Bidco and the Administrative Agent, the cost, burden, difficulty or other consequences (including any adverse Tax consequences) of providing a Guarantee of the Secured Obligations shall be excessive in view of the benefits to be obtained by the Secured Parties therefrom; </w:t>
      </w:r>
      <w:r>
        <w:rPr>
          <w:rFonts w:ascii="Times New Roman" w:hAnsi="Times New Roman"/>
          <w:sz w:val="20"/>
          <w:u w:val="single"/>
        </w:rPr>
        <w:t>provided</w:t>
      </w:r>
      <w:r>
        <w:rPr>
          <w:rFonts w:ascii="Times New Roman" w:hAnsi="Times New Roman"/>
          <w:sz w:val="20"/>
        </w:rPr>
        <w:t xml:space="preserve"> that upon notice to the Administrative Agent, Bidco may at any time and in its sole discretion, deem that any Subsidiary shall not be an Excluded Subsidiary for purposes of this Agreement and the other Loan Documents.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Guarantor at any time, any Secured Swap Obligation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with respect to the Administrative Agent, any Lender, any Issuing Bank or any other recipient of any payment to be made by or on account of any obligation of any Loan Party hereunder or under any other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(ii) as a result of any other present or former connection between such recipient and the jurisdiction imposing such Tax (other than a connection arising solely from such recipient having executed, delivered, become a party to, performed its obligations or received payments under, received or perfected a security interest under or enforced any Loan Documents or engaged in any other transaction pursuant to any Loan Document, or having sold or assigned an interest in any Loan Documents), (b) any branch profits tax imposed under Section 884(a) of the Code, or any similar Tax, imposed by any jurisdiction described in clause (a) above, (c) any Tax imposed pursuant to FATCA, (d) any withholding Tax that is attributable to a Lender’s failure to comply with </w:t>
      </w:r>
      <w:r>
        <w:rPr>
          <w:rFonts w:ascii="Times New Roman" w:hAnsi="Times New Roman"/>
          <w:sz w:val="20"/>
          <w:u w:val="single"/>
        </w:rPr>
        <w:t>Section 2.16(e)</w:t>
      </w:r>
      <w:r>
        <w:rPr>
          <w:rFonts w:ascii="Times New Roman" w:hAnsi="Times New Roman"/>
          <w:sz w:val="20"/>
        </w:rPr>
        <w:t xml:space="preserve"> and (e) except in the case of an assignee pursuant to a request by Bidco under </w:t>
      </w:r>
      <w:r>
        <w:rPr>
          <w:rFonts w:ascii="Times New Roman" w:hAnsi="Times New Roman"/>
          <w:sz w:val="20"/>
          <w:u w:val="single"/>
        </w:rPr>
        <w:t>Section 2.18</w:t>
      </w:r>
      <w:r>
        <w:rPr>
          <w:rFonts w:ascii="Times New Roman" w:hAnsi="Times New Roman"/>
          <w:sz w:val="20"/>
        </w:rPr>
        <w:t xml:space="preserve"> hereto, any withholding Taxes that are imposed by a Borrower Tax Jurisdiction on amounts payable by that Borrower to a Lender or on amounts payable by a Guarantor to a Lender in respect of amounts payable to the Lender by that Borrower and which arise pursuant to any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Times New Roman" w:hAnsi="Times New Roman"/>
          <w:sz w:val="20"/>
          <w:u w:val="single"/>
        </w:rPr>
        <w:t>Section 2.16(a)</w:t>
      </w:r>
      <w:r>
        <w:rPr>
          <w:rFonts w:ascii="Times New Roman" w:hAnsi="Times New Roman"/>
          <w:sz w:val="20"/>
        </w:rPr>
        <w:t xml:space="preserve">. For the purposes of clause (e) of this definition of Excluded Taxes, withholding tax imposed on amounts payable to or for the account of a Lender with respect to an interest in a Loan or Commitment as a result of, or in connection with, (i) any change that occurs pursuant to, or in connection with the adoption, ratification, approval or acceptance of, the MLI in or by any jurisdiction; or (ii) any change arising in consequence of, or in connection with, the United Kingdom ceasing to be a member state of the European Union, shall be considered in effect at the time the relevant Lender becomes a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Existing Letters of Credit</w:t>
      </w:r>
      <w:r>
        <w:rPr>
          <w:rFonts w:ascii="Times New Roman" w:hAnsi="Times New Roman"/>
          <w:sz w:val="20"/>
        </w:rPr>
        <w:t xml:space="preserve">” shall mean each of the letters of credit described on Schedule 1.01(c) hereto. </w:t>
      </w:r>
    </w:p>
    <w:p>
      <w:pPr>
        <w:pStyle w:val="TextBody"/>
        <w:bidi w:val="0"/>
        <w:spacing w:before="240" w:after="0"/>
        <w:jc w:val="left"/>
        <w:rPr/>
      </w:pPr>
      <w:r>
        <w:rPr/>
        <w:t>“</w:t>
      </w:r>
      <w:r>
        <w:rPr>
          <w:rFonts w:ascii="Times New Roman" w:hAnsi="Times New Roman"/>
          <w:sz w:val="20"/>
          <w:u w:val="single"/>
        </w:rPr>
        <w:t>Existing Revolving Facility Agreement</w:t>
      </w:r>
      <w:r>
        <w:rPr>
          <w:rFonts w:ascii="Times New Roman" w:hAnsi="Times New Roman"/>
          <w:sz w:val="20"/>
        </w:rPr>
        <w:t xml:space="preserve">” means the $750,200,000 multicurrency revolving credit facility agreement originally dated June 30, 2011 (as amended, restated, amended and restated, supplemented or otherwise modified from time to time) between, amongst others, Inmarsat Investments Limited as company and National Westminster Bank Plc as agent and security agent.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or “</w:t>
      </w:r>
      <w:r>
        <w:rPr>
          <w:rFonts w:ascii="Times New Roman" w:hAnsi="Times New Roman"/>
          <w:sz w:val="20"/>
          <w:u w:val="single"/>
        </w:rPr>
        <w:t>fair market value</w:t>
      </w:r>
      <w:r>
        <w:rPr>
          <w:rFonts w:ascii="Times New Roman" w:hAnsi="Times New Roman"/>
          <w:sz w:val="20"/>
        </w:rPr>
        <w:t xml:space="preserv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as reasonably determined by Bidco in good faith (which determination shall be conclusive).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thereto), any current or future United States Department of Treasury regulations thereunder or other official administrative interpretations thereof, any agreements entered into pursuant to current Section 1471(b)(1) of the Code as of the date of this Agreement (or any amended or successor version described above) and any intergovernmental agreements implementing the foregoing.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the third amended and restated fee letter dated as of October 7,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corporate controller of Holdings, Bidco or a Restricted Subsidiary, as applicable. </w:t>
      </w:r>
    </w:p>
    <w:p>
      <w:pPr>
        <w:pStyle w:val="TextBody"/>
        <w:bidi w:val="0"/>
        <w:spacing w:before="240" w:after="0"/>
        <w:jc w:val="left"/>
        <w:rPr/>
      </w:pPr>
      <w:r>
        <w:rPr/>
        <w:t>“</w:t>
      </w:r>
      <w:r>
        <w:rPr>
          <w:rFonts w:ascii="Times New Roman" w:hAnsi="Times New Roman"/>
          <w:sz w:val="20"/>
          <w:u w:val="single"/>
        </w:rPr>
        <w:t>Financial Performance Covenant</w:t>
      </w:r>
      <w:r>
        <w:rPr>
          <w:rFonts w:ascii="Times New Roman" w:hAnsi="Times New Roman"/>
          <w:sz w:val="20"/>
        </w:rPr>
        <w:t xml:space="preserve">” means the covenant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 Transactions</w:t>
      </w:r>
      <w:r>
        <w:rPr>
          <w:rFonts w:ascii="Times New Roman" w:hAnsi="Times New Roman"/>
          <w:sz w:val="20"/>
        </w:rPr>
        <w:t xml:space="preserve">” means (a) the execution, delivery and performance by each Loan Party of the Loan Documents to which it is to be a party, (b) the borrowing of Loans hereunder and the use of the proceeds thereof and (c) the issuance, amendment or extension of Letters of Credit hereunder and the use of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Finco 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and any successor to its rating agency business. </w:t>
      </w:r>
    </w:p>
    <w:p>
      <w:pPr>
        <w:pStyle w:val="TextBody"/>
        <w:bidi w:val="0"/>
        <w:spacing w:before="240" w:after="0"/>
        <w:jc w:val="left"/>
        <w:rPr/>
      </w:pPr>
      <w:r>
        <w:rPr/>
        <w:t>“</w:t>
      </w:r>
      <w:r>
        <w:rPr>
          <w:rFonts w:ascii="Times New Roman" w:hAnsi="Times New Roman"/>
          <w:sz w:val="20"/>
          <w:u w:val="single"/>
        </w:rPr>
        <w:t>Fixed Amounts</w:t>
      </w:r>
      <w:r>
        <w:rPr>
          <w:rFonts w:ascii="Times New Roman" w:hAnsi="Times New Roman"/>
          <w:sz w:val="20"/>
        </w:rPr>
        <w:t xml:space="preserve">” has the meaning assigned to such term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Fixed Charges</w:t>
      </w:r>
      <w:r>
        <w:rPr>
          <w:rFonts w:ascii="Times New Roman" w:hAnsi="Times New Roman"/>
          <w:sz w:val="20"/>
        </w:rPr>
        <w:t xml:space="preserve">” means, with respect to any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(2) all cash dividends or other distributions paid (excluding items eliminated in consolidation) on any series of Preferred Stock of any Restricted Subsidiary during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(3) all cash dividends or other distributions paid (excluding items eliminated in consolidation) on any series of Disqualified Equity Interests during such period.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 Lender that is not a United States Person (as defined in Section 7701(a)(30) of the Code). </w:t>
      </w:r>
    </w:p>
    <w:p>
      <w:pPr>
        <w:pStyle w:val="TextBody"/>
        <w:bidi w:val="0"/>
        <w:spacing w:before="240" w:after="0"/>
        <w:jc w:val="left"/>
        <w:rPr/>
      </w:pPr>
      <w:r>
        <w:rPr/>
        <w:t>“</w:t>
      </w:r>
      <w:r>
        <w:rPr>
          <w:rFonts w:ascii="Times New Roman" w:hAnsi="Times New Roman"/>
          <w:sz w:val="20"/>
          <w:u w:val="single"/>
        </w:rPr>
        <w:t>Foreign Prepayment Event</w:t>
      </w:r>
      <w:r>
        <w:rPr>
          <w:rFonts w:ascii="Times New Roman" w:hAnsi="Times New Roman"/>
          <w:sz w:val="20"/>
        </w:rPr>
        <w:t xml:space="preserve">” has the meaning assigned to such term in </w:t>
      </w:r>
      <w:r>
        <w:rPr>
          <w:rFonts w:ascii="Times New Roman" w:hAnsi="Times New Roman"/>
          <w:sz w:val="20"/>
          <w:u w:val="single"/>
        </w:rPr>
        <w:t>Section 2.10(g)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any Subsidiary that is organized under the laws of a jurisdiction other than the United States, any state thereof or the District of Columbia. </w:t>
      </w:r>
    </w:p>
    <w:p>
      <w:pPr>
        <w:pStyle w:val="TextBody"/>
        <w:bidi w:val="0"/>
        <w:spacing w:before="240" w:after="0"/>
        <w:jc w:val="left"/>
        <w:rPr/>
      </w:pPr>
      <w:r>
        <w:rPr/>
        <w:t>“</w:t>
      </w:r>
      <w:r>
        <w:rPr>
          <w:rFonts w:ascii="Times New Roman" w:hAnsi="Times New Roman"/>
          <w:sz w:val="20"/>
          <w:u w:val="single"/>
        </w:rPr>
        <w:t>Form Intercreditor Agreements</w:t>
      </w:r>
      <w:r>
        <w:rPr>
          <w:rFonts w:ascii="Times New Roman" w:hAnsi="Times New Roman"/>
          <w:sz w:val="20"/>
        </w:rPr>
        <w:t xml:space="preserve">” means (a) an intercreditor agreement substantially in the form of the Pari Passu Intercreditor Agreement and/or (b) an intercreditor agreement substantially in the form of the Second Lien Intercreditor Agreement, as applicable. </w:t>
      </w:r>
    </w:p>
    <w:p>
      <w:pPr>
        <w:pStyle w:val="TextBody"/>
        <w:bidi w:val="0"/>
        <w:spacing w:before="240" w:after="0"/>
        <w:jc w:val="left"/>
        <w:rPr/>
      </w:pPr>
      <w:r>
        <w:rPr/>
        <w:t>“</w:t>
      </w:r>
      <w:r>
        <w:rPr>
          <w:rFonts w:ascii="Times New Roman" w:hAnsi="Times New Roman"/>
          <w:sz w:val="20"/>
          <w:u w:val="single"/>
        </w:rPr>
        <w:t>Funded Debt</w:t>
      </w:r>
      <w:r>
        <w:rPr>
          <w:rFonts w:ascii="Times New Roman" w:hAnsi="Times New Roman"/>
          <w:sz w:val="20"/>
        </w:rPr>
        <w:t xml:space="preserve">” means all Indebtedness of Bidco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means generally accepted accounting principles in the United States of America, as in effect from time to time;</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if Bidco notifies the Administrative Agent that Bidco requests an amendment to any provision hereof to eliminate the effect of any change occurring after the Effective Date in GAAP or in the application thereof on the operation of such provision (or if the Administrative Agent notifies Bidco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(b) the amount of 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GAAP with respect to Capitalized Lease Obligations shall be determined providing that all obligations of any Person that are or would have been characterized as an operating lease as determined in accordance with GAAP as in effect prior to February 25, 2016 (whether or not such operating lease was in effect on such date) shall continue to be accounted for as an operating lease (and not as a Capitalized Lease or Capitalized Lease Obligation) for purposes of this Agreement regardless of any change in GAAP following such date that would otherwise require such obligation to be recharacterized as a Capitalized Lease Obligation, to the extent that financial reporting shall not be affected hereby and (c) at Bidco’s sole election from time to time, any adverse impact directly or indirectly relating to or resulting from the implementation of FASB Accounting Standards Codification 606-Revenue From Contracts With Customers and any successor standard thereto (or any equivalent measure under IFRS) shall be disregarded with respect to all ratios, calculations and determinations based upon GAAP to be calculated or made, as the case may be, pursuant to this Agreement. </w:t>
      </w:r>
    </w:p>
    <w:p>
      <w:pPr>
        <w:pStyle w:val="TextBody"/>
        <w:bidi w:val="0"/>
        <w:spacing w:before="240" w:after="0"/>
        <w:jc w:val="left"/>
        <w:rPr/>
      </w:pPr>
      <w:r>
        <w:rPr/>
        <w:t>“</w:t>
      </w:r>
      <w:r>
        <w:rPr>
          <w:rFonts w:ascii="Times New Roman" w:hAnsi="Times New Roman"/>
          <w:sz w:val="20"/>
          <w:u w:val="single"/>
        </w:rPr>
        <w:t>General Debt Basket Reallocated Amount</w:t>
      </w:r>
      <w:r>
        <w:rPr>
          <w:rFonts w:ascii="Times New Roman" w:hAnsi="Times New Roman"/>
          <w:sz w:val="20"/>
        </w:rPr>
        <w:t xml:space="preserve">” means any amount that, at the option of Holdings, Bidco or a Borrower, has been reallocated from </w:t>
      </w:r>
      <w:r>
        <w:rPr>
          <w:rFonts w:ascii="Times New Roman" w:hAnsi="Times New Roman"/>
          <w:sz w:val="20"/>
          <w:u w:val="single"/>
        </w:rPr>
        <w:t>Section 6.01(b)(xi)(b)(x)</w:t>
      </w:r>
      <w:r>
        <w:rPr>
          <w:rFonts w:ascii="Times New Roman" w:hAnsi="Times New Roman"/>
          <w:sz w:val="20"/>
        </w:rPr>
        <w:t xml:space="preserve"> to clause (I)(a)(ii) of the “Incremental Cap,” which shall be deemed to be a utilization of the basket set forth in </w:t>
      </w:r>
      <w:r>
        <w:rPr>
          <w:rFonts w:ascii="Times New Roman" w:hAnsi="Times New Roman"/>
          <w:sz w:val="20"/>
          <w:u w:val="single"/>
        </w:rPr>
        <w:t>Section 6.01(b)(xi)(b)(x)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means all authorizations, consents, approvals, permits, licenses and exemptions of, registrations and filings with, and reports to, Governmental Authorities.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means Bidco and its Restricted Subsidiaries from time to time.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Guarantee Agreement</w:t>
      </w:r>
      <w:r>
        <w:rPr>
          <w:rFonts w:ascii="Times New Roman" w:hAnsi="Times New Roman"/>
          <w:sz w:val="20"/>
        </w:rPr>
        <w:t>” means the Guarantee Agreement among the Loan Parties and the Collateral Agent, substantially in the form of</w:t>
      </w:r>
      <w:r>
        <w:rPr>
          <w:rFonts w:ascii="Times New Roman" w:hAnsi="Times New Roman"/>
          <w:sz w:val="20"/>
          <w:u w:val="single"/>
        </w:rPr>
        <w:t xml:space="preserve"> 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Guarantee Limitations</w:t>
      </w:r>
      <w:r>
        <w:rPr>
          <w:rFonts w:ascii="Times New Roman" w:hAnsi="Times New Roman"/>
          <w:sz w:val="20"/>
        </w:rPr>
        <w:t xml:space="preserve">” has the meaning specified in the Guarantee Agreement, as may be supplemented from time to time in accordance with the terms thereof. </w:t>
      </w:r>
    </w:p>
    <w:p>
      <w:pPr>
        <w:pStyle w:val="TextBody"/>
        <w:bidi w:val="0"/>
        <w:spacing w:before="240" w:after="0"/>
        <w:jc w:val="left"/>
        <w:rPr/>
      </w:pPr>
      <w:r>
        <w:rPr/>
        <w:t>“</w:t>
      </w:r>
      <w:r>
        <w:rPr>
          <w:rFonts w:ascii="Times New Roman" w:hAnsi="Times New Roman"/>
          <w:sz w:val="20"/>
          <w:u w:val="single"/>
        </w:rPr>
        <w:t>Guarantor Coverage Material Subsidiary</w:t>
      </w:r>
      <w:r>
        <w:rPr>
          <w:rFonts w:ascii="Times New Roman" w:hAnsi="Times New Roman"/>
          <w:sz w:val="20"/>
        </w:rPr>
        <w:t xml:space="preserve">” means the Finco Borrower, (following the Acquisition) the Company and, at any time, each Non-U.S. Restricted Subsidiary that has earnings before interest, tax, depreciation and amortization (calculated (I) on an unconsolidated basis, (II) by excluding goodwill, intra-Group items and investments in Subsidiaries (in each case to the extent applicable) and (III) otherwise on the same basis as Consolidated EBITDA) representing 5% or more of Consolidated EBITDA of Bidco and its Restricted Subsidiaries, </w:t>
      </w:r>
      <w:r>
        <w:rPr>
          <w:rFonts w:ascii="Times New Roman" w:hAnsi="Times New Roman"/>
          <w:sz w:val="20"/>
          <w:u w:val="single"/>
        </w:rPr>
        <w:t>provided that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calculation shall be determined by reference to the most recent Compliance Certificate required to be delivered by Bidco in respect of the latest financial statements delivered under </w:t>
      </w:r>
      <w:r>
        <w:rPr>
          <w:rFonts w:ascii="Times New Roman" w:hAnsi="Times New Roman"/>
          <w:sz w:val="20"/>
          <w:u w:val="single"/>
        </w:rPr>
        <w:t>Section 5.01(a)</w:t>
      </w:r>
      <w:r>
        <w:rPr>
          <w:rFonts w:ascii="Times New Roman" w:hAnsi="Times New Roman"/>
          <w:sz w:val="20"/>
        </w:rPr>
        <w:t xml:space="preserv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any entity having negative earnings before interest, tax, depreciation and amortization shall be deemed to have zero earnings before interest, tax, depreciation and amortization; and </w:t>
      </w:r>
    </w:p>
    <w:p>
      <w:pPr>
        <w:pStyle w:val="TextBody"/>
        <w:bidi w:val="0"/>
        <w:spacing w:before="240" w:after="0"/>
        <w:jc w:val="left"/>
        <w:rPr>
          <w:rFonts w:ascii="Times New Roman" w:hAnsi="Times New Roman"/>
          <w:sz w:val="20"/>
        </w:rPr>
      </w:pPr>
      <w:r>
        <w:rPr>
          <w:rFonts w:ascii="Times New Roman" w:hAnsi="Times New Roman"/>
          <w:sz w:val="20"/>
        </w:rPr>
        <w:t xml:space="preserve">(c) each Restricted Subsidiary that is incorporated in an Excluded Jurisdiction and/or is otherwise not required to (or is unable to) become a Guarantor in accordance with the Agreed Security Principles will not be considered a Guarantor Coverage Material Subsidiary. </w:t>
      </w:r>
    </w:p>
    <w:p>
      <w:pPr>
        <w:pStyle w:val="TextBody"/>
        <w:bidi w:val="0"/>
        <w:spacing w:before="240" w:after="0"/>
        <w:jc w:val="left"/>
        <w:rPr/>
      </w:pPr>
      <w:r>
        <w:rPr/>
        <w:t>“</w:t>
      </w:r>
      <w:r>
        <w:rPr>
          <w:rFonts w:ascii="Times New Roman" w:hAnsi="Times New Roman"/>
          <w:sz w:val="20"/>
          <w:u w:val="single"/>
        </w:rPr>
        <w:t>Guarantor Coverage Test</w:t>
      </w:r>
      <w:r>
        <w:rPr>
          <w:rFonts w:ascii="Times New Roman" w:hAnsi="Times New Roman"/>
          <w:sz w:val="20"/>
        </w:rPr>
        <w:t>” means confirmation that the aggregate (without double counting) earnings before interest, tax, depreciation and amortization (calculated on the same basis as Consolidated EBITDA but taking each entity on an unconsolidated basis and excluding goodwill, all intra Group items and investments in Subsidiaries of any member of the Group) (“</w:t>
      </w:r>
      <w:r>
        <w:rPr>
          <w:rFonts w:ascii="Times New Roman" w:hAnsi="Times New Roman"/>
          <w:sz w:val="20"/>
          <w:u w:val="single"/>
        </w:rPr>
        <w:t>EBITDA</w:t>
      </w:r>
      <w:r>
        <w:rPr>
          <w:rFonts w:ascii="Times New Roman" w:hAnsi="Times New Roman"/>
          <w:sz w:val="20"/>
        </w:rPr>
        <w:t xml:space="preserve">”) of Bidco and its Restricted Subsidiaries that are Guarantors equals or exceeds 80.0% of Consolidated EBITDA of Bidco and its Restricted Subsidiaries; </w:t>
      </w:r>
      <w:r>
        <w:rPr>
          <w:rFonts w:ascii="Times New Roman" w:hAnsi="Times New Roman"/>
          <w:sz w:val="20"/>
          <w:u w:val="single"/>
        </w:rPr>
        <w:t>provided that</w:t>
      </w:r>
      <w:r>
        <w:rPr>
          <w:rFonts w:ascii="Times New Roman" w:hAnsi="Times New Roman"/>
          <w:sz w:val="20"/>
        </w:rPr>
        <w:t xml:space="preserve">, for the purposes of calculating the Guarantor Coverage Test only: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any Guarantor generates negative EBITDA, such Guarantor shall be deemed to have zero EBITDA, for the purpose of calculating the numerator of the Guarantor Coverage Test; and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elected by Bidco, to the extent that any member of the Group (i) is not a Guarantor and (ii) is incorporated in an Excluded Jurisdiction and/or is otherwise not required to (or is unable to) become a Guarantor in accordance with the Agreed Security Principles, then such member of the Group shall be deemed to have zero (0) EBITDA, for the purpose of calculating the denominator of the Guarantor Coverage Test. </w:t>
      </w:r>
    </w:p>
    <w:p>
      <w:pPr>
        <w:pStyle w:val="TextBody"/>
        <w:bidi w:val="0"/>
        <w:spacing w:before="240" w:after="0"/>
        <w:jc w:val="left"/>
        <w:rPr/>
      </w:pPr>
      <w:r>
        <w:rPr/>
        <w:t>“</w:t>
      </w:r>
      <w:r>
        <w:rPr>
          <w:rFonts w:ascii="Times New Roman" w:hAnsi="Times New Roman"/>
          <w:sz w:val="20"/>
          <w:u w:val="single"/>
        </w:rPr>
        <w:t>Guarantors</w:t>
      </w:r>
      <w:r>
        <w:rPr>
          <w:rFonts w:ascii="Times New Roman" w:hAnsi="Times New Roman"/>
          <w:sz w:val="20"/>
        </w:rPr>
        <w:t xml:space="preserve">” means Holdings, Bidco, any Intermediate Parent and the Subsidiary Loan Parties.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radioactive, hazardous or toxic substances, wastes or other pollutants, including petroleum or petroleum by-products or distillates, asbestos or asbestos-containing materials, polychlorinated biphenyls, radon gas, or infectious or medical wastes, in each case in any form regulated pursuant to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Hedging Obligations</w:t>
      </w:r>
      <w:r>
        <w:rPr>
          <w:rFonts w:ascii="Times New Roman" w:hAnsi="Times New Roman"/>
          <w:sz w:val="20"/>
        </w:rPr>
        <w:t xml:space="preserve">” means, with respect to any Person, the obligations of such Person under any Swap Agreement.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means (a) prior to any IPO, Initial Holdings and (b) upon and after an IPO, (i) if the IPO Entity is Initial Holdings or any Person of which Initial Holdings is a Subsidiary, Initial Holdings or (ii) if the IPO Entity is an Intermediate Parent, the IPO Entity. </w:t>
      </w:r>
    </w:p>
    <w:p>
      <w:pPr>
        <w:pStyle w:val="TextBody"/>
        <w:bidi w:val="0"/>
        <w:spacing w:before="240" w:after="0"/>
        <w:jc w:val="left"/>
        <w:rPr/>
      </w:pPr>
      <w:r>
        <w:rPr/>
        <w:t>“</w:t>
      </w:r>
      <w:r>
        <w:rPr>
          <w:rFonts w:ascii="Times New Roman" w:hAnsi="Times New Roman"/>
          <w:sz w:val="20"/>
          <w:u w:val="single"/>
        </w:rPr>
        <w:t>ICE LIBOR</w:t>
      </w:r>
      <w:r>
        <w:rPr>
          <w:rFonts w:ascii="Times New Roman" w:hAnsi="Times New Roman"/>
          <w:sz w:val="20"/>
        </w:rPr>
        <w:t xml:space="preserve">” has the meaning assigned to such term in the definition of “Alternate Base Rate.” </w:t>
      </w:r>
    </w:p>
    <w:p>
      <w:pPr>
        <w:pStyle w:val="TextBody"/>
        <w:bidi w:val="0"/>
        <w:spacing w:before="240" w:after="0"/>
        <w:jc w:val="left"/>
        <w:rPr/>
      </w:pPr>
      <w:r>
        <w:rPr/>
        <w:t>“</w:t>
      </w:r>
      <w:r>
        <w:rPr>
          <w:rFonts w:ascii="Times New Roman" w:hAnsi="Times New Roman"/>
          <w:sz w:val="20"/>
          <w:u w:val="single"/>
        </w:rPr>
        <w:t>Identified Participating Lenders</w:t>
      </w:r>
      <w:r>
        <w:rPr>
          <w:rFonts w:ascii="Times New Roman" w:hAnsi="Times New Roman"/>
          <w:sz w:val="20"/>
        </w:rPr>
        <w:t xml:space="preserve">” has the meaning assigned to such term in </w:t>
      </w:r>
      <w:r>
        <w:rPr>
          <w:rFonts w:ascii="Times New Roman" w:hAnsi="Times New Roman"/>
          <w:sz w:val="20"/>
          <w:u w:val="single"/>
        </w:rPr>
        <w:t>Section 2.10(a)(ii)(C)(3)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Identified Qualifying Lenders</w:t>
      </w:r>
      <w:r>
        <w:rPr>
          <w:rFonts w:ascii="Times New Roman" w:hAnsi="Times New Roman"/>
          <w:sz w:val="20"/>
        </w:rPr>
        <w:t xml:space="preserve">” has the meaning specified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means the International Financial Reporting Standards of the International Accounting Standards Board as adopted in the European Union;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Bidco notifies the Administrative Agent that Bidco requests an amendment to any provision hereof to eliminate the effect of any change occurring after the Effective Date in IFRS or in the application thereof on the operation of such provision (or if the Administrative Agent notifies Bidco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 the amount of any Indebtedness under IFRS with respect to Capitalized Lease Obligations shall be determined in accordance with the definition of Capitalized Lease Obligations and (b) at any time after the Effective Date, Bidco may elect, upon notice to the Administrative Agent, to apply GAAP accounting principles in lieu of IFRS and, upon any such election, references herein to IFRS shall thereafter be construed to mean GAAP (except as otherwise provided herein), including as to the ability of Bidco or the Required Lenders to make an election pursuant to </w:t>
      </w:r>
      <w:r>
        <w:rPr>
          <w:rFonts w:ascii="Times New Roman" w:hAnsi="Times New Roman"/>
          <w:sz w:val="20"/>
          <w:u w:val="single"/>
        </w:rPr>
        <w:t>clause (a)</w:t>
      </w:r>
      <w:r>
        <w:rPr>
          <w:rFonts w:ascii="Times New Roman" w:hAnsi="Times New Roman"/>
          <w:sz w:val="20"/>
        </w:rPr>
        <w:t xml:space="preserve"> above; provided that (x) any election made pursuant to this </w:t>
      </w:r>
      <w:r>
        <w:rPr>
          <w:rFonts w:ascii="Times New Roman" w:hAnsi="Times New Roman"/>
          <w:sz w:val="20"/>
          <w:u w:val="single"/>
        </w:rPr>
        <w:t>clause (b)</w:t>
      </w:r>
      <w:r>
        <w:rPr>
          <w:rFonts w:ascii="Times New Roman" w:hAnsi="Times New Roman"/>
          <w:sz w:val="20"/>
        </w:rPr>
        <w:t xml:space="preserve">, once made, shall be irrevocable, (y) any calculation or determination in this Agreement that requires the application of IFRS for periods that include fiscal quarters ended prior to Bidco’s election to apply GAAP shall remain as previously calculated or determined in accordance with IFRS and (z) Bidco may only make an election pursuant to this </w:t>
      </w:r>
      <w:r>
        <w:rPr>
          <w:rFonts w:ascii="Times New Roman" w:hAnsi="Times New Roman"/>
          <w:sz w:val="20"/>
          <w:u w:val="single"/>
        </w:rPr>
        <w:t>clause (b)</w:t>
      </w:r>
      <w:r>
        <w:rPr>
          <w:rFonts w:ascii="Times New Roman" w:hAnsi="Times New Roman"/>
          <w:sz w:val="20"/>
        </w:rPr>
        <w:t xml:space="preserve"> if it also elects to report any subsequent financial reports required to be made by Bidco, including pursuant to </w:t>
      </w:r>
      <w:r>
        <w:rPr>
          <w:rFonts w:ascii="Times New Roman" w:hAnsi="Times New Roman"/>
          <w:sz w:val="20"/>
          <w:u w:val="single"/>
        </w:rPr>
        <w:t>Section 5.01(a)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GAAP, and (c) at Bidco’s sole election from time to time, any adverse impact directly or indirectly relating to or resulting from the implementation of IFRS 15 and any successor standard thereto (or any equivalent measure under GAAP) shall be disregarded with respect to all ratios, calculations and determinations based upon IFRS to be calculated or made, as the case may be, pursuant to this Agreement.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means any Restricted Subsidiary other than a Material Subsidiary. </w:t>
      </w:r>
    </w:p>
    <w:p>
      <w:pPr>
        <w:pStyle w:val="TextBody"/>
        <w:bidi w:val="0"/>
        <w:spacing w:before="240" w:after="0"/>
        <w:jc w:val="left"/>
        <w:rPr/>
      </w:pPr>
      <w:r>
        <w:rPr/>
        <w:t>“</w:t>
      </w:r>
      <w:r>
        <w:rPr>
          <w:rFonts w:ascii="Times New Roman" w:hAnsi="Times New Roman"/>
          <w:sz w:val="20"/>
          <w:u w:val="single"/>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Impacted Loans</w:t>
      </w:r>
      <w:r>
        <w:rPr>
          <w:rFonts w:ascii="Times New Roman" w:hAnsi="Times New Roman"/>
          <w:sz w:val="20"/>
        </w:rPr>
        <w:t xml:space="preserve">” has the meaning assigned to such term in </w:t>
      </w:r>
      <w:r>
        <w:rPr>
          <w:rFonts w:ascii="Times New Roman" w:hAnsi="Times New Roman"/>
          <w:sz w:val="20"/>
          <w:u w:val="single"/>
        </w:rPr>
        <w:t>Section 2.13(a)(ii)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Increased Amount</w:t>
      </w:r>
      <w:r>
        <w:rPr>
          <w:rFonts w:ascii="Times New Roman" w:hAnsi="Times New Roman"/>
          <w:sz w:val="20"/>
        </w:rPr>
        <w:t xml:space="preserve">” shall have the meaning assigned to such term in </w:t>
      </w:r>
      <w:r>
        <w:rPr>
          <w:rFonts w:ascii="Times New Roman" w:hAnsi="Times New Roman"/>
          <w:sz w:val="20"/>
          <w:u w:val="single"/>
        </w:rPr>
        <w:t>Section 6.02(c)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Cap</w:t>
      </w:r>
      <w:r>
        <w:rPr>
          <w:rFonts w:ascii="Times New Roman" w:hAnsi="Times New Roman"/>
          <w:sz w:val="20"/>
        </w:rPr>
        <w:t xml:space="preserve">” means, as of any date of determination, the sum of: </w:t>
      </w:r>
    </w:p>
    <w:p>
      <w:pPr>
        <w:pStyle w:val="TextBody"/>
        <w:bidi w:val="0"/>
        <w:spacing w:before="240" w:after="0"/>
        <w:jc w:val="left"/>
        <w:rPr>
          <w:rFonts w:ascii="Times New Roman" w:hAnsi="Times New Roman"/>
          <w:sz w:val="20"/>
        </w:rPr>
      </w:pPr>
      <w:r>
        <w:rPr>
          <w:rFonts w:ascii="Times New Roman" w:hAnsi="Times New Roman"/>
          <w:sz w:val="20"/>
        </w:rPr>
        <w:t xml:space="preserve">(I) (a) $750,000,000 </w:t>
      </w:r>
      <w:r>
        <w:rPr>
          <w:rFonts w:ascii="Times New Roman" w:hAnsi="Times New Roman"/>
          <w:sz w:val="20"/>
          <w:u w:val="single"/>
        </w:rPr>
        <w:t>plus</w:t>
      </w:r>
      <w:r>
        <w:rPr>
          <w:rFonts w:ascii="Times New Roman" w:hAnsi="Times New Roman"/>
          <w:sz w:val="20"/>
        </w:rPr>
        <w:t xml:space="preserve"> (ii) any General Debt Basket Reallocated Amount;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all voluntary prepayments of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(including purchases of the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by Bidco and its Subsidiaries at or below par, in which case the amount of voluntary prepayments of Loans shall be deemed to be the actual face amount the resulting reduction in Indebtedness of such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and the amount paid in cash in respect of any reduction in the outstanding amount of any loan resulting from the application of any “yank-a-bank” provisions) (and in the case of any revolving loans, a corresponding commitment reduction) (other than, in each case, prepayments, repurchases and commitment reductions with the proceeds of (x) Refinancing Indebtedness, (y) Indebtedness the proceeds of which are used to refinance the Term Loans and Revolving Loans and (z) other long-term Indebtedness (other than Revolving Loans));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aggregate principal amount of all Incremental Facilities and all Incremental Equivalent Debt outstanding at such time that was incurred in reliance on the foregoing clauses (a) and/or (b);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in the case of any Incremental Facilities or Incremental Equivalent Debt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the maximum aggregate principal amount that can be incurred without causing the Senior Secured First Lien Net Leverage Ratio to exceed 5.10 to 1.00 for the most recently ended Test Period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Incremental Facilities or Incremental Equivalent Debt secured by the Collateral on a junior basis with the Secured Obligations, the maximum aggregate principal amount that can be incurred without causing the Senior Secured Net Leverage Ratio to exceed 5.10 to 1.00 for the most recently ended Test Period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Incremental Facilities or Incremental Equivalent Debt that is unsecured or is secured by assets that are not Collateral, the maximum aggregate principal amount that can be incurred without causing, at Bidco’s option, either: </w:t>
      </w:r>
    </w:p>
    <w:p>
      <w:pPr>
        <w:pStyle w:val="TextBody"/>
        <w:bidi w:val="0"/>
        <w:spacing w:before="120" w:after="0"/>
        <w:jc w:val="left"/>
        <w:rPr>
          <w:rFonts w:ascii="Times New Roman" w:hAnsi="Times New Roman"/>
          <w:sz w:val="20"/>
        </w:rPr>
      </w:pPr>
      <w:r>
        <w:rPr>
          <w:rFonts w:ascii="Times New Roman" w:hAnsi="Times New Roman"/>
          <w:sz w:val="20"/>
        </w:rPr>
        <w:t xml:space="preserve">(i) the Interest Coverage Ratio to be less than 2.00 to 1.00 for the most recently ended Test Period as of such 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Total Net Leverage Ratio to exceed 5.10 to 1.00 for the most recently ended Test Period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 Revolving Loans or (ii) Incremental Facility or Incremental Equivalent Debt made pursuant to clause (I) above) for the most recently ended Test Period as of such date and subject to </w:t>
      </w:r>
      <w:r>
        <w:rPr>
          <w:rFonts w:ascii="Times New Roman" w:hAnsi="Times New Roman"/>
          <w:sz w:val="20"/>
          <w:u w:val="single"/>
        </w:rPr>
        <w:t>Section 1.06</w:t>
      </w:r>
      <w:r>
        <w:rPr>
          <w:rFonts w:ascii="Times New Roman" w:hAnsi="Times New Roman"/>
          <w:sz w:val="20"/>
        </w:rPr>
        <w:t xml:space="preserve"> to the extent applicable. Indebtedness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Bidco does not make an election, Bidco will be deemed to have elected clause (II)); </w:t>
      </w:r>
      <w:r>
        <w:rPr>
          <w:rFonts w:ascii="Times New Roman" w:hAnsi="Times New Roman"/>
          <w:sz w:val="20"/>
          <w:u w:val="single"/>
        </w:rPr>
        <w:t>provided</w:t>
      </w:r>
      <w:r>
        <w:rPr>
          <w:rFonts w:ascii="Times New Roman" w:hAnsi="Times New Roman"/>
          <w:sz w:val="20"/>
        </w:rPr>
        <w:t xml:space="preserve"> that any such Indebtedness originally incurred pursuant to clause (I) above shall cease to be deemed outstanding under clause (I) and shall instead be deemed to be outstanding pursuant to clause (II) above from and after the first date on which Bidco could have incurred the aggregate principal amount of such Indebtedness pursuant to clause (II) above. </w:t>
      </w:r>
    </w:p>
    <w:p>
      <w:pPr>
        <w:pStyle w:val="TextBody"/>
        <w:bidi w:val="0"/>
        <w:spacing w:before="240" w:after="0"/>
        <w:jc w:val="left"/>
        <w:rPr/>
      </w:pPr>
      <w:r>
        <w:rPr/>
        <w:t>“</w:t>
      </w:r>
      <w:r>
        <w:rPr>
          <w:rFonts w:ascii="Times New Roman" w:hAnsi="Times New Roman"/>
          <w:sz w:val="20"/>
          <w:u w:val="single"/>
        </w:rPr>
        <w:t>Incremental Equivalent Debt</w:t>
      </w:r>
      <w:r>
        <w:rPr>
          <w:rFonts w:ascii="Times New Roman" w:hAnsi="Times New Roman"/>
          <w:sz w:val="20"/>
        </w:rPr>
        <w:t xml:space="preserve">” has the meaning assigned to such term in </w:t>
      </w:r>
      <w:r>
        <w:rPr>
          <w:rFonts w:ascii="Times New Roman" w:hAnsi="Times New Roman"/>
          <w:sz w:val="20"/>
          <w:u w:val="single"/>
        </w:rPr>
        <w:t>Section 6.01(b)(xxvi)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Facilities</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Facility Amendment</w:t>
      </w:r>
      <w:r>
        <w:rPr>
          <w:rFonts w:ascii="Times New Roman" w:hAnsi="Times New Roman"/>
          <w:sz w:val="20"/>
        </w:rPr>
        <w:t xml:space="preserve">” has the meaning assigned to such term in </w:t>
      </w:r>
      <w:r>
        <w:rPr>
          <w:rFonts w:ascii="Times New Roman" w:hAnsi="Times New Roman"/>
          <w:sz w:val="20"/>
          <w:u w:val="single"/>
        </w:rPr>
        <w:t>Section 2.19(c)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Revolving Commitment Increase</w:t>
      </w:r>
      <w:r>
        <w:rPr>
          <w:rFonts w:ascii="Times New Roman" w:hAnsi="Times New Roman"/>
          <w:sz w:val="20"/>
        </w:rPr>
        <w:t xml:space="preserve">” has the meaning assigned to such term is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Facility</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Increase</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means any Term Loan provided under any Incremental Facility. </w:t>
      </w:r>
    </w:p>
    <w:p>
      <w:pPr>
        <w:pStyle w:val="TextBody"/>
        <w:bidi w:val="0"/>
        <w:spacing w:before="240" w:after="0"/>
        <w:jc w:val="left"/>
        <w:rPr/>
      </w:pPr>
      <w:r>
        <w:rPr/>
        <w:t>“</w:t>
      </w:r>
      <w:r>
        <w:rPr>
          <w:rFonts w:ascii="Times New Roman" w:hAnsi="Times New Roman"/>
          <w:sz w:val="20"/>
          <w:u w:val="single"/>
        </w:rPr>
        <w:t>Incurrence Based Amounts</w:t>
      </w:r>
      <w:r>
        <w:rPr>
          <w:rFonts w:ascii="Times New Roman" w:hAnsi="Times New Roman"/>
          <w:sz w:val="20"/>
        </w:rPr>
        <w:t xml:space="preserve">” has the meaning assigned to such term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(including principal and premium)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(a) in respect of borrowed money;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evidenced by bonds, notes, debentures or similar instruments or letters of credit or bankers’ acceptances (or, without duplication,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(c) representing the balance deferred and unpaid of the purchase price of any property (including Capitalized Lease Obligations), except (i) 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IFRS and any purchase price holdbacks in respect of a portion of the purchase price of an asset to satisfy warranty or other unperformed obligations of the seller; or </w:t>
      </w:r>
    </w:p>
    <w:p>
      <w:pPr>
        <w:pStyle w:val="TextBody"/>
        <w:bidi w:val="0"/>
        <w:spacing w:before="120" w:after="0"/>
        <w:jc w:val="left"/>
        <w:rPr>
          <w:rFonts w:ascii="Times New Roman" w:hAnsi="Times New Roman"/>
          <w:sz w:val="20"/>
        </w:rPr>
      </w:pPr>
      <w:r>
        <w:rPr>
          <w:rFonts w:ascii="Times New Roman" w:hAnsi="Times New Roman"/>
          <w:sz w:val="20"/>
        </w:rPr>
        <w:t xml:space="preserve">(d) representing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of the foregoing Indebtedness (other than letters of credit and Hedging Obligations) would appear as a liability upon a balance sheet (excluding the footnotes thereto) of such Person prepared in accordance with IFRS;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w:t>
      </w:r>
      <w:r>
        <w:rPr>
          <w:rFonts w:ascii="Times New Roman" w:hAnsi="Times New Roman"/>
          <w:sz w:val="20"/>
          <w:u w:val="single"/>
        </w:rPr>
        <w:t>provided</w:t>
      </w:r>
      <w:r>
        <w:rPr>
          <w:rFonts w:ascii="Times New Roman" w:hAnsi="Times New Roman"/>
          <w:sz w:val="20"/>
        </w:rPr>
        <w:t xml:space="preserve"> that the amount of Indebtedness of any Person for purposes of this clause (2) shall be deemed to be equal to the lesser of (i) the aggregate unpaid amount of such Indebtedness and (ii) the fair market value of the property encumbered thereby as determined by such Person in good faith; and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not otherwise included, the obligations of the type referred to in clause (1) of a third Person secured by a Lien on any asset owned by such first Person, whether or not such Indebtedness is assumed by such first Person;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Indebtedness shall be deemed not to include (a) Contingent Obligations incurred in the ordinary course of business, (b) [reserved], (c) Indebtedness of any parent of Bidco appearing on the balance sheet of Bidco, or solely by reason of push down accounting under IFRS, (d) intercompany liabilities arising from their cash management, tax, and accounting operations, (e) intercompany loans, advances or Indebtedness having a term not exceeding 364 days (inclusive of any rollover or extensions of terms) and made in the ordinary course of business, (f) obligations under any satellite manufacturing contract or Satellite Purchase Agreement (including any contingent in-orbit incentive payments or other contingent deferred payments earned by a manufacturer during the life of a Satellite under such satellite manufacturing contract or Satellite Purchase Agreement and including any Guarantee for any such indebtedness), (g) obligations under satellite capacity or bandwidth arrangements (whether or not classified and accounted for as a capitalized lease for financial reporting purposes in accordance with IFRS), (h) obligations to make progress or incentive payments (including any in-orbit incentive payments) or other deferred payments earned during the life of a Satellite under any satellite manufacturing contract or obligations under any contract of launch services with respect to a Satellite or (i) obligations to make payments to one or more insurers under any policies of insurance with respect to a Satellite, including payments in respect of premiums and any requirement to remit to such insurer(s) a portion of the future revenues generated by a Satellite with respect to which a claim has been paid for a loss under such insurance or other salvage rights of such insurer(s), in each case in accordance with the terms of the insurance policies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Indemnified Taxes</w:t>
      </w:r>
      <w:r>
        <w:rPr>
          <w:rFonts w:ascii="Times New Roman" w:hAnsi="Times New Roman"/>
          <w:sz w:val="20"/>
        </w:rPr>
        <w:t xml:space="preserve">” means all Taxes, other than (i) Excluded Taxes, (ii) VAT (which, if applicable, shall be dealt with in accordance with </w:t>
      </w:r>
      <w:r>
        <w:rPr>
          <w:rFonts w:ascii="Times New Roman" w:hAnsi="Times New Roman"/>
          <w:sz w:val="20"/>
          <w:u w:val="single"/>
        </w:rPr>
        <w:t>Section 2.16</w:t>
      </w:r>
      <w:r>
        <w:rPr>
          <w:rFonts w:ascii="Times New Roman" w:hAnsi="Times New Roman"/>
          <w:sz w:val="20"/>
        </w:rPr>
        <w:t xml:space="preserve">), and (iii)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assigned to such term in </w:t>
      </w:r>
      <w:r>
        <w:rPr>
          <w:rFonts w:ascii="Times New Roman" w:hAnsi="Times New Roman"/>
          <w:sz w:val="20"/>
          <w:u w:val="single"/>
        </w:rPr>
        <w:t>Section 9.12(a)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 Memorandum</w:t>
      </w:r>
      <w:r>
        <w:rPr>
          <w:rFonts w:ascii="Times New Roman" w:hAnsi="Times New Roman"/>
          <w:sz w:val="20"/>
        </w:rPr>
        <w:t xml:space="preserve">” means the Confidential Information Memorandum dated September 2019, relating to Bidco, the Borrowers and the Transactions. </w:t>
      </w:r>
    </w:p>
    <w:p>
      <w:pPr>
        <w:pStyle w:val="TextBody"/>
        <w:bidi w:val="0"/>
        <w:spacing w:before="240" w:after="0"/>
        <w:jc w:val="left"/>
        <w:rPr/>
      </w:pPr>
      <w:r>
        <w:rPr/>
        <w:t>“</w:t>
      </w:r>
      <w:r>
        <w:rPr>
          <w:rFonts w:ascii="Times New Roman" w:hAnsi="Times New Roman"/>
          <w:sz w:val="20"/>
          <w:u w:val="single"/>
        </w:rPr>
        <w:t>Initial Guernsey Collateral Agreement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 first ranking security agreement from Initial Holdings in favor of the Collateral Agent over its Equity Interests in Bidco; </w:t>
      </w:r>
    </w:p>
    <w:p>
      <w:pPr>
        <w:pStyle w:val="TextBody"/>
        <w:bidi w:val="0"/>
        <w:spacing w:before="240" w:after="0"/>
        <w:jc w:val="left"/>
        <w:rPr>
          <w:rFonts w:ascii="Times New Roman" w:hAnsi="Times New Roman"/>
          <w:sz w:val="20"/>
        </w:rPr>
      </w:pPr>
      <w:r>
        <w:rPr>
          <w:rFonts w:ascii="Times New Roman" w:hAnsi="Times New Roman"/>
          <w:sz w:val="20"/>
        </w:rPr>
        <w:t xml:space="preserve">(b) a first ranking security agreement from the Finco Borrower in favor of the Collateral Agent over any structural intercompany receivables owed to it from Bidco; </w:t>
      </w:r>
    </w:p>
    <w:p>
      <w:pPr>
        <w:pStyle w:val="TextBody"/>
        <w:bidi w:val="0"/>
        <w:spacing w:before="240" w:after="0"/>
        <w:jc w:val="left"/>
        <w:rPr>
          <w:rFonts w:ascii="Times New Roman" w:hAnsi="Times New Roman"/>
          <w:sz w:val="20"/>
        </w:rPr>
      </w:pPr>
      <w:r>
        <w:rPr>
          <w:rFonts w:ascii="Times New Roman" w:hAnsi="Times New Roman"/>
          <w:sz w:val="20"/>
        </w:rPr>
        <w:t xml:space="preserve">(c) a first ranking security agreement from Bidco in favor of the Finco Borrower over its material operating bank accounts (without control over use) as security for Bidco’s obligations under any structural intercompany loans made to it by the Finco Borrower; </w:t>
      </w:r>
    </w:p>
    <w:p>
      <w:pPr>
        <w:pStyle w:val="TextBody"/>
        <w:bidi w:val="0"/>
        <w:spacing w:before="240" w:after="0"/>
        <w:jc w:val="left"/>
        <w:rPr>
          <w:rFonts w:ascii="Times New Roman" w:hAnsi="Times New Roman"/>
          <w:sz w:val="20"/>
        </w:rPr>
      </w:pPr>
      <w:r>
        <w:rPr>
          <w:rFonts w:ascii="Times New Roman" w:hAnsi="Times New Roman"/>
          <w:sz w:val="20"/>
        </w:rPr>
        <w:t xml:space="preserve">(d) a second ranking security agreement from Bidco in favor of the Collateral Agent over its material operating bank accounts (without control over use); and </w:t>
      </w:r>
    </w:p>
    <w:p>
      <w:pPr>
        <w:pStyle w:val="TextBody"/>
        <w:bidi w:val="0"/>
        <w:spacing w:before="240" w:after="0"/>
        <w:jc w:val="left"/>
        <w:rPr>
          <w:rFonts w:ascii="Times New Roman" w:hAnsi="Times New Roman"/>
          <w:sz w:val="20"/>
        </w:rPr>
      </w:pPr>
      <w:r>
        <w:rPr>
          <w:rFonts w:ascii="Times New Roman" w:hAnsi="Times New Roman"/>
          <w:sz w:val="20"/>
        </w:rPr>
        <w:t xml:space="preserve">(e) a first ranking security agreement from the Finco Borrower in favor of the Collateral Agent over its rights in respect of the security referred to in paragraph (c) above. </w:t>
      </w:r>
    </w:p>
    <w:p>
      <w:pPr>
        <w:pStyle w:val="TextBody"/>
        <w:bidi w:val="0"/>
        <w:spacing w:before="240" w:after="0"/>
        <w:jc w:val="left"/>
        <w:rPr/>
      </w:pPr>
      <w:r>
        <w:rPr/>
        <w:t>“</w:t>
      </w:r>
      <w:r>
        <w:rPr>
          <w:rFonts w:ascii="Times New Roman" w:hAnsi="Times New Roman"/>
          <w:sz w:val="20"/>
          <w:u w:val="single"/>
        </w:rPr>
        <w:t>Initial Holdings</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Initial Luxembourg Collateral Agreement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 first ranking security agreement from Bidco in favor of the Collateral Agent over its Equity Interests in the Finco Borrower; </w:t>
      </w:r>
    </w:p>
    <w:p>
      <w:pPr>
        <w:pStyle w:val="TextBody"/>
        <w:bidi w:val="0"/>
        <w:spacing w:before="240" w:after="0"/>
        <w:jc w:val="left"/>
        <w:rPr>
          <w:rFonts w:ascii="Times New Roman" w:hAnsi="Times New Roman"/>
          <w:sz w:val="20"/>
        </w:rPr>
      </w:pPr>
      <w:r>
        <w:rPr>
          <w:rFonts w:ascii="Times New Roman" w:hAnsi="Times New Roman"/>
          <w:sz w:val="20"/>
        </w:rPr>
        <w:t xml:space="preserve">(b) a first ranking security agreement from the Finco Borrower in favor of the Collateral Agent in respect of material operating bank accounts (without control over use); and </w:t>
      </w:r>
    </w:p>
    <w:p>
      <w:pPr>
        <w:pStyle w:val="TextBody"/>
        <w:bidi w:val="0"/>
        <w:spacing w:before="240" w:after="0"/>
        <w:jc w:val="left"/>
        <w:rPr>
          <w:rFonts w:ascii="Times New Roman" w:hAnsi="Times New Roman"/>
          <w:sz w:val="20"/>
        </w:rPr>
      </w:pPr>
      <w:r>
        <w:rPr>
          <w:rFonts w:ascii="Times New Roman" w:hAnsi="Times New Roman"/>
          <w:sz w:val="20"/>
        </w:rPr>
        <w:t xml:space="preserve">(c) a first ranking security agreement from the Finco Borrower in favor of the Collateral Agent over any structural intercompany receivables owed to it from Bidco. </w:t>
      </w:r>
    </w:p>
    <w:p>
      <w:pPr>
        <w:pStyle w:val="TextBody"/>
        <w:bidi w:val="0"/>
        <w:spacing w:before="240" w:after="0"/>
        <w:jc w:val="left"/>
        <w:rPr/>
      </w:pPr>
      <w:r>
        <w:rPr/>
        <w:t>“</w:t>
      </w:r>
      <w:r>
        <w:rPr>
          <w:rFonts w:ascii="Times New Roman" w:hAnsi="Times New Roman"/>
          <w:sz w:val="20"/>
          <w:u w:val="single"/>
        </w:rPr>
        <w:t>Initial Term Commitment</w:t>
      </w:r>
      <w:r>
        <w:rPr>
          <w:rFonts w:ascii="Times New Roman" w:hAnsi="Times New Roman"/>
          <w:sz w:val="20"/>
        </w:rPr>
        <w:t xml:space="preserve">” means, with respect to each Lender, the commitment, if any, of such Lender to make an Initial Term Loan hereunder, expressed as an amount representing the maximum principal amount of the Initial Term Loan to be made by such Lender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assignments by or to such Lender pursuant to an Assignment and Assumption. The amount of each Lender’s Initial Term Commitment as of the Effective Date is set forth on Schedule 2.01 or in the Assignment and Assumption pursuant to which such Lender shall have assumed its Initial Term Commitment. As of the Effective Date, the total Initial Term Commitment is $1,750,000,000.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Term Commitment Expiration Date</w:t>
      </w:r>
      <w:r>
        <w:rPr>
          <w:rFonts w:ascii="Times New Roman" w:hAnsi="Times New Roman"/>
          <w:sz w:val="20"/>
        </w:rPr>
        <w:t xml:space="preserve">” means the earlier to occur of (x) the last day of the Certain Funds Period and (y) the date on which the Initial Term Commitments are reduced to zero. </w:t>
      </w:r>
    </w:p>
    <w:p>
      <w:pPr>
        <w:pStyle w:val="TextBody"/>
        <w:bidi w:val="0"/>
        <w:spacing w:before="240" w:after="0"/>
        <w:jc w:val="left"/>
        <w:rPr/>
      </w:pPr>
      <w:r>
        <w:rPr/>
        <w:t>“</w:t>
      </w:r>
      <w:r>
        <w:rPr>
          <w:rFonts w:ascii="Times New Roman" w:hAnsi="Times New Roman"/>
          <w:sz w:val="20"/>
          <w:u w:val="single"/>
        </w:rPr>
        <w:t>Initial Term Loans</w:t>
      </w:r>
      <w:r>
        <w:rPr>
          <w:rFonts w:ascii="Times New Roman" w:hAnsi="Times New Roman"/>
          <w:sz w:val="20"/>
        </w:rPr>
        <w:t>” means the Loans made pursuant to Section 2.01(a).</w:t>
      </w:r>
      <w:r>
        <w:rPr>
          <w:rFonts w:ascii="Times New Roman" w:hAnsi="Times New Roman"/>
          <w:color w:val="0000FF"/>
          <w:sz w:val="20"/>
          <w:u w:val="single"/>
          <w:bdr w:val="double" w:sz="2" w:space="1" w:color="000000"/>
        </w:rPr>
        <w:t xml:space="preserve"> On the Amendment No. 1 Effective Date, the Initial Term Loans were repaid in full with the proceeds of the Amendment No. 1 Refinancing Term Loans. For the avoidance of doubt, the Amendment No. 1 Refinancing Terms Loans shall not constitute Initial Term Loans.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assigned to such term in the Collateral Agreement. </w:t>
      </w:r>
    </w:p>
    <w:p>
      <w:pPr>
        <w:pStyle w:val="TextBody"/>
        <w:bidi w:val="0"/>
        <w:spacing w:before="240" w:after="0"/>
        <w:jc w:val="left"/>
        <w:rPr/>
      </w:pPr>
      <w:r>
        <w:rPr/>
        <w:t>“</w:t>
      </w:r>
      <w:r>
        <w:rPr>
          <w:rFonts w:ascii="Times New Roman" w:hAnsi="Times New Roman"/>
          <w:sz w:val="20"/>
          <w:u w:val="single"/>
        </w:rPr>
        <w:t>Intellectual Property Security Agreements</w:t>
      </w:r>
      <w:r>
        <w:rPr>
          <w:rFonts w:ascii="Times New Roman" w:hAnsi="Times New Roman"/>
          <w:sz w:val="20"/>
        </w:rPr>
        <w:t xml:space="preserve">” means, collectively, the Trademark Security Agreement, the Patent Security Agreement and the Copyright Security Agreement, in each case which has the meaning assigned to such term in the Collateral Agreement. </w:t>
      </w:r>
    </w:p>
    <w:p>
      <w:pPr>
        <w:pStyle w:val="TextBody"/>
        <w:bidi w:val="0"/>
        <w:spacing w:before="240" w:after="0"/>
        <w:jc w:val="left"/>
        <w:rPr/>
      </w:pPr>
      <w:r>
        <w:rPr/>
        <w:t>“</w:t>
      </w:r>
      <w:r>
        <w:rPr>
          <w:rFonts w:ascii="Times New Roman" w:hAnsi="Times New Roman"/>
          <w:sz w:val="20"/>
          <w:u w:val="single"/>
        </w:rPr>
        <w:t>Interest Coverage Ratio</w:t>
      </w:r>
      <w:r>
        <w:rPr>
          <w:rFonts w:ascii="Times New Roman" w:hAnsi="Times New Roman"/>
          <w:sz w:val="20"/>
        </w:rPr>
        <w:t xml:space="preserve">” means, as of any date of determination, the ratio, on a Pro Forma Basis, of (a) Consolidated EBITDA for the most recently ended Test Period as of such date to (b) Consolidated Cash Interest Expense for the most recently ended Test Period as of such date.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any Borrower to convert or continue a Revolving Borrowing or Term Borrowing in accordance with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(including a Swingline Loan), the last Business Day of each March, June, September and December and (b) 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any Eurodollar Borrowing, the period commencing on the date such Borrowing is disbursed or converted to or continued as a Eurodollar Borrowing and ending on the date that is one, two, three or six months thereafter as selected by any Borrower in its Borrowing Request (or, if consented to by each Lender participating therein, twelve months or such shorter period as such Borrower may elect); </w:t>
      </w:r>
      <w:r>
        <w:rPr>
          <w:rFonts w:ascii="Times New Roman" w:hAnsi="Times New Roman"/>
          <w:sz w:val="20"/>
          <w:u w:val="single"/>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immediately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(c) no Interest Period shall extend beyond (i) in the case of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the Term Maturity Date, and (ii) in the case of Revolving Loans, the Revolving Maturity Date and (d) to the extent a Borrower has elected to make a Eurodollar Borrowing on the Effective Date, the Interest Period may, at the election of such Borrower and with the consent of the Administrative Agent (not to be unreasonably withheld, conditioned or delayed), have a different duration (it being understood that any such Interest Period will be calculated based on the next longest Interest Period referred to above) such that the Interest Period will end on January 31, 2020. For purposes hereof, the date of a Borrowing initially shall be the date on which such Borrowing is made and thereafter shall be the effective date of the most recent conversion or continuation of such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Interim Facilities Agreement</w:t>
      </w:r>
      <w:r>
        <w:rPr>
          <w:rFonts w:ascii="Times New Roman" w:hAnsi="Times New Roman"/>
          <w:sz w:val="20"/>
        </w:rPr>
        <w:t xml:space="preserve">” means the interim facilities agreement originally dated 24 March 2019, as amended and restated on 13 April 2019, between, among others, Bidco as Obligors’ Agent (as defined therein) and Barclays Bank PLC as Interim Facility Agent (as defined therein). </w:t>
      </w:r>
    </w:p>
    <w:p>
      <w:pPr>
        <w:pStyle w:val="TextBody"/>
        <w:bidi w:val="0"/>
        <w:spacing w:before="240" w:after="0"/>
        <w:jc w:val="left"/>
        <w:rPr/>
      </w:pPr>
      <w:r>
        <w:rPr/>
        <w:t>“</w:t>
      </w:r>
      <w:r>
        <w:rPr>
          <w:rFonts w:ascii="Times New Roman" w:hAnsi="Times New Roman"/>
          <w:sz w:val="20"/>
          <w:u w:val="single"/>
        </w:rPr>
        <w:t>Intermediate Parent</w:t>
      </w:r>
      <w:r>
        <w:rPr>
          <w:rFonts w:ascii="Times New Roman" w:hAnsi="Times New Roman"/>
          <w:sz w:val="20"/>
        </w:rPr>
        <w:t xml:space="preserve">” means any Wholly Owned Subsidiary of Holdings that is organized under the laws of (i) Luxembourg, (ii) Guernsey or (iii) England and Wales, in each case and of which Bidco is a subsidiary. </w:t>
      </w:r>
    </w:p>
    <w:p>
      <w:pPr>
        <w:pStyle w:val="TextBody"/>
        <w:bidi w:val="0"/>
        <w:spacing w:before="240" w:after="0"/>
        <w:jc w:val="left"/>
        <w:rPr/>
      </w:pPr>
      <w:r>
        <w:rPr/>
        <w:t>“</w:t>
      </w:r>
      <w:r>
        <w:rPr>
          <w:rFonts w:ascii="Times New Roman" w:hAnsi="Times New Roman"/>
          <w:sz w:val="20"/>
          <w:u w:val="single"/>
        </w:rPr>
        <w:t>Interpolated Rate</w:t>
      </w:r>
      <w:r>
        <w:rPr>
          <w:rFonts w:ascii="Times New Roman" w:hAnsi="Times New Roman"/>
          <w:sz w:val="20"/>
        </w:rPr>
        <w:t xml:space="preserve">” means, in relation to the “LIBO Rate” for any Loan, the rate which results from interpolating on a linear basis between: (i) the rate appearing on Reuters Screen LIBOR01 Page (or on any successor or substitute page of such service) for the longest period (for which that rate is available) which is less than the Interest Period and (ii) the rate appearing on Reuters Screen LIBOR01 Page (or on any successor or substitute page of such service) for the shortest period (for which that rate is available) which exceeds the Interest Period, each as of approximately 11:00 A.M., London, England time, two Business Days prior to the commencement of such Interest Period.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Bidco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IFRS to be classified on the balance sheet (excluding the footnotes) of Bidco in the same manner as the other investments included in this definition to the extent such transactions involve the transfer of cash or other property; </w:t>
      </w:r>
      <w:r>
        <w:rPr>
          <w:rFonts w:ascii="Times New Roman" w:hAnsi="Times New Roman"/>
          <w:sz w:val="20"/>
          <w:u w:val="single"/>
        </w:rPr>
        <w:t>provided</w:t>
      </w:r>
      <w:r>
        <w:rPr>
          <w:rFonts w:ascii="Times New Roman" w:hAnsi="Times New Roman"/>
          <w:sz w:val="20"/>
        </w:rPr>
        <w:t xml:space="preserve"> that endorsements of negotiable instruments and documents in the ordinary course of business will not be deemed to be an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definition of “Unrestricted Subsidiary” and </w:t>
      </w:r>
      <w:r>
        <w:rPr>
          <w:rFonts w:ascii="Times New Roman" w:hAnsi="Times New Roman"/>
          <w:sz w:val="20"/>
          <w:u w:val="single"/>
        </w:rPr>
        <w:t>Section 6.05</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(1) “Investments” shall include the portion (proportionate to Bidco’s direct or indirect equity interest in such Subsidiary) of the fair market value of the net assets of a Subsidiary of Bidco at the time that such Subsidiary is designated an Unrestricted Subsidiary;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upon a redesignation of such Subsidiary as a Restricted Subsidiary, Bidco or the applicable Restricted Subsidiary shall be deemed to continue to have a permanent “Investment” in an Unrestricted Subsidiary in an amount (if positive) equal to: </w:t>
      </w:r>
    </w:p>
    <w:p>
      <w:pPr>
        <w:pStyle w:val="TextBody"/>
        <w:bidi w:val="0"/>
        <w:spacing w:before="120" w:after="0"/>
        <w:jc w:val="left"/>
        <w:rPr>
          <w:rFonts w:ascii="Times New Roman" w:hAnsi="Times New Roman"/>
          <w:sz w:val="20"/>
        </w:rPr>
      </w:pPr>
      <w:r>
        <w:rPr>
          <w:rFonts w:ascii="Times New Roman" w:hAnsi="Times New Roman"/>
          <w:sz w:val="20"/>
        </w:rPr>
        <w:t xml:space="preserve">(a) Bidco’s “Investment” in such Subsidiary at the time of such redesignation; less </w:t>
      </w:r>
    </w:p>
    <w:p>
      <w:pPr>
        <w:pStyle w:val="TextBody"/>
        <w:bidi w:val="0"/>
        <w:spacing w:before="120" w:after="0"/>
        <w:jc w:val="left"/>
        <w:rPr>
          <w:rFonts w:ascii="Times New Roman" w:hAnsi="Times New Roman"/>
          <w:sz w:val="20"/>
        </w:rPr>
      </w:pPr>
      <w:r>
        <w:rPr>
          <w:rFonts w:ascii="Times New Roman" w:hAnsi="Times New Roman"/>
          <w:sz w:val="20"/>
        </w:rPr>
        <w:t xml:space="preserve">(b) the portion (proportionate to Bidco’s equity interest in such Subsidiary) of the fair market value of the net assets of such Subsidiary at the time of such redesignation;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property transferred to or from an Unrestricted Subsidiary shall be valued at its fair market value at the time of such transfer, in each case as determined in good faith by a Responsible Officer of Bidco or any Borrower.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outstanding at any time shall be the original cost of such Investment, reduced by any dividend, distribution, interest payment, return of capital, repayment or other amount received in cash or other property by Bidco or a Restricted Subsidiary in respect of such Investment. </w:t>
      </w:r>
    </w:p>
    <w:p>
      <w:pPr>
        <w:pStyle w:val="TextBody"/>
        <w:bidi w:val="0"/>
        <w:spacing w:before="240" w:after="0"/>
        <w:jc w:val="left"/>
        <w:rPr/>
      </w:pPr>
      <w:r>
        <w:rPr/>
        <w:t>“</w:t>
      </w:r>
      <w:r>
        <w:rPr>
          <w:rFonts w:ascii="Times New Roman" w:hAnsi="Times New Roman"/>
          <w:sz w:val="20"/>
          <w:u w:val="single"/>
        </w:rPr>
        <w:t>Investment Grade Rating</w:t>
      </w:r>
      <w:r>
        <w:rPr>
          <w:rFonts w:ascii="Times New Roman" w:hAnsi="Times New Roman"/>
          <w:sz w:val="20"/>
        </w:rPr>
        <w:t xml:space="preserve">” means a rating equal to or higher than (x) Baa3 (or the equivalent) by Moody’s, (y) BBB- (or the equivalent) by S&amp;P or (z) a rating of BBB- (or the equivalent) by Fitch, as applicable, or if such obligations are not then rated by Moody’s, S&amp;P or Fitch, an equivalent rating by any other rating agency. </w:t>
      </w:r>
    </w:p>
    <w:p>
      <w:pPr>
        <w:pStyle w:val="TextBody"/>
        <w:bidi w:val="0"/>
        <w:spacing w:before="240" w:after="0"/>
        <w:jc w:val="left"/>
        <w:rPr/>
      </w:pPr>
      <w:r>
        <w:rPr/>
        <w:t>“</w:t>
      </w:r>
      <w:r>
        <w:rPr>
          <w:rFonts w:ascii="Times New Roman" w:hAnsi="Times New Roman"/>
          <w:sz w:val="20"/>
          <w:u w:val="single"/>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(2) debt securities or debt instruments with an Investment Grade Rating, but excluding any debt securities or instruments constituting loans or advances among Bidco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any fund that invests exclusively in investments of the type described in clauses (1) and (2) which fund may also hold immaterial amounts of cash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(4) corresponding instruments in countries other than the United States of America customarily utilized for high quality investments. </w:t>
      </w:r>
    </w:p>
    <w:p>
      <w:pPr>
        <w:pStyle w:val="TextBody"/>
        <w:bidi w:val="0"/>
        <w:spacing w:before="240" w:after="0"/>
        <w:jc w:val="left"/>
        <w:rPr/>
      </w:pPr>
      <w:r>
        <w:rPr/>
        <w:t>“</w:t>
      </w:r>
      <w:r>
        <w:rPr>
          <w:rFonts w:ascii="Times New Roman" w:hAnsi="Times New Roman"/>
          <w:sz w:val="20"/>
          <w:u w:val="single"/>
        </w:rPr>
        <w:t>Investors</w:t>
      </w:r>
      <w:r>
        <w:rPr>
          <w:rFonts w:ascii="Times New Roman" w:hAnsi="Times New Roman"/>
          <w:sz w:val="20"/>
        </w:rPr>
        <w:t xml:space="preserve">” means Warburg Pincus LLC, Apax Partners LLP, Ontario Teachers’ Pension Plan Board, Canada Pension Plan Investment Board and their respective Affiliates and any funds, partnerships or other investment vehicles managed or directly or indirectly controlled by them, but not including, however, any portfolio companies of the foregoing.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means the initial underwritten public offering (other than a public offering pursuant to a registration statement on Form S-8) of common Equity Interests of Initial Holdings, a parent entity of Initial Holdings or an Intermediate Parent. </w:t>
      </w:r>
    </w:p>
    <w:p>
      <w:pPr>
        <w:pStyle w:val="TextBody"/>
        <w:bidi w:val="0"/>
        <w:spacing w:before="240" w:after="0"/>
        <w:jc w:val="left"/>
        <w:rPr/>
      </w:pPr>
      <w:r>
        <w:rPr/>
        <w:t>“</w:t>
      </w:r>
      <w:r>
        <w:rPr>
          <w:rFonts w:ascii="Times New Roman" w:hAnsi="Times New Roman"/>
          <w:sz w:val="20"/>
          <w:u w:val="single"/>
        </w:rPr>
        <w:t>IPO Entity</w:t>
      </w:r>
      <w:r>
        <w:rPr>
          <w:rFonts w:ascii="Times New Roman" w:hAnsi="Times New Roman"/>
          <w:sz w:val="20"/>
        </w:rPr>
        <w:t xml:space="preserve">” means, at any time upon and after an IPO, either Initial Holdings, a parent entity of Initial Holdings or an Intermediate Parent, as the case may be, the Equity Interests of which were issued or otherwise sold in a transaction described in the definition of “IPO”; </w:t>
      </w:r>
      <w:r>
        <w:rPr>
          <w:rFonts w:ascii="Times New Roman" w:hAnsi="Times New Roman"/>
          <w:sz w:val="20"/>
          <w:u w:val="single"/>
        </w:rPr>
        <w:t>provided</w:t>
      </w:r>
      <w:r>
        <w:rPr>
          <w:rFonts w:ascii="Times New Roman" w:hAnsi="Times New Roman"/>
          <w:sz w:val="20"/>
        </w:rPr>
        <w:t xml:space="preserve"> that, immediately following the IPO, Bidco is a direct or indirect Wholly Owned Subsidiary of such IPO Entity and such IPO Entity owns, directly or through its subsidiaries, substantially all the businesses and assets owned or conducted, directly or indirectly, by Bidco immediately prior to the IPO.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Issuing Bank</w:t>
      </w:r>
      <w:r>
        <w:rPr>
          <w:rFonts w:ascii="Times New Roman" w:hAnsi="Times New Roman"/>
          <w:sz w:val="20"/>
        </w:rPr>
        <w:t xml:space="preserve">” means (a) each of Bank of America, N.A., Barclays, UBS AG, Stamford Branch, BNP Paribas Fortis S.A./N.V., HSBC Bank PLC, ING Bank N.V., National Westminster Bank PLC, Sumitomo Mitsui Banking Corporation, </w:t>
      </w:r>
      <w:r>
        <w:rPr>
          <w:rFonts w:ascii="Times New Roman" w:hAnsi="Times New Roman"/>
          <w:strike/>
          <w:color w:val="FF0000"/>
          <w:sz w:val="20"/>
        </w:rPr>
        <w:t>Banca IMI</w:t>
      </w:r>
      <w:r>
        <w:rPr>
          <w:rFonts w:ascii="Times New Roman" w:hAnsi="Times New Roman"/>
          <w:color w:val="0000FF"/>
          <w:sz w:val="20"/>
          <w:u w:val="single"/>
          <w:bdr w:val="double" w:sz="2" w:space="1" w:color="000000"/>
        </w:rPr>
        <w:t>Intesa Sanpaolo</w:t>
      </w:r>
      <w:r>
        <w:rPr>
          <w:rFonts w:ascii="Times New Roman" w:hAnsi="Times New Roman"/>
          <w:sz w:val="20"/>
        </w:rPr>
        <w:t xml:space="preserve"> S.p.A., </w:t>
      </w:r>
      <w:r>
        <w:rPr>
          <w:rFonts w:ascii="Times New Roman" w:hAnsi="Times New Roman"/>
          <w:strike/>
          <w:color w:val="FF0000"/>
          <w:sz w:val="20"/>
        </w:rPr>
        <w:t>London Branch,</w:t>
      </w:r>
      <w:r>
        <w:rPr>
          <w:rFonts w:ascii="Times New Roman" w:hAnsi="Times New Roman"/>
          <w:sz w:val="20"/>
        </w:rPr>
        <w:t xml:space="preserve"> MUFG Bank, Ltd., Natixis, New York Branch, DNB (UK) Limited, The Bank of Nova Scotia, London Branch, J.P. Morgan AG and Mizuho Bank, Ltd. (</w:t>
      </w:r>
      <w:r>
        <w:rPr>
          <w:rFonts w:ascii="Times New Roman" w:hAnsi="Times New Roman"/>
          <w:sz w:val="20"/>
          <w:u w:val="single"/>
        </w:rPr>
        <w:t>provided</w:t>
      </w:r>
      <w:r>
        <w:rPr>
          <w:rFonts w:ascii="Times New Roman" w:hAnsi="Times New Roman"/>
          <w:sz w:val="20"/>
        </w:rPr>
        <w:t xml:space="preserve"> that Barclays and UBS AG, Stamford Branch and their respective Affiliates shall each only be required to issue standby Letters of Credit) and (b) each Revolving Lender that shall have become an Issuing Bank hereunder as provided in </w:t>
      </w:r>
      <w:r>
        <w:rPr>
          <w:rFonts w:ascii="Times New Roman" w:hAnsi="Times New Roman"/>
          <w:sz w:val="20"/>
          <w:u w:val="single"/>
        </w:rPr>
        <w:t>Section 2.04(k)</w:t>
      </w:r>
      <w:r>
        <w:rPr>
          <w:rFonts w:ascii="Times New Roman" w:hAnsi="Times New Roman"/>
          <w:sz w:val="20"/>
        </w:rPr>
        <w:t xml:space="preserve"> (other than any Person that shall have ceased to be an Issuing Bank as provided in </w:t>
      </w:r>
      <w:r>
        <w:rPr>
          <w:rFonts w:ascii="Times New Roman" w:hAnsi="Times New Roman"/>
          <w:sz w:val="20"/>
          <w:u w:val="single"/>
        </w:rPr>
        <w:t>Section 2.04(l)</w:t>
      </w:r>
      <w:r>
        <w:rPr>
          <w:rFonts w:ascii="Times New Roman" w:hAnsi="Times New Roman"/>
          <w:sz w:val="20"/>
        </w:rPr>
        <w:t xml:space="preserve">),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 </w:t>
      </w:r>
    </w:p>
    <w:p>
      <w:pPr>
        <w:pStyle w:val="TextBody"/>
        <w:bidi w:val="0"/>
        <w:spacing w:before="240" w:after="0"/>
        <w:jc w:val="left"/>
        <w:rPr/>
      </w:pPr>
      <w:r>
        <w:rPr/>
        <w:t>“</w:t>
      </w:r>
      <w:r>
        <w:rPr>
          <w:rFonts w:ascii="Times New Roman" w:hAnsi="Times New Roman"/>
          <w:color w:val="0000FF"/>
          <w:sz w:val="20"/>
          <w:u w:val="single"/>
          <w:bdr w:val="double" w:sz="2" w:space="1" w:color="000000"/>
        </w:rPr>
        <w:t>Joint Lead Arrangers</w:t>
      </w:r>
      <w:r>
        <w:rPr>
          <w:rFonts w:ascii="Times New Roman" w:hAnsi="Times New Roman"/>
          <w:sz w:val="20"/>
        </w:rPr>
        <w:t xml:space="preserve">” means </w:t>
      </w:r>
      <w:r>
        <w:rPr>
          <w:rFonts w:ascii="Times New Roman" w:hAnsi="Times New Roman"/>
          <w:color w:val="0000FF"/>
          <w:sz w:val="20"/>
          <w:u w:val="single"/>
          <w:bdr w:val="double" w:sz="2" w:space="1" w:color="000000"/>
        </w:rPr>
        <w:t>(1)</w:t>
      </w:r>
      <w:r>
        <w:rPr>
          <w:rFonts w:ascii="Times New Roman" w:hAnsi="Times New Roman"/>
          <w:sz w:val="20"/>
        </w:rPr>
        <w:t xml:space="preserve">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hereunder and (ii) Barclays Bank PLC, BofA Securities, Inc. (f/k/a Merrill Lynch, Pierce, Fenner &amp; Smith Incorporated), UBS Securities LLC, BNP Paribas Fortis S.A./N.V., HSBC Bank PLC, ING Bank N.V., Natixis, New York Branch, NatWest Markets plc, Sumitomo Mitsui Banking Corporation, Banca IMI S.p.A., London Branch, MUFG Bank, Ltd., DNB (UK) Limited, The Bank of Nova Scotia, London Branch and Mizuho Bank, Ltd. each in their capacity as joint bookrunners, and any permitted successors and assigns thereof, in their respective capacities as joint bookrunners hereunder. </w:t>
      </w:r>
      <w:r>
        <w:rPr>
          <w:rFonts w:ascii="Times New Roman" w:hAnsi="Times New Roman"/>
          <w:color w:val="0000FF"/>
          <w:sz w:val="20"/>
          <w:u w:val="single"/>
          <w:bdr w:val="double" w:sz="2" w:space="1" w:color="000000"/>
        </w:rPr>
        <w:t>and (2)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under the Amendment No. 1 and (ii) Barclays Bank PLC, BofA Securities, Inc. (f/k/a Merrill Lynch, Pierce, Fenner &amp; Smith Incorporated), UBS Securities LLC, BNP Paribas Fortis S.A./N.V., HSBC Bank PLC, ING Bank N.V., Natixis, New York Branch, NatWest Markets plc, Sumitomo Mitsui Banking Corporation, Intesa Sanpaolo S.p.A., J.P. Morgan AG, MUFG Bank, Ltd., DNB (UK) Limited, The Bank of Nova Scotia, London Branch and Mizuho Bank, Ltd. each in their capacity as joint bookrunners, and any permitted successors and assigns thereof, in their respective capacities as joint bookrunners under the Amendment No.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Judgment Currency</w:t>
      </w:r>
      <w:r>
        <w:rPr>
          <w:rFonts w:ascii="Times New Roman" w:hAnsi="Times New Roman"/>
          <w:sz w:val="20"/>
        </w:rPr>
        <w:t xml:space="preserve">” has the meaning specified in </w:t>
      </w:r>
      <w:r>
        <w:rPr>
          <w:rFonts w:ascii="Times New Roman" w:hAnsi="Times New Roman"/>
          <w:sz w:val="20"/>
          <w:u w:val="single"/>
        </w:rPr>
        <w:t>Section 9.22</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4338"/>
          <w:sz w:val="20"/>
        </w:rPr>
        <w:t>Ligado Cooperation Agreement</w:t>
      </w:r>
      <w:r>
        <w:rPr>
          <w:rFonts w:ascii="Times New Roman" w:hAnsi="Times New Roman"/>
          <w:strike/>
          <w:color w:val="FF0000"/>
          <w:sz w:val="20"/>
        </w:rPr>
        <w:t>” means the Amended and Restated Cooperation Agreement dated as of August 6, 2010 (</w:t>
      </w:r>
      <w:r>
        <w:rPr>
          <w:rFonts w:ascii="Times New Roman" w:hAnsi="Times New Roman"/>
          <w:strike/>
          <w:color w:val="008000"/>
          <w:sz w:val="20"/>
        </w:rPr>
        <w:t>as amended by Amendment No. </w:t>
      </w:r>
      <w:r>
        <w:rPr>
          <w:rFonts w:ascii="Times New Roman" w:hAnsi="Times New Roman"/>
          <w:strike/>
          <w:color w:val="FF0000"/>
          <w:sz w:val="20"/>
        </w:rPr>
        <w:t>2 dated as of April 18, 2012 and Amendment No. 3 dated as of May 4, 2016 and as may be further amended, restated, amended and restated, supplemented or otherwise modified from time to time) by and between LightSquared LP, SkyTerra (Canada) Inc., LightSquared Inc. and Inmarsat Global Limited.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 </w:t>
      </w:r>
    </w:p>
    <w:p>
      <w:pPr>
        <w:pStyle w:val="TextBody"/>
        <w:bidi w:val="0"/>
        <w:spacing w:before="240" w:after="0"/>
        <w:jc w:val="left"/>
        <w:rPr/>
      </w:pPr>
      <w:r>
        <w:rPr/>
        <w:t>“</w:t>
      </w:r>
      <w:r>
        <w:rPr>
          <w:rFonts w:ascii="Times New Roman" w:hAnsi="Times New Roman"/>
          <w:sz w:val="20"/>
          <w:u w:val="single"/>
        </w:rPr>
        <w:t>LC Commitment</w:t>
      </w:r>
      <w:r>
        <w:rPr>
          <w:rFonts w:ascii="Times New Roman" w:hAnsi="Times New Roman"/>
          <w:sz w:val="20"/>
        </w:rPr>
        <w:t xml:space="preserve">” shall mean, in the case of each Issuing Bank, such amounts as set forth in </w:t>
      </w:r>
      <w:r>
        <w:rPr>
          <w:rFonts w:ascii="Times New Roman" w:hAnsi="Times New Roman"/>
          <w:sz w:val="20"/>
          <w:u w:val="single"/>
        </w:rPr>
        <w:t>Schedule 2.01</w:t>
      </w:r>
      <w:r>
        <w:rPr>
          <w:rFonts w:ascii="Times New Roman" w:hAnsi="Times New Roman"/>
          <w:sz w:val="20"/>
        </w:rPr>
        <w:t xml:space="preserve"> hereto; </w:t>
      </w:r>
      <w:r>
        <w:rPr>
          <w:rFonts w:ascii="Times New Roman" w:hAnsi="Times New Roman"/>
          <w:sz w:val="20"/>
          <w:u w:val="single"/>
        </w:rPr>
        <w:t>provided</w:t>
      </w:r>
      <w:r>
        <w:rPr>
          <w:rFonts w:ascii="Times New Roman" w:hAnsi="Times New Roman"/>
          <w:sz w:val="20"/>
        </w:rPr>
        <w:t xml:space="preserve"> that upon the request of Bidco or any Borrower, any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agree, in its sole discretion, to increase its LC Commitments under this definition, subject to the aggregate LC Commitments not exceeding the Letter of Credit Sublimit; </w:t>
      </w:r>
      <w:r>
        <w:rPr>
          <w:rFonts w:ascii="Times New Roman" w:hAnsi="Times New Roman"/>
          <w:sz w:val="20"/>
          <w:u w:val="single"/>
        </w:rPr>
        <w:t>provided</w:t>
      </w:r>
      <w:r>
        <w:rPr>
          <w:rFonts w:ascii="Times New Roman" w:hAnsi="Times New Roman"/>
          <w:sz w:val="20"/>
        </w:rPr>
        <w:t xml:space="preserve"> that each Issuing Bank’s individual portion of the Letter of Credit Sublimit as set forth in this definition may be increased or decreased by Bidco or such Borrower subject only to the consent of such Issuing Bank.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an honoring of a drawing by an Issuing Bank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amount of all Letters of Credit that remains available for drawing at such time and (b) the aggregate amount of all LC Disbursements that have not yet been reimbursed by or on behalf of the applicable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hAnsi="Times New Roman"/>
          <w:sz w:val="20"/>
          <w:u w:val="single"/>
        </w:rPr>
        <w:t>provided</w:t>
      </w:r>
      <w:r>
        <w:rPr>
          <w:rFonts w:ascii="Times New Roman" w:hAnsi="Times New Roman"/>
          <w:sz w:val="20"/>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left"/>
        <w:rPr/>
      </w:pPr>
      <w:r>
        <w:rPr/>
        <w:t>“</w:t>
      </w:r>
      <w:r>
        <w:rPr>
          <w:rFonts w:ascii="Times New Roman" w:hAnsi="Times New Roman"/>
          <w:sz w:val="20"/>
          <w:u w:val="single"/>
        </w:rPr>
        <w:t>LC Reimbursement Date</w:t>
      </w:r>
      <w:r>
        <w:rPr>
          <w:rFonts w:ascii="Times New Roman" w:hAnsi="Times New Roman"/>
          <w:sz w:val="20"/>
        </w:rPr>
        <w:t xml:space="preserve">” has the meaning assigned to such term in </w:t>
      </w:r>
      <w:r>
        <w:rPr>
          <w:rFonts w:ascii="Times New Roman" w:hAnsi="Times New Roman"/>
          <w:sz w:val="20"/>
          <w:u w:val="single"/>
        </w:rPr>
        <w:t>Section 2.04(f)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LCT Election</w:t>
      </w:r>
      <w:r>
        <w:rPr>
          <w:rFonts w:ascii="Times New Roman" w:hAnsi="Times New Roman"/>
          <w:sz w:val="20"/>
        </w:rPr>
        <w:t xml:space="preserve">” has the meaning assigned to such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LCT Test Date</w:t>
      </w:r>
      <w:r>
        <w:rPr>
          <w:rFonts w:ascii="Times New Roman" w:hAnsi="Times New Roman"/>
          <w:sz w:val="20"/>
        </w:rPr>
        <w:t xml:space="preserve">” has the meaning assigned to such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Legal Reservations</w:t>
      </w:r>
      <w:r>
        <w:rPr>
          <w:rFonts w:ascii="Times New Roman" w:hAnsi="Times New Roman"/>
          <w:sz w:val="20"/>
        </w:rPr>
        <w:t xml:space="preserve">” means (a) the principle that equitable remedies are remedies which may be granted or refused at the discretion of the court and principles of good faith and fair dealing, (b) applicable Debtor Relief Laws, (c) the existence of timing limitations with respect to the bringing of claims under applicable limitation laws and the defenses of acquiescence, set-off or counterclaim and the possibility that an undertaking to assume liability for, or to indemnify a Person against, non-payment of stamp duty may be void, (d) the principle that in certain jurisdictions and under certain circumstances a Lien granted by way of fixed charge may be re-characterized as a floating charge or that security purported to be constituted as an assignment may be re-characterized as a charge, (e) the principle that additional interest imposed pursuant to any relevant agreement may be held to be unenforceable on the grounds that it is a penalty and thus void, (f) the principle that a court may not give effect to an indemnity for legal costs incurred by an unsuccessful litigant, (g) the principle that the creation or purported creation of collateral over any claim, other right, contract or agreement which is subject to a prohibition on transfer, assignment or charging may be void, ineffective or invalid and may give rise to a breach of the contract or agreement (or contract or agreement relating to or governing the claim or other right) over which security has purportedly been created, (h) the principle that a court may not give effect to any parallel debt provisions, covenants to pay or other similar provisions, (i) the principle that certain remedies in relation to regulated entities may require further approval from government or regulatory bodies or pursuant to agreements with such bodies, (j) the principles of private and procedural laws which affect the enforcement of a foreign court judgment, (k) similar principles, rights and defenses under the laws of any relevant jurisdiction and (l) any other matters which are set out as qualifications or reservations (however described) in any legal opinion delivered pursuant to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Lenders</w:t>
      </w:r>
      <w:r>
        <w:rPr>
          <w:rFonts w:ascii="Times New Roman" w:hAnsi="Times New Roman"/>
          <w:sz w:val="20"/>
        </w:rPr>
        <w:t xml:space="preserve">” means the Persons listed on </w:t>
      </w:r>
      <w:r>
        <w:rPr>
          <w:rFonts w:ascii="Times New Roman" w:hAnsi="Times New Roman"/>
          <w:sz w:val="20"/>
          <w:u w:val="single"/>
        </w:rPr>
        <w:t>Schedule 2.01</w:t>
      </w:r>
      <w:r>
        <w:rPr>
          <w:rFonts w:ascii="Times New Roman" w:hAnsi="Times New Roman"/>
          <w:sz w:val="20"/>
        </w:rPr>
        <w:t xml:space="preserve">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letter of credit or bank guarantee by an Issuing Bank issued pursuant to this Agreement or deemed outstanding under this Agreement (other than any such letter of credit or bank guarantee that shall have ceased to be a “Letter of Credit” outstanding hereunder pursuant to </w:t>
      </w:r>
      <w:r>
        <w:rPr>
          <w:rFonts w:ascii="Times New Roman" w:hAnsi="Times New Roman"/>
          <w:sz w:val="20"/>
          <w:u w:val="single"/>
        </w:rPr>
        <w:t>Section 9.05)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xml:space="preserve">” has the meaning assigned to such term in </w:t>
      </w:r>
      <w:r>
        <w:rPr>
          <w:rFonts w:ascii="Times New Roman" w:hAnsi="Times New Roman"/>
          <w:sz w:val="20"/>
          <w:u w:val="single"/>
        </w:rPr>
        <w:t>Section 2.04(b)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an amount equal to $100,000,000. The Letter of Credit Sublimit is part of and not in addition to the aggregate Revolving Commitments. </w:t>
      </w:r>
    </w:p>
    <w:p>
      <w:pPr>
        <w:pStyle w:val="TextBody"/>
        <w:bidi w:val="0"/>
        <w:spacing w:before="240" w:after="0"/>
        <w:jc w:val="left"/>
        <w:rPr/>
      </w:pPr>
      <w:r>
        <w:rPr/>
        <w:t>“</w:t>
      </w:r>
      <w:r>
        <w:rPr>
          <w:rFonts w:ascii="Times New Roman" w:hAnsi="Times New Roman"/>
          <w:sz w:val="20"/>
          <w:u w:val="single"/>
        </w:rPr>
        <w:t>LIBO Rate</w:t>
      </w:r>
      <w:r>
        <w:rPr>
          <w:rFonts w:ascii="Times New Roman" w:hAnsi="Times New Roman"/>
          <w:sz w:val="20"/>
        </w:rPr>
        <w:t xml:space="preserve">” means for any Interest Period, (a) with respect to any Eurodollar Borrowing in dollars, Sterling, Swiss Francs, or Yen (as the case may be), the rate per annum equal to (i) the ICE Benchmark Administration LIBOR Rate or the successor thereto if the ICE Benchmark Administration is no longer making a LIBOR rate available, as published by Reuters (or such other commercially available source providing quotations of ICE LIBOR as may be designated by the Administrative Agent from time to time) at approximately 11:00 a.m., London time, two (2) London Banking Days prior to the commencement of such Interest Period, for dollar deposits (for delivery on the first day of such Interest Period) with a term equivalent to such Interest Period or (ii) if such published rate is not available at such time for any reason, then the “LIBO Rate” for such Interest Period shall be the Interpolated Rate, (b) with respect to any Eurodollar Borrowing in Canadian Dollars, the rate for Canadian Dollar denominated bankers’ acceptances on the Reuters Page CDOR (or on any successor or substitute page of such page or such other commercially available source providing quotations of CDOR as may be designated by the Administrative Agent from time to time) at approximately 10:00 a.m., Toronto time, two (2) Business Days prior to the commencement of such Interest Period, for Canadian Dollar denominated bankers’ acceptances (for delivery on the first day of such Interest Period) with a term equivalent to such Interest Period, (c) with respect to any Eurodollar Borrowing in Euros, the euro interbank offered rate administered by the Banking Federation of the European Union or the successor thereto if the Banking Federation of the European Union is no longer making a EURIBOR rate available, as published by Reuters (or such other commercially available source providing quotations of EURIBOR as may be designated by the Administrative Agent from time to time) at approximately 11:00 a.m., Brussels time, two (2) Business Days prior to the commencement of such Interest Period, for Euro deposits (for delivery on the first day of such Interest Period) with a term equivalent to such Interest Period and (d) with respect to any Eurodollar Borrowing in an Alternative Currency other than Euros, Sterling, Swiss Francs, Yen or Canadian Dollars, such reference rate for loans or deposits in such currency for such Interest Period as the Administrative Agent, Bidco and all Revolving Lenders shall agree.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Agreement or the other Loan Documents, the term “LIBO Rate” may be amended to refer to (x) a comparable successor rate, with the consent of (i) only the Administrative Agent (but not, for the avoidance of doubt, any other Lender) (such consent not to be unreasonably withheld or delayed) and Bidco (such consent not to be unreasonably withheld or delayed) (provided that such amendment shall be effective only to the extent the Required Lenders do not object to such proposed amendment within five business days after the Administrative Agent has posted such amendment to all Lenders) or (ii) the Required Lenders and Bidco, or (y) to the extent the Administrative Agent determines in good faith that the consents referenced in the preceding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clause (x)(i) are not attainable following commercially reasonable efforts to obtain such consents, a comparable successor rate that is the prevailing market standard for credit agreements of this type for the replacement of, or successors to, the eurodollar rate in the U.S. syndicated loan market as reasonably determined by the Administrative Agent (in consultation with Bidco), and the Administrative Agent shall promptly notify each Lender of such amendment; </w:t>
      </w:r>
      <w:r>
        <w:rPr>
          <w:rFonts w:ascii="Times New Roman" w:hAnsi="Times New Roman"/>
          <w:sz w:val="20"/>
          <w:u w:val="single"/>
        </w:rPr>
        <w:t>provided</w:t>
      </w:r>
      <w:r>
        <w:rPr>
          <w:rFonts w:ascii="Times New Roman" w:hAnsi="Times New Roman"/>
          <w:sz w:val="20"/>
        </w:rPr>
        <w:t xml:space="preserve"> that such amendment shall be effective to the extent the Required Lenders do not object to such proposed amendment within five business days after the Administrative Agent has posted such amendment to all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successor rate under clause (x) or (y) above shall not be less than </w:t>
      </w:r>
      <w:r>
        <w:rPr>
          <w:rFonts w:ascii="Times New Roman" w:hAnsi="Times New Roman"/>
          <w:color w:val="0000FF"/>
          <w:sz w:val="20"/>
          <w:u w:val="single"/>
          <w:bdr w:val="double" w:sz="2" w:space="1" w:color="000000"/>
        </w:rPr>
        <w:t>(a)</w:t>
      </w:r>
      <w:r>
        <w:rPr>
          <w:rFonts w:ascii="Times New Roman" w:hAnsi="Times New Roman"/>
          <w:sz w:val="20"/>
        </w:rPr>
        <w:t> 1.00% per annum</w:t>
      </w:r>
      <w:r>
        <w:rPr>
          <w:rFonts w:ascii="Times New Roman" w:hAnsi="Times New Roman"/>
          <w:color w:val="0000FF"/>
          <w:sz w:val="20"/>
          <w:u w:val="single"/>
          <w:bdr w:val="double" w:sz="2" w:space="1" w:color="000000"/>
        </w:rPr>
        <w:t>, with respect to any Amendment No. 1 Refinancing Term Loans and (b) 0.00% per annum, with respect to any Revolving Loans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Times New Roman" w:hAnsi="Times New Roman"/>
          <w:sz w:val="20"/>
          <w:u w:val="single"/>
        </w:rPr>
        <w:t>provided</w:t>
      </w:r>
      <w:r>
        <w:rPr>
          <w:rFonts w:ascii="Times New Roman" w:hAnsi="Times New Roman"/>
          <w:sz w:val="20"/>
        </w:rPr>
        <w:t xml:space="preserve"> that in no event shall an operating lease be deemed to constitute a Lien.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means (a) any acquisition (including by way of merger), Investment, Asset Sale, Restricted Payment requiring declaration (as determined by Bidco) in advance thereof or other transaction by Bidco or one or more of the Restricted Subsidiaries permitted pursuant to this Agreement whose consummation is not conditioned upon the availability of, or on obtaining, third party financing (or, if such a condition does exist, Bidco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 </w:t>
      </w:r>
    </w:p>
    <w:p>
      <w:pPr>
        <w:pStyle w:val="TextBody"/>
        <w:bidi w:val="0"/>
        <w:spacing w:before="240" w:after="0"/>
        <w:jc w:val="left"/>
        <w:rPr/>
      </w:pPr>
      <w:r>
        <w:rPr/>
        <w:t>“</w:t>
      </w:r>
      <w:r>
        <w:rPr>
          <w:rFonts w:ascii="Times New Roman" w:hAnsi="Times New Roman"/>
          <w:sz w:val="20"/>
          <w:u w:val="single"/>
        </w:rPr>
        <w:t>Loan Document Obligations</w:t>
      </w:r>
      <w:r>
        <w:rPr>
          <w:rFonts w:ascii="Times New Roman" w:hAnsi="Times New Roman"/>
          <w:sz w:val="20"/>
        </w:rPr>
        <w:t xml:space="preserve">” means (a) the due and punctual payment by the Borrowers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Borrowers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Borrowers under or pursuant to each of the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w:t>
      </w:r>
      <w:r>
        <w:rPr>
          <w:rFonts w:ascii="Times New Roman" w:hAnsi="Times New Roman"/>
          <w:color w:val="0000FF"/>
          <w:sz w:val="20"/>
          <w:u w:val="single"/>
          <w:bdr w:val="double" w:sz="2" w:space="1" w:color="000000"/>
        </w:rPr>
        <w:t>the Amendment No. 1,</w:t>
      </w:r>
      <w:r>
        <w:rPr>
          <w:rFonts w:ascii="Times New Roman" w:hAnsi="Times New Roman"/>
          <w:sz w:val="20"/>
        </w:rPr>
        <w:t xml:space="preserve"> any Refinancing Amendment, any Loan Modification Agreement, any Incremental Facility Amendment, the Guarantee Agreement, the Collateral Agreement, the other Security Documents, any Customary Intercreditor Agreement, any Additional Borrower Agreement and, except for purposes of </w:t>
      </w:r>
      <w:r>
        <w:rPr>
          <w:rFonts w:ascii="Times New Roman" w:hAnsi="Times New Roman"/>
          <w:sz w:val="20"/>
          <w:u w:val="single"/>
        </w:rPr>
        <w:t>Section 9.02</w:t>
      </w:r>
      <w:r>
        <w:rPr>
          <w:rFonts w:ascii="Times New Roman" w:hAnsi="Times New Roman"/>
          <w:sz w:val="20"/>
        </w:rPr>
        <w:t xml:space="preserve">, the Fee Letter and any Note delivered pursuant to </w:t>
      </w:r>
      <w:r>
        <w:rPr>
          <w:rFonts w:ascii="Times New Roman" w:hAnsi="Times New Roman"/>
          <w:sz w:val="20"/>
          <w:u w:val="single"/>
        </w:rPr>
        <w:t>Section 2.08(e)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Modification Agreement</w:t>
      </w:r>
      <w:r>
        <w:rPr>
          <w:rFonts w:ascii="Times New Roman" w:hAnsi="Times New Roman"/>
          <w:sz w:val="20"/>
        </w:rPr>
        <w:t xml:space="preserve">” means a Loan Modification Agreement, in form reasonably satisfactory to the Administrative Agent, among the Borrowers, the Administrative Agent and one or more Accepting Lenders, effecting one or more Permitted Amendments and such other amendments hereto and to the other Loan Documents as are contemplated by </w:t>
      </w:r>
      <w:r>
        <w:rPr>
          <w:rFonts w:ascii="Times New Roman" w:hAnsi="Times New Roman"/>
          <w:sz w:val="20"/>
          <w:u w:val="single"/>
        </w:rPr>
        <w:t>Section 2.23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Modification Offer</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Holdings, any Intermediate Parent, Bidco, the Borrowers and the Subsidiary Loan Parties.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the loans made by the Lenders to the Borrowers pursuant to this Agreement. </w:t>
      </w:r>
    </w:p>
    <w:p>
      <w:pPr>
        <w:pStyle w:val="TextBody"/>
        <w:bidi w:val="0"/>
        <w:spacing w:before="240" w:after="0"/>
        <w:jc w:val="left"/>
        <w:rPr/>
      </w:pPr>
      <w:r>
        <w:rPr/>
        <w:t>“</w:t>
      </w:r>
      <w:r>
        <w:rPr>
          <w:rFonts w:ascii="Times New Roman" w:hAnsi="Times New Roman"/>
          <w:sz w:val="20"/>
          <w:u w:val="single"/>
        </w:rPr>
        <w:t>London Banking Day</w:t>
      </w:r>
      <w:r>
        <w:rPr>
          <w:rFonts w:ascii="Times New Roman" w:hAnsi="Times New Roman"/>
          <w:sz w:val="20"/>
        </w:rPr>
        <w:t xml:space="preserve">” means any day on which dealings in dollar deposits are conducted by and between banks in the London interbank eurodollar market. </w:t>
      </w:r>
    </w:p>
    <w:p>
      <w:pPr>
        <w:pStyle w:val="TextBody"/>
        <w:bidi w:val="0"/>
        <w:spacing w:before="240" w:after="0"/>
        <w:jc w:val="left"/>
        <w:rPr/>
      </w:pPr>
      <w:r>
        <w:rPr/>
        <w:t>“</w:t>
      </w:r>
      <w:r>
        <w:rPr>
          <w:rFonts w:ascii="Times New Roman" w:hAnsi="Times New Roman"/>
          <w:sz w:val="20"/>
          <w:u w:val="single"/>
        </w:rPr>
        <w:t>Luxembourg</w:t>
      </w:r>
      <w:r>
        <w:rPr>
          <w:rFonts w:ascii="Times New Roman" w:hAnsi="Times New Roman"/>
          <w:sz w:val="20"/>
        </w:rPr>
        <w:t xml:space="preserve">” means the Grand Duchy of Luxembourg. </w:t>
      </w:r>
    </w:p>
    <w:p>
      <w:pPr>
        <w:pStyle w:val="TextBody"/>
        <w:bidi w:val="0"/>
        <w:spacing w:before="240" w:after="0"/>
        <w:jc w:val="left"/>
        <w:rPr/>
      </w:pPr>
      <w:r>
        <w:rPr/>
        <w:t>“</w:t>
      </w:r>
      <w:r>
        <w:rPr>
          <w:rFonts w:ascii="Times New Roman" w:hAnsi="Times New Roman"/>
          <w:sz w:val="20"/>
          <w:u w:val="single"/>
        </w:rPr>
        <w:t>Luxembourg Companies Register</w:t>
      </w:r>
      <w:r>
        <w:rPr>
          <w:rFonts w:ascii="Times New Roman" w:hAnsi="Times New Roman"/>
          <w:sz w:val="20"/>
        </w:rPr>
        <w:t xml:space="preserve">” means the Luxembourg Register of Commerce and Companies (R.C.S. Luxembourg). </w:t>
      </w:r>
    </w:p>
    <w:p>
      <w:pPr>
        <w:pStyle w:val="TextBody"/>
        <w:bidi w:val="0"/>
        <w:spacing w:before="240" w:after="0"/>
        <w:jc w:val="left"/>
        <w:rPr/>
      </w:pPr>
      <w:r>
        <w:rPr/>
        <w:t>“</w:t>
      </w:r>
      <w:r>
        <w:rPr>
          <w:rFonts w:ascii="Times New Roman" w:hAnsi="Times New Roman"/>
          <w:sz w:val="20"/>
          <w:u w:val="single"/>
        </w:rPr>
        <w:t>Luxembourg Loan Party</w:t>
      </w:r>
      <w:r>
        <w:rPr>
          <w:rFonts w:ascii="Times New Roman" w:hAnsi="Times New Roman"/>
          <w:sz w:val="20"/>
        </w:rPr>
        <w:t xml:space="preserve">” means any Loan Party having its registered office or central administration in Luxembourg, including as of the date of this Agreement, the Finco Borrower. </w:t>
      </w:r>
    </w:p>
    <w:p>
      <w:pPr>
        <w:pStyle w:val="TextBody"/>
        <w:bidi w:val="0"/>
        <w:spacing w:before="240" w:after="0"/>
        <w:jc w:val="left"/>
        <w:rPr/>
      </w:pPr>
      <w:r>
        <w:rPr/>
        <w:t>“</w:t>
      </w:r>
      <w:r>
        <w:rPr>
          <w:rFonts w:ascii="Times New Roman" w:hAnsi="Times New Roman"/>
          <w:sz w:val="20"/>
          <w:u w:val="single"/>
        </w:rPr>
        <w:t>MLI</w:t>
      </w:r>
      <w:r>
        <w:rPr>
          <w:rFonts w:ascii="Times New Roman" w:hAnsi="Times New Roman"/>
          <w:sz w:val="20"/>
        </w:rPr>
        <w:t xml:space="preserve">” means the Multilateral Convention to Implement Tax Treaty Related Measures to Prevent Base Erosion and Profit Shifting of November 24, 2016. </w:t>
      </w:r>
    </w:p>
    <w:p>
      <w:pPr>
        <w:pStyle w:val="TextBody"/>
        <w:bidi w:val="0"/>
        <w:spacing w:before="240" w:after="0"/>
        <w:jc w:val="left"/>
        <w:rPr/>
      </w:pPr>
      <w:r>
        <w:rPr/>
        <w:t>“</w:t>
      </w:r>
      <w:r>
        <w:rPr>
          <w:rFonts w:ascii="Times New Roman" w:hAnsi="Times New Roman"/>
          <w:sz w:val="20"/>
          <w:u w:val="single"/>
        </w:rPr>
        <w:t>Major Events of Default</w:t>
      </w:r>
      <w:r>
        <w:rPr>
          <w:rFonts w:ascii="Times New Roman" w:hAnsi="Times New Roman"/>
          <w:sz w:val="20"/>
        </w:rPr>
        <w:t xml:space="preserve">” means those Events of Default set forth in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7.01(b)</w:t>
      </w:r>
      <w:r>
        <w:rPr>
          <w:rFonts w:ascii="Times New Roman" w:hAnsi="Times New Roman"/>
          <w:sz w:val="20"/>
        </w:rPr>
        <w:t xml:space="preserve"> (in the case of </w:t>
      </w:r>
      <w:r>
        <w:rPr>
          <w:rFonts w:ascii="Times New Roman" w:hAnsi="Times New Roman"/>
          <w:sz w:val="20"/>
          <w:u w:val="single"/>
        </w:rPr>
        <w:t>Sections 7.01(a)</w:t>
      </w:r>
      <w:r>
        <w:rPr>
          <w:rFonts w:ascii="Times New Roman" w:hAnsi="Times New Roman"/>
          <w:sz w:val="20"/>
        </w:rPr>
        <w:t xml:space="preserve"> and </w:t>
      </w:r>
      <w:r>
        <w:rPr>
          <w:rFonts w:ascii="Times New Roman" w:hAnsi="Times New Roman"/>
          <w:sz w:val="20"/>
          <w:u w:val="single"/>
        </w:rPr>
        <w:t>7.01(b)</w:t>
      </w:r>
      <w:r>
        <w:rPr>
          <w:rFonts w:ascii="Times New Roman" w:hAnsi="Times New Roman"/>
          <w:sz w:val="20"/>
        </w:rPr>
        <w:t xml:space="preserve">, with respect to the failure to pay any amount of principal, interest or fees (but not other amounts) (in each case other than where failure to pay is caused by administrative error or delay or technical error or delay in the transmission of funds or a market disruption event and payment is made within five Business Days after such administrative error, delay, technical error, delay in the transmission of funds or market disruption event is cured)), </w:t>
      </w:r>
      <w:r>
        <w:rPr>
          <w:rFonts w:ascii="Times New Roman" w:hAnsi="Times New Roman"/>
          <w:sz w:val="20"/>
          <w:u w:val="single"/>
        </w:rPr>
        <w:t>7.01(c)</w:t>
      </w:r>
      <w:r>
        <w:rPr>
          <w:rFonts w:ascii="Times New Roman" w:hAnsi="Times New Roman"/>
          <w:sz w:val="20"/>
        </w:rPr>
        <w:t xml:space="preserve"> (solely as it relates to any Major Representation), </w:t>
      </w:r>
      <w:r>
        <w:rPr>
          <w:rFonts w:ascii="Times New Roman" w:hAnsi="Times New Roman"/>
          <w:sz w:val="20"/>
          <w:u w:val="single"/>
        </w:rPr>
        <w:t>7.01(d)(i)</w:t>
      </w:r>
      <w:r>
        <w:rPr>
          <w:rFonts w:ascii="Times New Roman" w:hAnsi="Times New Roman"/>
          <w:sz w:val="20"/>
        </w:rPr>
        <w:t xml:space="preserve"> (solely as it relates to any Major Undertaking), </w:t>
      </w:r>
      <w:r>
        <w:rPr>
          <w:rFonts w:ascii="Times New Roman" w:hAnsi="Times New Roman"/>
          <w:sz w:val="20"/>
          <w:u w:val="single"/>
        </w:rPr>
        <w:t>7.01(h)</w:t>
      </w:r>
      <w:r>
        <w:rPr>
          <w:rFonts w:ascii="Times New Roman" w:hAnsi="Times New Roman"/>
          <w:sz w:val="20"/>
        </w:rPr>
        <w:t xml:space="preserve">, </w:t>
      </w:r>
      <w:r>
        <w:rPr>
          <w:rFonts w:ascii="Times New Roman" w:hAnsi="Times New Roman"/>
          <w:sz w:val="20"/>
          <w:u w:val="single"/>
        </w:rPr>
        <w:t>7.01(i)</w:t>
      </w:r>
      <w:r>
        <w:rPr>
          <w:rFonts w:ascii="Times New Roman" w:hAnsi="Times New Roman"/>
          <w:sz w:val="20"/>
        </w:rPr>
        <w:t>,</w:t>
      </w:r>
      <w:r>
        <w:rPr>
          <w:rFonts w:ascii="Times New Roman" w:hAnsi="Times New Roman"/>
          <w:sz w:val="20"/>
          <w:u w:val="single"/>
        </w:rPr>
        <w:t xml:space="preserve"> 7.01(l)</w:t>
      </w:r>
      <w:r>
        <w:rPr>
          <w:rFonts w:ascii="Times New Roman" w:hAnsi="Times New Roman"/>
          <w:sz w:val="20"/>
        </w:rPr>
        <w:t>,</w:t>
      </w:r>
      <w:r>
        <w:rPr>
          <w:rFonts w:ascii="Times New Roman" w:hAnsi="Times New Roman"/>
          <w:sz w:val="20"/>
          <w:u w:val="single"/>
        </w:rPr>
        <w:t xml:space="preserve"> 7.01(m)</w:t>
      </w:r>
      <w:r>
        <w:rPr>
          <w:rFonts w:ascii="Times New Roman" w:hAnsi="Times New Roman"/>
          <w:sz w:val="20"/>
        </w:rPr>
        <w:t>,</w:t>
      </w:r>
      <w:r>
        <w:rPr>
          <w:rFonts w:ascii="Times New Roman" w:hAnsi="Times New Roman"/>
          <w:sz w:val="20"/>
          <w:u w:val="single"/>
        </w:rPr>
        <w:t xml:space="preserve"> 7.01(n)</w:t>
      </w:r>
      <w:r>
        <w:rPr>
          <w:rFonts w:ascii="Times New Roman" w:hAnsi="Times New Roman"/>
          <w:sz w:val="20"/>
        </w:rPr>
        <w:t xml:space="preserve"> and</w:t>
      </w:r>
      <w:r>
        <w:rPr>
          <w:rFonts w:ascii="Times New Roman" w:hAnsi="Times New Roman"/>
          <w:sz w:val="20"/>
          <w:u w:val="single"/>
        </w:rPr>
        <w:t xml:space="preserve"> 7.01(o)</w:t>
      </w:r>
      <w:r>
        <w:rPr>
          <w:rFonts w:ascii="Times New Roman" w:hAnsi="Times New Roman"/>
          <w:sz w:val="20"/>
        </w:rPr>
        <w:t xml:space="preserve">, in each case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shall not apply in respect of or relate to the Company or any of its subsidiaries, or any of the assets of the Company or any of its subsidiaries, or a breach of a procuring obligation with respect to the Company or any of its subsidiaries. </w:t>
      </w:r>
    </w:p>
    <w:p>
      <w:pPr>
        <w:pStyle w:val="TextBody"/>
        <w:bidi w:val="0"/>
        <w:spacing w:before="240" w:after="0"/>
        <w:jc w:val="left"/>
        <w:rPr/>
      </w:pPr>
      <w:r>
        <w:rPr/>
        <w:t>“</w:t>
      </w:r>
      <w:r>
        <w:rPr>
          <w:rFonts w:ascii="Times New Roman" w:hAnsi="Times New Roman"/>
          <w:sz w:val="20"/>
          <w:u w:val="single"/>
        </w:rPr>
        <w:t>Major Representations</w:t>
      </w:r>
      <w:r>
        <w:rPr>
          <w:rFonts w:ascii="Times New Roman" w:hAnsi="Times New Roman"/>
          <w:sz w:val="20"/>
        </w:rPr>
        <w:t xml:space="preserve">” means those representations and warranties set forth in </w:t>
      </w:r>
      <w:r>
        <w:rPr>
          <w:rFonts w:ascii="Times New Roman" w:hAnsi="Times New Roman"/>
          <w:sz w:val="20"/>
          <w:u w:val="single"/>
        </w:rPr>
        <w:t>Sections 3.01(a)</w:t>
      </w:r>
      <w:r>
        <w:rPr>
          <w:rFonts w:ascii="Times New Roman" w:hAnsi="Times New Roman"/>
          <w:sz w:val="20"/>
        </w:rPr>
        <w:t xml:space="preserve">, </w:t>
      </w:r>
      <w:r>
        <w:rPr>
          <w:rFonts w:ascii="Times New Roman" w:hAnsi="Times New Roman"/>
          <w:sz w:val="20"/>
          <w:u w:val="single"/>
        </w:rPr>
        <w:t>3.01(b)</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and </w:t>
      </w:r>
      <w:r>
        <w:rPr>
          <w:rFonts w:ascii="Times New Roman" w:hAnsi="Times New Roman"/>
          <w:sz w:val="20"/>
          <w:u w:val="single"/>
        </w:rPr>
        <w:t>3.03(b)</w:t>
      </w:r>
      <w:r>
        <w:rPr>
          <w:rFonts w:ascii="Times New Roman" w:hAnsi="Times New Roman"/>
          <w:sz w:val="20"/>
        </w:rPr>
        <w:t xml:space="preserve">, in each case,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as it relates to a Major Representation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240" w:after="0"/>
        <w:jc w:val="left"/>
        <w:rPr/>
      </w:pPr>
      <w:r>
        <w:rPr/>
        <w:t>“</w:t>
      </w:r>
      <w:r>
        <w:rPr>
          <w:rFonts w:ascii="Times New Roman" w:hAnsi="Times New Roman"/>
          <w:sz w:val="20"/>
          <w:u w:val="single"/>
        </w:rPr>
        <w:t>Major Undertakings</w:t>
      </w:r>
      <w:r>
        <w:rPr>
          <w:rFonts w:ascii="Times New Roman" w:hAnsi="Times New Roman"/>
          <w:sz w:val="20"/>
        </w:rPr>
        <w:t xml:space="preserve">” means those undertakings set forth in </w:t>
      </w:r>
      <w:r>
        <w:rPr>
          <w:rFonts w:ascii="Times New Roman" w:hAnsi="Times New Roman"/>
          <w:sz w:val="20"/>
          <w:u w:val="single"/>
        </w:rPr>
        <w:t>Sections 5.19</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and </w:t>
      </w:r>
      <w:r>
        <w:rPr>
          <w:rFonts w:ascii="Times New Roman" w:hAnsi="Times New Roman"/>
          <w:sz w:val="20"/>
          <w:u w:val="single"/>
        </w:rPr>
        <w:t>6.05</w:t>
      </w:r>
      <w:r>
        <w:rPr>
          <w:rFonts w:ascii="Times New Roman" w:hAnsi="Times New Roman"/>
          <w:sz w:val="20"/>
        </w:rPr>
        <w:t xml:space="preserv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as it relates to a Major Undertaking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Majority in Interest</w:t>
      </w:r>
      <w:r>
        <w:rPr>
          <w:rFonts w:ascii="Times New Roman" w:hAnsi="Times New Roman"/>
          <w:sz w:val="20"/>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hAnsi="Times New Roman"/>
          <w:sz w:val="20"/>
          <w:u w:val="single"/>
        </w:rPr>
        <w:t>provided</w:t>
      </w:r>
      <w:r>
        <w:rPr>
          <w:rFonts w:ascii="Times New Roman" w:hAnsi="Times New Roman"/>
          <w:sz w:val="20"/>
        </w:rPr>
        <w:t xml:space="preserve"> that whenever there are one or more Defaulting Lenders, the total outstanding Term Loans and Revolving Exposures of, and the unused Revolving Commitments and unused Term Commitments of, each Defaulting Lender shall be excluded for purposes of making a determination of the Majority in Interest. </w:t>
      </w:r>
    </w:p>
    <w:p>
      <w:pPr>
        <w:pStyle w:val="TextBody"/>
        <w:bidi w:val="0"/>
        <w:spacing w:before="240" w:after="0"/>
        <w:jc w:val="left"/>
        <w:rPr/>
      </w:pPr>
      <w:r>
        <w:rPr/>
        <w:t>“</w:t>
      </w:r>
      <w:r>
        <w:rPr>
          <w:rFonts w:ascii="Times New Roman" w:hAnsi="Times New Roman"/>
          <w:sz w:val="20"/>
          <w:u w:val="single"/>
        </w:rPr>
        <w:t>Management Investors</w:t>
      </w:r>
      <w:r>
        <w:rPr>
          <w:rFonts w:ascii="Times New Roman" w:hAnsi="Times New Roman"/>
          <w:sz w:val="20"/>
        </w:rPr>
        <w:t xml:space="preserve">” means the members of the Board of Directors, officers and employees of Holdings, Bidco and/or its Subsidiaries who are (directly or indirectly through one or more investment vehicles) investors in Holdings (or any direct or indirect parent thereof). </w:t>
      </w:r>
    </w:p>
    <w:p>
      <w:pPr>
        <w:pStyle w:val="TextBody"/>
        <w:bidi w:val="0"/>
        <w:spacing w:before="240" w:after="0"/>
        <w:jc w:val="left"/>
        <w:rPr/>
      </w:pPr>
      <w:r>
        <w:rPr/>
        <w:t>“</w:t>
      </w:r>
      <w:r>
        <w:rPr>
          <w:rFonts w:ascii="Times New Roman" w:hAnsi="Times New Roman"/>
          <w:sz w:val="20"/>
          <w:u w:val="single"/>
        </w:rPr>
        <w:t>Master Agreement</w:t>
      </w:r>
      <w:r>
        <w:rPr>
          <w:rFonts w:ascii="Times New Roman" w:hAnsi="Times New Roman"/>
          <w:sz w:val="20"/>
        </w:rPr>
        <w:t xml:space="preserve">” has the meaning assigned to such term in the definition of “Swap Agreement.”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circumstance or condition affecting the business, financial condition, or results of operations of Bidco and its Subsidiaries, taken as a whole, that would reasonably be expected to have a materially adverse effect on (a) the ability of Bidco and the other Loan Parties, taken as a whole, to perform their payment obligations under the Loan Documents or (b) the material rights and remedies of the Administrative Agent, the Issuing Banks and the Lenders under the Loan Documents.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for borrowed money (other than the Loan Document Obligations), Capitalized Lease Obligations, unreimbursed obligations for letter of credit drawings and financial guarantees (other than ordinary course of business contingent reimbursement obligations) or obligations in respect of one or more Swap Agreements, of any one or more of Bidco and the Restricted Subsidiaries in an aggregate principal amount exceeding the greater of (x) $250,000,000 and (y) 33.33% of Consolidated EBITDA for the most recently ended Test Period as of such date, calculated on a Pro Forma Basis. For purposes of determining Material Indebtedness, the “principal amount” of the obligations in respect of any Swap Agreement at any time shall be the maximum aggregate amount (giving effect to any netting agreements) that Bidco or such Restricted Subsidiary would be required to pay if such Swap Agreement were terminated at such time. </w:t>
      </w:r>
    </w:p>
    <w:p>
      <w:pPr>
        <w:pStyle w:val="TextBody"/>
        <w:bidi w:val="0"/>
        <w:spacing w:before="240" w:after="0"/>
        <w:jc w:val="left"/>
        <w:rPr/>
      </w:pPr>
      <w:r>
        <w:rPr/>
        <w:t>“</w:t>
      </w:r>
      <w:r>
        <w:rPr>
          <w:rFonts w:ascii="Times New Roman" w:hAnsi="Times New Roman"/>
          <w:sz w:val="20"/>
          <w:u w:val="single"/>
        </w:rPr>
        <w:t>Material Non-Public Information</w:t>
      </w:r>
      <w:r>
        <w:rPr>
          <w:rFonts w:ascii="Times New Roman" w:hAnsi="Times New Roman"/>
          <w:sz w:val="20"/>
        </w:rPr>
        <w:t xml:space="preserve">” means (a) if Holdings is a public reporting company, material non-public information with respect to Holdings or its subsidiaries, or the respective securities of any of the foregoing for purposes of United States Federal and state securities laws, and (b) if Holdings is not a public reporting company, information that is (i) of the type that would be required to be made publicly available if Holdings or any of its subsidiaries were a public reporting company and (ii) material with respect to Holdings and its subsidiaries or any of their respective securities for purposes of United States Federal or state securities laws.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means each Wholly Owned Restricted Subsidiary that, as of the last day of the fiscal quarter of Bidco most recently ended, had net revenues or total assets for such quarter in excess of 5.0% of the consolidated net revenues or total assets, as applicable, of Bidco and the Restricted Subsidiaries for such quarter; </w:t>
      </w:r>
      <w:r>
        <w:rPr>
          <w:rFonts w:ascii="Times New Roman" w:hAnsi="Times New Roman"/>
          <w:sz w:val="20"/>
          <w:u w:val="single"/>
        </w:rPr>
        <w:t>provided</w:t>
      </w:r>
      <w:r>
        <w:rPr>
          <w:rFonts w:ascii="Times New Roman" w:hAnsi="Times New Roman"/>
          <w:sz w:val="20"/>
        </w:rPr>
        <w:t xml:space="preserve"> that in the event that the Immaterial Subsidiaries,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together, had as of the last day of the fiscal quarter of Bidco most recently ended net revenues or total assets in excess of 10.0% of the consolidated revenues or total assets, as applicable, of Bidco and the Restricted Subsidiaries for such quarter, Bidco shall designate at its sole discretion one or more Immaterial Subsidiaries to be a Material Subsidiary as may be necessary such that the foregoing 10.0% limit shall not be exceeded, and any such Subsidiary shall thereafter be deemed to be an Material Subsidiary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may re-designate Material Subsidiaries as Immaterial Subsidiaries so long as Bidco is in compliance with the foregoing.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to such term in </w:t>
      </w:r>
      <w:r>
        <w:rPr>
          <w:rFonts w:ascii="Times New Roman" w:hAnsi="Times New Roman"/>
          <w:sz w:val="20"/>
          <w:u w:val="single"/>
        </w:rPr>
        <w:t>Section 9.16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Equity Requirement</w:t>
      </w:r>
      <w:r>
        <w:rPr>
          <w:rFonts w:ascii="Times New Roman" w:hAnsi="Times New Roman"/>
          <w:sz w:val="20"/>
        </w:rPr>
        <w:t xml:space="preserve">” means, as at the relevant date of calculation, that the Equity Contributions are not less than 35% of the Capitalized Amount. </w:t>
      </w:r>
    </w:p>
    <w:p>
      <w:pPr>
        <w:pStyle w:val="TextBody"/>
        <w:bidi w:val="0"/>
        <w:spacing w:before="240" w:after="0"/>
        <w:jc w:val="left"/>
        <w:rPr/>
      </w:pPr>
      <w:r>
        <w:rPr/>
        <w:t>“</w:t>
      </w:r>
      <w:r>
        <w:rPr>
          <w:rFonts w:ascii="Times New Roman" w:hAnsi="Times New Roman"/>
          <w:sz w:val="20"/>
          <w:u w:val="single"/>
        </w:rPr>
        <w:t>Model</w:t>
      </w:r>
      <w:r>
        <w:rPr>
          <w:rFonts w:ascii="Times New Roman" w:hAnsi="Times New Roman"/>
          <w:sz w:val="20"/>
        </w:rPr>
        <w:t xml:space="preserve">” means that certain financial model delivered to the Joint Lead Arrangers on March 2, 2019 (together with any updates or modifications thereto reasonably agreed between Bidco and the Administrative Agent).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240" w:after="0"/>
        <w:jc w:val="left"/>
        <w:rPr/>
      </w:pPr>
      <w:r>
        <w:rPr/>
        <w:t>“</w:t>
      </w:r>
      <w:r>
        <w:rPr>
          <w:rFonts w:ascii="Times New Roman" w:hAnsi="Times New Roman"/>
          <w:sz w:val="20"/>
          <w:u w:val="single"/>
        </w:rPr>
        <w:t>Net Income</w:t>
      </w:r>
      <w:r>
        <w:rPr>
          <w:rFonts w:ascii="Times New Roman" w:hAnsi="Times New Roman"/>
          <w:sz w:val="20"/>
        </w:rPr>
        <w:t xml:space="preserve">” means, with respect to any Person, the net income (loss) of such Person, determined in accordance with IFRS and before any reduction in respect of Preferred Stock dividends. </w:t>
      </w:r>
    </w:p>
    <w:p>
      <w:pPr>
        <w:pStyle w:val="TextBody"/>
        <w:bidi w:val="0"/>
        <w:spacing w:before="240" w:after="0"/>
        <w:jc w:val="left"/>
        <w:rPr/>
      </w:pPr>
      <w:r>
        <w:rPr/>
        <w:t>“</w:t>
      </w:r>
      <w:r>
        <w:rPr>
          <w:rFonts w:ascii="Times New Roman" w:hAnsi="Times New Roman"/>
          <w:sz w:val="20"/>
          <w:u w:val="single"/>
        </w:rPr>
        <w:t>Net Proceeds</w:t>
      </w:r>
      <w:r>
        <w:rPr>
          <w:rFonts w:ascii="Times New Roman" w:hAnsi="Times New Roman"/>
          <w:sz w:val="20"/>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hAnsi="Times New Roman"/>
          <w:sz w:val="20"/>
          <w:u w:val="single"/>
        </w:rPr>
        <w:t>minus</w:t>
      </w:r>
      <w:r>
        <w:rPr>
          <w:rFonts w:ascii="Times New Roman" w:hAnsi="Times New Roman"/>
          <w:sz w:val="20"/>
        </w:rPr>
        <w:t xml:space="preserve"> (b) without duplication the sum of (i) all fees and out-of-pocket expenses paid by Bidco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Bidco and the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Bidco or the Restricted Subsidiaries as a result thereof and (z) the amount of any liabilities directly associated with such asset and retained by Bidco or any Restricted Subsidiary and (iii) the amount of all taxes paid (or reasonably estimated to be payable), the amount of Tax Distributions, dividends and other Restricted Payments that Bidco and/or the Restricted Subsidiaries may make pursuant to </w:t>
      </w:r>
      <w:r>
        <w:rPr>
          <w:rFonts w:ascii="Times New Roman" w:hAnsi="Times New Roman"/>
          <w:sz w:val="20"/>
          <w:u w:val="single"/>
        </w:rPr>
        <w:t>Section 6.05(b)(xv)(B)</w:t>
      </w:r>
      <w:r>
        <w:rPr>
          <w:rFonts w:ascii="Times New Roman" w:hAnsi="Times New Roman"/>
          <w:sz w:val="20"/>
        </w:rPr>
        <w:t xml:space="preserve"> as a result of such event, and the amount of any reserves established by Holdings, any Intermediate Parent, Bidco and the Restricted Subsidiaries to fund contingent liabilities reasonably estimated to be payable, that are directly attributable to such event, </w:t>
      </w:r>
      <w:r>
        <w:rPr>
          <w:rFonts w:ascii="Times New Roman" w:hAnsi="Times New Roman"/>
          <w:sz w:val="20"/>
          <w:u w:val="single"/>
        </w:rPr>
        <w:t>provided</w:t>
      </w:r>
      <w:r>
        <w:rPr>
          <w:rFonts w:ascii="Times New Roman" w:hAnsi="Times New Roman"/>
          <w:sz w:val="20"/>
        </w:rPr>
        <w:t xml:space="preserve"> that any reduction at any time in the amount of any such reserves (other than as a result of payments made in respect thereof) shall be deemed to constitute the receipt by Bidco at such time of Net Proceeds in the amount of such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New Contracts</w:t>
      </w:r>
      <w:r>
        <w:rPr>
          <w:rFonts w:ascii="Times New Roman" w:hAnsi="Times New Roman"/>
          <w:sz w:val="20"/>
        </w:rPr>
        <w:t xml:space="preserve">” means executed agreements with new customers that have contracted with Bidco and its Subsidiaries, for which pricing, volumes and margins from the covered product categories are readily identified. </w:t>
      </w:r>
    </w:p>
    <w:p>
      <w:pPr>
        <w:pStyle w:val="TextBody"/>
        <w:bidi w:val="0"/>
        <w:spacing w:before="240" w:after="0"/>
        <w:jc w:val="left"/>
        <w:rPr/>
      </w:pPr>
      <w:r>
        <w:rPr/>
        <w:t>“</w:t>
      </w:r>
      <w:r>
        <w:rPr>
          <w:rFonts w:ascii="Times New Roman" w:hAnsi="Times New Roman"/>
          <w:sz w:val="20"/>
          <w:u w:val="single"/>
        </w:rPr>
        <w:t>Non-Accepting Lender</w:t>
      </w:r>
      <w:r>
        <w:rPr>
          <w:rFonts w:ascii="Times New Roman" w:hAnsi="Times New Roman"/>
          <w:sz w:val="20"/>
        </w:rPr>
        <w:t xml:space="preserve">” has the meaning assigned to such term in </w:t>
      </w:r>
      <w:r>
        <w:rPr>
          <w:rFonts w:ascii="Times New Roman" w:hAnsi="Times New Roman"/>
          <w:sz w:val="20"/>
          <w:u w:val="single"/>
        </w:rPr>
        <w:t>Section 2.23(c)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Non-Cash Compensation Expense</w:t>
      </w:r>
      <w:r>
        <w:rPr>
          <w:rFonts w:ascii="Times New Roman" w:hAnsi="Times New Roman"/>
          <w:sz w:val="20"/>
        </w:rPr>
        <w:t xml:space="preserve">” means any non-cash expenses and costs that result from the issuance of stock-based awards, partnership interest-based awards and similar incentive based compensation awards or arrangements.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Non-U.S. Loan Party</w:t>
      </w:r>
      <w:r>
        <w:rPr>
          <w:rFonts w:ascii="Times New Roman" w:hAnsi="Times New Roman"/>
          <w:sz w:val="20"/>
        </w:rPr>
        <w:t xml:space="preserve">” means any Loan Party organized in any jurisdiction other than the United States, any state thereof or the District of Columbia. </w:t>
      </w:r>
    </w:p>
    <w:p>
      <w:pPr>
        <w:pStyle w:val="TextBody"/>
        <w:bidi w:val="0"/>
        <w:spacing w:before="240" w:after="0"/>
        <w:jc w:val="left"/>
        <w:rPr/>
      </w:pPr>
      <w:r>
        <w:rPr/>
        <w:t>“</w:t>
      </w:r>
      <w:r>
        <w:rPr>
          <w:rFonts w:ascii="Times New Roman" w:hAnsi="Times New Roman"/>
          <w:sz w:val="20"/>
          <w:u w:val="single"/>
        </w:rPr>
        <w:t>Non-U.S. Restricted Subsidiary</w:t>
      </w:r>
      <w:r>
        <w:rPr>
          <w:rFonts w:ascii="Times New Roman" w:hAnsi="Times New Roman"/>
          <w:sz w:val="20"/>
        </w:rPr>
        <w:t xml:space="preserve">” means any Subsidiary of Bidco organized in any jurisdiction other than the United States, any state thereof or the District of Columbia that is not an Unrestricted Subsidiary. </w:t>
      </w:r>
    </w:p>
    <w:p>
      <w:pPr>
        <w:pStyle w:val="TextBody"/>
        <w:bidi w:val="0"/>
        <w:spacing w:before="240" w:after="0"/>
        <w:jc w:val="left"/>
        <w:rPr/>
      </w:pPr>
      <w:r>
        <w:rPr/>
        <w:t>“</w:t>
      </w:r>
      <w:r>
        <w:rPr>
          <w:rFonts w:ascii="Times New Roman" w:hAnsi="Times New Roman"/>
          <w:sz w:val="20"/>
          <w:u w:val="single"/>
        </w:rPr>
        <w:t>Non-U.S. Security Agreement</w:t>
      </w:r>
      <w:r>
        <w:rPr>
          <w:rFonts w:ascii="Times New Roman" w:hAnsi="Times New Roman"/>
          <w:sz w:val="20"/>
        </w:rPr>
        <w:t xml:space="preserve">” means (a) each security agreement executed by a Non- U.S. Restricted Subsidiary and listed on </w:t>
      </w:r>
      <w:r>
        <w:rPr>
          <w:rFonts w:ascii="Times New Roman" w:hAnsi="Times New Roman"/>
          <w:sz w:val="20"/>
          <w:u w:val="single"/>
        </w:rPr>
        <w:t>Schedule 1.01(d)</w:t>
      </w:r>
      <w:r>
        <w:rPr>
          <w:rFonts w:ascii="Times New Roman" w:hAnsi="Times New Roman"/>
          <w:sz w:val="20"/>
        </w:rPr>
        <w:t xml:space="preserve"> and (b) each other security agreement executed by the Non-U.S. Restricted Subsidiary pursuant to </w:t>
      </w:r>
      <w:r>
        <w:rPr>
          <w:rFonts w:ascii="Times New Roman" w:hAnsi="Times New Roman"/>
          <w:sz w:val="20"/>
          <w:u w:val="single"/>
        </w:rPr>
        <w:t>Section 5.12</w:t>
      </w:r>
      <w:r>
        <w:rPr>
          <w:rFonts w:ascii="Times New Roman" w:hAnsi="Times New Roman"/>
          <w:sz w:val="20"/>
        </w:rPr>
        <w:t xml:space="preserve"> in accordance with the Agreed Security Principles. </w:t>
      </w:r>
    </w:p>
    <w:p>
      <w:pPr>
        <w:pStyle w:val="TextBody"/>
        <w:bidi w:val="0"/>
        <w:spacing w:before="240" w:after="0"/>
        <w:jc w:val="left"/>
        <w:rPr/>
      </w:pPr>
      <w:r>
        <w:rPr/>
        <w:t>“</w:t>
      </w:r>
      <w:r>
        <w:rPr>
          <w:rFonts w:ascii="Times New Roman" w:hAnsi="Times New Roman"/>
          <w:sz w:val="20"/>
          <w:u w:val="single"/>
        </w:rPr>
        <w:t>Non-Wholly Owned Subsidiary</w:t>
      </w:r>
      <w:r>
        <w:rPr>
          <w:rFonts w:ascii="Times New Roman" w:hAnsi="Times New Roman"/>
          <w:sz w:val="20"/>
        </w:rPr>
        <w:t xml:space="preserve">” of any Person means any Subsidiary of such Person other than a Wholly Owned Subsidiary.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 promissory note of the Borrowers, in substantially the form of </w:t>
      </w:r>
      <w:r>
        <w:rPr>
          <w:rFonts w:ascii="Times New Roman" w:hAnsi="Times New Roman"/>
          <w:sz w:val="20"/>
          <w:u w:val="single"/>
        </w:rPr>
        <w:t>Exhibit R</w:t>
      </w:r>
      <w:r>
        <w:rPr>
          <w:rFonts w:ascii="Times New Roman" w:hAnsi="Times New Roman"/>
          <w:sz w:val="20"/>
        </w:rPr>
        <w:t xml:space="preserve">, payable to a Lender in a principal amount equal to the principal amount of the Revolving Commitment or Term Loans, as applicable, of such Lender. </w:t>
      </w:r>
    </w:p>
    <w:p>
      <w:pPr>
        <w:pStyle w:val="TextBody"/>
        <w:bidi w:val="0"/>
        <w:spacing w:before="240" w:after="0"/>
        <w:jc w:val="left"/>
        <w:rPr/>
      </w:pPr>
      <w:r>
        <w:rPr/>
        <w:t>“</w:t>
      </w:r>
      <w:r>
        <w:rPr>
          <w:rFonts w:ascii="Times New Roman" w:hAnsi="Times New Roman"/>
          <w:sz w:val="20"/>
          <w:u w:val="single"/>
        </w:rPr>
        <w:t>Offered Amount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Offered Discount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with respect to any Person, the charter, articles or certificate of organization, constitution or incorporation and bylaws or other organizational or governing documents of such Person.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Lender, Taxes that would otherwise be “Other Taxes and which are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Revolving Commitments</w:t>
      </w:r>
      <w:r>
        <w:rPr>
          <w:rFonts w:ascii="Times New Roman" w:hAnsi="Times New Roman"/>
          <w:sz w:val="20"/>
        </w:rPr>
        <w:t xml:space="preserve">” means one or more Classes of Revolving Commitments hereunder or extended Revolving Commitments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Other Revolving Loans</w:t>
      </w:r>
      <w:r>
        <w:rPr>
          <w:rFonts w:ascii="Times New Roman" w:hAnsi="Times New Roman"/>
          <w:sz w:val="20"/>
        </w:rPr>
        <w:t xml:space="preserve">” means one or more classes or Revolving Loans made pursuant to any Other Revolving Commitment or a Loan Modification Agreement.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recording, stamp, documentary, excise, transfer, sales, property or similar Taxes, charges or levies arising from any payment made under any Loan Document or from the execution, delivery, performance, or enforcement of, or from the receipt or perfection of a security interest under, or otherwise with respect to, any Loan Document excluding, in each case, any Other Connection Taxes or U.K. stamp duty or stamp duty reserve tax imposed as a result of a Lender’s Assignment and Assumption, grant of a participation, transfer or assignment to or designation of a new applicable Lending Office or other office for receiving payments under any Loan Document (other than where any of the foregoing results from a request by the Borrowers under </w:t>
      </w:r>
      <w:r>
        <w:rPr>
          <w:rFonts w:ascii="Times New Roman" w:hAnsi="Times New Roman"/>
          <w:sz w:val="20"/>
          <w:u w:val="single"/>
        </w:rPr>
        <w:t>Section 2.18</w:t>
      </w:r>
      <w:r>
        <w:rPr>
          <w:rFonts w:ascii="Times New Roman" w:hAnsi="Times New Roman"/>
          <w:sz w:val="20"/>
        </w:rPr>
        <w:t xml:space="preserve"> hereto), and VAT (which, if applicable, shall be dealt with in accordance with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Other Term Commitments</w:t>
      </w:r>
      <w:r>
        <w:rPr>
          <w:rFonts w:ascii="Times New Roman" w:hAnsi="Times New Roman"/>
          <w:sz w:val="20"/>
        </w:rPr>
        <w:t xml:space="preserve">” means one or more Classes of term loan commitments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Other Term Loans</w:t>
      </w:r>
      <w:r>
        <w:rPr>
          <w:rFonts w:ascii="Times New Roman" w:hAnsi="Times New Roman"/>
          <w:sz w:val="20"/>
        </w:rPr>
        <w:t xml:space="preserve">” means one or more Classes of Term Loans hereunder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Panel</w:t>
      </w:r>
      <w:r>
        <w:rPr>
          <w:rFonts w:ascii="Times New Roman" w:hAnsi="Times New Roman"/>
          <w:sz w:val="20"/>
        </w:rPr>
        <w:t xml:space="preserve">” means the Panel on Takeovers and Mergers. </w:t>
      </w:r>
    </w:p>
    <w:p>
      <w:pPr>
        <w:pStyle w:val="TextBody"/>
        <w:bidi w:val="0"/>
        <w:spacing w:before="240" w:after="0"/>
        <w:jc w:val="left"/>
        <w:rPr/>
      </w:pPr>
      <w:r>
        <w:rPr/>
        <w:t>“</w:t>
      </w:r>
      <w:r>
        <w:rPr>
          <w:rFonts w:ascii="Times New Roman" w:hAnsi="Times New Roman"/>
          <w:sz w:val="20"/>
          <w:u w:val="single"/>
        </w:rPr>
        <w:t>Pari Passu Intercreditor Agreement</w:t>
      </w:r>
      <w:r>
        <w:rPr>
          <w:rFonts w:ascii="Times New Roman" w:hAnsi="Times New Roman"/>
          <w:sz w:val="20"/>
        </w:rPr>
        <w:t xml:space="preserve">” means the Pari Passu Intercreditor Agreement substantially in the form of </w:t>
      </w:r>
      <w:r>
        <w:rPr>
          <w:rFonts w:ascii="Times New Roman" w:hAnsi="Times New Roman"/>
          <w:sz w:val="20"/>
          <w:u w:val="single"/>
        </w:rPr>
        <w:t>Exhibit F</w:t>
      </w:r>
      <w:r>
        <w:rPr>
          <w:rFonts w:ascii="Times New Roman" w:hAnsi="Times New Roman"/>
          <w:sz w:val="20"/>
        </w:rPr>
        <w:t xml:space="preserve"> among the Administrative Agent and one or more Senior Representatives for holders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On the Effective Date, the Administrative Agent entered into a Pari Passu Intercreditor Agreement with Wilmington Trust, National Association, as the Initial Additional Collateral Agent (as defined therein) and the Initial Additional Authorized Representative (as defined therein), and the other parties party thereto.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assigned to such term in </w:t>
      </w:r>
      <w:r>
        <w:rPr>
          <w:rFonts w:ascii="Times New Roman" w:hAnsi="Times New Roman"/>
          <w:sz w:val="20"/>
          <w:u w:val="single"/>
        </w:rPr>
        <w:t>Section 9.04(c)(i)</w:t>
      </w:r>
      <w:r>
        <w:rPr>
          <w:rFonts w:ascii="Times New Roman" w:hAnsi="Times New Roman"/>
          <w:sz w:val="20"/>
        </w:rPr>
        <w:t xml:space="preserve"> .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to such term in </w:t>
      </w:r>
      <w:r>
        <w:rPr>
          <w:rFonts w:ascii="Times New Roman" w:hAnsi="Times New Roman"/>
          <w:sz w:val="20"/>
          <w:u w:val="single"/>
        </w:rPr>
        <w:t>Section 9.04(c)(ii)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Lender</w:t>
      </w:r>
      <w:r>
        <w:rPr>
          <w:rFonts w:ascii="Times New Roman" w:hAnsi="Times New Roman"/>
          <w:sz w:val="20"/>
        </w:rPr>
        <w:t xml:space="preserve">” has the meaning assigned to such term in </w:t>
      </w:r>
      <w:r>
        <w:rPr>
          <w:rFonts w:ascii="Times New Roman" w:hAnsi="Times New Roman"/>
          <w:sz w:val="20"/>
          <w:u w:val="single"/>
        </w:rPr>
        <w:t>Section 2.10(a)(ii)(C)(2)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Member State</w:t>
      </w:r>
      <w:r>
        <w:rPr>
          <w:rFonts w:ascii="Times New Roman" w:hAnsi="Times New Roman"/>
          <w:sz w:val="20"/>
        </w:rPr>
        <w:t xml:space="preserve">” means each state so described in any EMU Legislation.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Perfection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has the meaning assigned to such term in clause (3) of the definition of “Permitted Investment”. </w:t>
      </w:r>
    </w:p>
    <w:p>
      <w:pPr>
        <w:pStyle w:val="TextBody"/>
        <w:bidi w:val="0"/>
        <w:spacing w:before="240" w:after="0"/>
        <w:jc w:val="left"/>
        <w:rPr/>
      </w:pPr>
      <w:r>
        <w:rPr/>
        <w:t>“</w:t>
      </w:r>
      <w:r>
        <w:rPr>
          <w:rFonts w:ascii="Times New Roman" w:hAnsi="Times New Roman"/>
          <w:sz w:val="20"/>
          <w:u w:val="single"/>
        </w:rPr>
        <w:t>Permitted Amendment</w:t>
      </w:r>
      <w:r>
        <w:rPr>
          <w:rFonts w:ascii="Times New Roman" w:hAnsi="Times New Roman"/>
          <w:sz w:val="20"/>
        </w:rPr>
        <w:t xml:space="preserve">” means an amendment to this Agreement and, if applicable the other Loan Documents, effected in connection with a Loan Modification Offer pursuant to </w:t>
      </w:r>
      <w:r>
        <w:rPr>
          <w:rFonts w:ascii="Times New Roman" w:hAnsi="Times New Roman"/>
          <w:sz w:val="20"/>
          <w:u w:val="single"/>
        </w:rPr>
        <w:t>Section 2.23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financial maintenance covenant or other covenant only applicable to, or for the benefit of, a revolving credit facility, also added for the benefit of each revolving credit facility hereunder (and not for the benefit of any term loan facility hereunder) or (iii) only applicable after the Latest Maturity Date at the time of such Loan Modification Offer); </w:t>
      </w:r>
      <w:r>
        <w:rPr>
          <w:rFonts w:ascii="Times New Roman" w:hAnsi="Times New Roman"/>
          <w:sz w:val="20"/>
          <w:u w:val="single"/>
        </w:rPr>
        <w:t>provided</w:t>
      </w:r>
      <w:r>
        <w:rPr>
          <w:rFonts w:ascii="Times New Roman" w:hAnsi="Times New Roman"/>
          <w:sz w:val="20"/>
        </w:rPr>
        <w:t xml:space="preserve"> that, notwithstanding anything to the contrary, such Loans and/or Commitments, as applicable, shall not be subject to any “most favored nation” pricing adjustments set forth in this Agreement. </w:t>
      </w:r>
    </w:p>
    <w:p>
      <w:pPr>
        <w:pStyle w:val="TextBody"/>
        <w:bidi w:val="0"/>
        <w:spacing w:before="240" w:after="0"/>
        <w:jc w:val="left"/>
        <w:rPr/>
      </w:pPr>
      <w:r>
        <w:rPr/>
        <w:t>“</w:t>
      </w:r>
      <w:r>
        <w:rPr>
          <w:rFonts w:ascii="Times New Roman" w:hAnsi="Times New Roman"/>
          <w:sz w:val="20"/>
          <w:u w:val="single"/>
        </w:rPr>
        <w:t>Permitted Asset Swap</w:t>
      </w:r>
      <w:r>
        <w:rPr>
          <w:rFonts w:ascii="Times New Roman" w:hAnsi="Times New Roman"/>
          <w:sz w:val="20"/>
        </w:rPr>
        <w:t xml:space="preserve">” means the concurrent purchase and sale or exchange of assets used or useful in a Similar Business or a combination of such assets and cash or Cash Equivalents between Bidco or any of its Restricted Subsidiaries and another Person; </w:t>
      </w:r>
      <w:r>
        <w:rPr>
          <w:rFonts w:ascii="Times New Roman" w:hAnsi="Times New Roman"/>
          <w:sz w:val="20"/>
          <w:u w:val="single"/>
        </w:rPr>
        <w:t>provided</w:t>
      </w:r>
      <w:r>
        <w:rPr>
          <w:rFonts w:ascii="Times New Roman" w:hAnsi="Times New Roman"/>
          <w:sz w:val="20"/>
        </w:rPr>
        <w:t xml:space="preserve"> that any cash or Cash Equivalents received in excess of the value of any cash or Cash Equivalents sold or exchanged must be applied in accordance with </w:t>
      </w:r>
      <w:r>
        <w:rPr>
          <w:rFonts w:ascii="Times New Roman" w:hAnsi="Times New Roman"/>
          <w:sz w:val="20"/>
          <w:u w:val="single"/>
        </w:rPr>
        <w:t>Section 6.04</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(a) the Investors, (b) the Management Investors, (c) any Person who is acting solely as an underwriter in connection with a public or private offering of Equity Interests of any parent entity of Bidco or Bidco, acting in such capacity, (d) any group (within the meaning of Section 13(d)(3) or Section 14(d)(2) of the Exchange Act or any successor provision) of which any of the foregoing are members if a majority of the Equity Interests owned by the group is owned by Permitted Holders under clause (a) or (b) above and (e) any Permitted Parent. </w:t>
      </w:r>
    </w:p>
    <w:p>
      <w:pPr>
        <w:pStyle w:val="TextBody"/>
        <w:bidi w:val="0"/>
        <w:spacing w:before="240" w:after="0"/>
        <w:jc w:val="left"/>
        <w:rPr/>
      </w:pPr>
      <w:r>
        <w:rPr/>
        <w:t>“</w:t>
      </w:r>
      <w:r>
        <w:rPr>
          <w:rFonts w:ascii="Times New Roman" w:hAnsi="Times New Roman"/>
          <w:sz w:val="20"/>
          <w:u w:val="single"/>
        </w:rPr>
        <w:t>Permitted Intercompany Activities</w:t>
      </w:r>
      <w:r>
        <w:rPr>
          <w:rFonts w:ascii="Times New Roman" w:hAnsi="Times New Roman"/>
          <w:sz w:val="20"/>
        </w:rPr>
        <w:t xml:space="preserve">” means any transactions (A) between or among Bidco and its Restricted Subsidiaries that are entered into in connection with the Transactions and/or in the ordinary course of business or consistent with past practice of Bidco and its Restricted Subsidiaries and, in the reasonable determination of Bidco are necessary or advisable in connection with the ownership or operation of the business of Bidco and its Restricted Subsidiaries, including (i) payroll, cash management, purchasing, insurance and hedging arrangements; (ii) management, technology and licensing arrangements; and (iii) customary loyalty and rewards programs; and (B) between or among Bidco and its Restricted Subsidiaries.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Bidco or any of its Restricted Subsidiaries; provided that Investments by any Loan Party in any Restricted Subsidiary that is not a Loan Party made pursuant to this clause (1), taken together with all other Investments by any Loan Party in any Restricted Subsidiary that is not a Loan Party made pursuant to this clause (1) and clause (3) below, that are at that time outstanding, shall not exceed $300,000,000 (with the Fair Market Value of each Investment being measured at the time made and without giving effect to subsequent changes in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Investment in cash and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in a Person (including to the extent constituting an Investment, in assets of a Person that represent substantially all of its assets or a division, business unit or product line or line of business, including research and development and related assets in respect of any product); </w:t>
      </w:r>
      <w:r>
        <w:rPr>
          <w:rFonts w:ascii="Times New Roman" w:hAnsi="Times New Roman"/>
          <w:sz w:val="20"/>
          <w:u w:val="single"/>
        </w:rPr>
        <w:t>provided</w:t>
      </w:r>
      <w:r>
        <w:rPr>
          <w:rFonts w:ascii="Times New Roman" w:hAnsi="Times New Roman"/>
          <w:sz w:val="20"/>
        </w:rPr>
        <w:t xml:space="preserve"> that as a result of such Investment (a “</w:t>
      </w:r>
      <w:r>
        <w:rPr>
          <w:rFonts w:ascii="Times New Roman" w:hAnsi="Times New Roman"/>
          <w:sz w:val="20"/>
          <w:u w:val="single"/>
        </w:rPr>
        <w:t>Permitted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Person, upon the consummation of such purchase or acquisition, will be a Restricted Subsidiary (including as a result of a merger, amalgamation or consolidation between any Subsidiary and such Person); or </w:t>
      </w:r>
    </w:p>
    <w:p>
      <w:pPr>
        <w:pStyle w:val="TextBody"/>
        <w:bidi w:val="0"/>
        <w:spacing w:before="120" w:after="0"/>
        <w:jc w:val="left"/>
        <w:rPr>
          <w:rFonts w:ascii="Times New Roman" w:hAnsi="Times New Roman"/>
          <w:sz w:val="20"/>
        </w:rPr>
      </w:pPr>
      <w:r>
        <w:rPr>
          <w:rFonts w:ascii="Times New Roman" w:hAnsi="Times New Roman"/>
          <w:sz w:val="20"/>
        </w:rPr>
        <w:t xml:space="preserve">(b)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Bidco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in each case, any Investment held by such Person; </w:t>
      </w:r>
      <w:r>
        <w:rPr>
          <w:rFonts w:ascii="Times New Roman" w:hAnsi="Times New Roman"/>
          <w:sz w:val="20"/>
          <w:u w:val="single"/>
        </w:rPr>
        <w:t>provided</w:t>
      </w:r>
      <w:r>
        <w:rPr>
          <w:rFonts w:ascii="Times New Roman" w:hAnsi="Times New Roman"/>
          <w:sz w:val="20"/>
        </w:rPr>
        <w:t xml:space="preserve"> that such Investment was not acquired by such Person in contemplation of such acquisition, merger, amalgamation, consolidation or transfer;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actions set forth in the definition of the term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designated as an Unrestricted Subsidiary pursuant to </w:t>
      </w:r>
      <w:r>
        <w:rPr>
          <w:rFonts w:ascii="Times New Roman" w:hAnsi="Times New Roman"/>
          <w:sz w:val="20"/>
          <w:u w:val="single"/>
        </w:rPr>
        <w:t>Section 5.13</w:t>
      </w:r>
      <w:r>
        <w:rPr>
          <w:rFonts w:ascii="Times New Roman" w:hAnsi="Times New Roman"/>
          <w:sz w:val="20"/>
        </w:rPr>
        <w:t xml:space="preserve"> or is otherwise an Excluded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Investments by any Loan Party in any Restricted Subsidiary that is not a Loan Party made pursuant to this clause (3), taken together with all other Investments by any Loan Party in any Restricted Subsidiary that is not a Loan Party made pursuant to this clause (3) and clause (1) above,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in securities, promissory notes or other assets not constituting cash, Cash Equivalents or Investment Grade Securities and received in connection with an Asset Sale made pursuant to the provisions of </w:t>
      </w:r>
      <w:r>
        <w:rPr>
          <w:rFonts w:ascii="Times New Roman" w:hAnsi="Times New Roman"/>
          <w:sz w:val="20"/>
          <w:u w:val="single"/>
        </w:rPr>
        <w:t>Section 6.04</w:t>
      </w:r>
      <w:r>
        <w:rPr>
          <w:rFonts w:ascii="Times New Roman" w:hAnsi="Times New Roman"/>
          <w:sz w:val="20"/>
        </w:rPr>
        <w:t xml:space="preserve"> hereof or any other disposition of assets not constituting an Asset Sale; </w:t>
      </w:r>
    </w:p>
    <w:p>
      <w:pPr>
        <w:pStyle w:val="TextBody"/>
        <w:bidi w:val="0"/>
        <w:spacing w:before="120" w:after="0"/>
        <w:jc w:val="left"/>
        <w:rPr>
          <w:rFonts w:ascii="Times New Roman" w:hAnsi="Times New Roman"/>
          <w:sz w:val="20"/>
        </w:rPr>
      </w:pPr>
      <w:r>
        <w:rPr>
          <w:rFonts w:ascii="Times New Roman" w:hAnsi="Times New Roman"/>
          <w:sz w:val="20"/>
        </w:rPr>
        <w:t xml:space="preserve">(5) (a) any Investment existing or made pursuant to binding commitments in effect on the Effective Date or an Investment consisting of any extension, modification or renewal of any such Investment and (b) any Investment existing on the Effective Date by any Borrower or any Restricted Subsidiary in any Borrower or any Restricted Subsidiary or an Investment consisting of any extension, modification or renewal of any such Investment; </w:t>
      </w:r>
      <w:r>
        <w:rPr>
          <w:rFonts w:ascii="Times New Roman" w:hAnsi="Times New Roman"/>
          <w:sz w:val="20"/>
          <w:u w:val="single"/>
        </w:rPr>
        <w:t>provided</w:t>
      </w:r>
      <w:r>
        <w:rPr>
          <w:rFonts w:ascii="Times New Roman" w:hAnsi="Times New Roman"/>
          <w:sz w:val="20"/>
        </w:rPr>
        <w:t xml:space="preserve"> that the amount of any such Investment may be increased in such extension, modification or renewal only (i) as required by the terms of such Investment or binding commitment as in existence on the Effective Date (including as a result of the accrual or accretion of interest or original issue discount or the issuance of pay-in-kind securities and premium payable by the terms of such Investment thereon and fees and expenses associated therewith as of the Effective Date) or (ii)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 (including debt obligations and Equity Interests) acquired by Bidco or any of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consisting of extensions of trade credit and accommodation guarantees in the ordinary course of business including extensions of credit in the nature of accounts receivable or notes receivable arising from the grant of trade credit; </w:t>
      </w:r>
    </w:p>
    <w:p>
      <w:pPr>
        <w:pStyle w:val="TextBody"/>
        <w:bidi w:val="0"/>
        <w:spacing w:before="120" w:after="0"/>
        <w:jc w:val="left"/>
        <w:rPr>
          <w:rFonts w:ascii="Times New Roman" w:hAnsi="Times New Roman"/>
          <w:sz w:val="20"/>
        </w:rPr>
      </w:pPr>
      <w:r>
        <w:rPr>
          <w:rFonts w:ascii="Times New Roman" w:hAnsi="Times New Roman"/>
          <w:sz w:val="20"/>
        </w:rPr>
        <w:t xml:space="preserve">(b) in exchange for any other Investment or accounts receivable held by Bidco or any such Restricted Subsidiary in connection with or as a result of a bankruptcy, workout, reorganization or recapitalization of the issuer of such other Investment or accounts receivable (including any trade creditor or customer); </w:t>
      </w:r>
    </w:p>
    <w:p>
      <w:pPr>
        <w:pStyle w:val="TextBody"/>
        <w:bidi w:val="0"/>
        <w:spacing w:before="120" w:after="0"/>
        <w:jc w:val="left"/>
        <w:rPr>
          <w:rFonts w:ascii="Times New Roman" w:hAnsi="Times New Roman"/>
          <w:sz w:val="20"/>
        </w:rPr>
      </w:pPr>
      <w:r>
        <w:rPr>
          <w:rFonts w:ascii="Times New Roman" w:hAnsi="Times New Roman"/>
          <w:sz w:val="20"/>
        </w:rPr>
        <w:t xml:space="preserve">(c) in satisfaction of judgments against other Persons; </w:t>
      </w:r>
    </w:p>
    <w:p>
      <w:pPr>
        <w:pStyle w:val="TextBody"/>
        <w:bidi w:val="0"/>
        <w:spacing w:before="120" w:after="0"/>
        <w:jc w:val="left"/>
        <w:rPr>
          <w:rFonts w:ascii="Times New Roman" w:hAnsi="Times New Roman"/>
          <w:sz w:val="20"/>
        </w:rPr>
      </w:pPr>
      <w:r>
        <w:rPr>
          <w:rFonts w:ascii="Times New Roman" w:hAnsi="Times New Roman"/>
          <w:sz w:val="20"/>
        </w:rPr>
        <w:t xml:space="preserve">(d) as a result of a foreclosure by Bidco or any of its Restricted Subsidiaries with respect to any secured Investment or other transfer of title with respect to any secured Investment in default; or </w:t>
      </w:r>
    </w:p>
    <w:p>
      <w:pPr>
        <w:pStyle w:val="TextBody"/>
        <w:bidi w:val="0"/>
        <w:spacing w:before="120" w:after="0"/>
        <w:jc w:val="left"/>
        <w:rPr>
          <w:rFonts w:ascii="Times New Roman" w:hAnsi="Times New Roman"/>
          <w:sz w:val="20"/>
        </w:rPr>
      </w:pPr>
      <w:r>
        <w:rPr>
          <w:rFonts w:ascii="Times New Roman" w:hAnsi="Times New Roman"/>
          <w:sz w:val="20"/>
        </w:rPr>
        <w:t xml:space="preserve">(e)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w:t>
      </w:r>
    </w:p>
    <w:p>
      <w:pPr>
        <w:pStyle w:val="TextBody"/>
        <w:bidi w:val="0"/>
        <w:spacing w:before="120" w:after="0"/>
        <w:jc w:val="left"/>
        <w:rPr>
          <w:rFonts w:ascii="Times New Roman" w:hAnsi="Times New Roman"/>
          <w:sz w:val="20"/>
        </w:rPr>
      </w:pPr>
      <w:r>
        <w:rPr>
          <w:rFonts w:ascii="Times New Roman" w:hAnsi="Times New Roman"/>
          <w:sz w:val="20"/>
        </w:rPr>
        <w:t xml:space="preserve">(7) Hedging Obligations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(8) any Investment in a Similar Business having an aggregate Fair Market Value, taken together with all other Investments made pursuant to this clause (8) that are at that time outstanding, not to exceed the greater of $187,500,000 and 25% of Consolidated EBITDA for the most recently ended Test Period, calculated on a Pro Forma Basis, at the time of such Investment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(9) Investments and other acquisitions the payment for which consists of Equity Interests (other than Disqualified Equity Interests) of Bidco, any of its direct or indirect parent companies or the IPO Entity or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(10) (i) Indebtedness and guarantees of Indebtedness permitted under </w:t>
      </w:r>
      <w:r>
        <w:rPr>
          <w:rFonts w:ascii="Times New Roman" w:hAnsi="Times New Roman"/>
          <w:sz w:val="20"/>
          <w:u w:val="single"/>
        </w:rPr>
        <w:t>Section 6.01</w:t>
      </w:r>
      <w:r>
        <w:rPr>
          <w:rFonts w:ascii="Times New Roman" w:hAnsi="Times New Roman"/>
          <w:sz w:val="20"/>
        </w:rPr>
        <w:t xml:space="preserve"> hereof; the creation of Liens on the assets of Bidco or any Restricted Subsidiary in compliance with </w:t>
      </w:r>
      <w:r>
        <w:rPr>
          <w:rFonts w:ascii="Times New Roman" w:hAnsi="Times New Roman"/>
          <w:sz w:val="20"/>
          <w:u w:val="single"/>
        </w:rPr>
        <w:t>Section 6.02</w:t>
      </w:r>
      <w:r>
        <w:rPr>
          <w:rFonts w:ascii="Times New Roman" w:hAnsi="Times New Roman"/>
          <w:sz w:val="20"/>
        </w:rPr>
        <w:t xml:space="preserve"> and Restricted Payments permitted under </w:t>
      </w:r>
      <w:r>
        <w:rPr>
          <w:rFonts w:ascii="Times New Roman" w:hAnsi="Times New Roman"/>
          <w:sz w:val="20"/>
          <w:u w:val="single"/>
        </w:rPr>
        <w:t>Section 6.05</w:t>
      </w:r>
      <w:r>
        <w:rPr>
          <w:rFonts w:ascii="Times New Roman" w:hAnsi="Times New Roman"/>
          <w:sz w:val="20"/>
        </w:rPr>
        <w:t xml:space="preserve"> (other than by reference to this clause (10)) and (ii) performance guarantees and Contingent Obligations with respect to obligations that are not prohibited by the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to the extent it constitutes an Investment that is permitted by and made in accordance with the provisions of </w:t>
      </w:r>
      <w:r>
        <w:rPr>
          <w:rFonts w:ascii="Times New Roman" w:hAnsi="Times New Roman"/>
          <w:sz w:val="20"/>
          <w:u w:val="single"/>
        </w:rPr>
        <w:t>Section 5.17</w:t>
      </w:r>
      <w:r>
        <w:rPr>
          <w:rFonts w:ascii="Times New Roman" w:hAnsi="Times New Roman"/>
          <w:sz w:val="20"/>
        </w:rPr>
        <w:t xml:space="preserve"> hereof (except transactions described in clause (xiv)(B) of </w:t>
      </w:r>
      <w:r>
        <w:rPr>
          <w:rFonts w:ascii="Times New Roman" w:hAnsi="Times New Roman"/>
          <w:sz w:val="20"/>
          <w:u w:val="single"/>
        </w:rPr>
        <w:t>Section 5.17</w:t>
      </w:r>
      <w:r>
        <w:rPr>
          <w:rFonts w:ascii="Times New Roman" w:hAnsi="Times New Roman"/>
          <w:sz w:val="20"/>
        </w:rPr>
        <w:t xml:space="preserve"> hereof) or </w:t>
      </w:r>
      <w:r>
        <w:rPr>
          <w:rFonts w:ascii="Times New Roman" w:hAnsi="Times New Roman"/>
          <w:sz w:val="20"/>
          <w:u w:val="single"/>
        </w:rPr>
        <w:t>Section 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to the extent that they constitute Investments, purchases and acquisitions of inventory, supplies, materials or equipment or purchases, acquisitions, licenses or leases of other assets, intellectual property, receivables owing to Bidco or any Restricted Subsidiary or other rights,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(i) to the extent constituting Investments, any payments (including for capital expenditures) under any Satellite Purchase Agreement or any other contracts for the construction,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procurement, launch, or insurance of any new Satellites and (ii) Investments in any Subsidiary or joint venture formed for the purpose of selling or leasing Satellite capacity to third-party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(14) additional Investments having an aggregate Fair Market Value, taken together with all other Investments made pursuant to this clause (14) that are at that time outstanding (without giving effect to the sale of an Unrestricted Subsidiary to the extent the proceeds of such sale do not consist of cash or have not been subsequently sold or transferred for cash or marketable securities), not to exceed the sum of (a) the greater of $450,000,000 and 60% of Consolidated EBITDA for the most recently ended Test Period, calculated on a Pro Forma Basis, at the time of such Investment, (b) the Available Restricted Payments Amount and (c) the Available Restricted Debt Payments Amount, plus the amount of any returns (including dividends, payments, interest, distributions, returns of principal, profits on sale, repayments, income and similar amounts) in respect of such Investments (without duplication for purposes of the covenant described in </w:t>
      </w:r>
      <w:r>
        <w:rPr>
          <w:rFonts w:ascii="Times New Roman" w:hAnsi="Times New Roman"/>
          <w:sz w:val="20"/>
          <w:u w:val="single"/>
        </w:rPr>
        <w:t>Section 6.05</w:t>
      </w:r>
      <w:r>
        <w:rPr>
          <w:rFonts w:ascii="Times New Roman" w:hAnsi="Times New Roman"/>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relating to a Receivables Subsidiary that, in the good faith determination of Bidco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Facility or any related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(16) advances to, or guarantees of Indebtedness of, employees not in excess of the greater of $75,000,000 and 10% of Consolidated EBITDA for the most recently ended Test Period, calculated on a Pro Forma Basis, outstanding at any one time,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(17) (x) loans and advances to officers, members of the board of directors and employees of direct and indirect parent companies of Bidco, Bidco and its Restricted Subsidiaries (i) for business-related travel expenses, entertainment, moving expenses and other similar expenses, for ordinary business purposes, (ii) to fund such Person’s purchase of Equity Interests of Bidco or any direct or indirect parent company thereof and (iii) for payroll payments and (y) Investments in the form of Recruitment Notes and other recruiting costs to certain employees or financial advisors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in joint ventures and similar entities and Unrestricted Subsidiaries having an aggregate Fair Market Value, taken together with all other Investments made pursuant to this clause (18) that are at the time outstanding, without giving effect to the sale of an Unrestricted Subsidiary to the extent the proceeds of such sale do not consist of cash or marketable securities, not to exceed the greater of $187,500,000 and 25% of Consolidated EBITDA for the most recently ended Test Period, calculated on a Pro Forma Basis, at the time of such Investment, plus the amount of any returns (including dividends, payments, interest, distributions, returns of principal, profits on sale, repayments, income and similar amounts) in respect of such Investments (without duplication for purposes of the covenant described in the </w:t>
      </w:r>
      <w:r>
        <w:rPr>
          <w:rFonts w:ascii="Times New Roman" w:hAnsi="Times New Roman"/>
          <w:sz w:val="20"/>
          <w:u w:val="single"/>
        </w:rPr>
        <w:t>Section 6.05</w:t>
      </w:r>
      <w:r>
        <w:rPr>
          <w:rFonts w:ascii="Times New Roman" w:hAnsi="Times New Roman"/>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contributions to a “rabbi” trust for the benefit of employees, directors, consultants, independent contractors or other service providers or other grantor trust subject to claims of creditors in the case of a bankruptcy of Bidco; </w:t>
      </w:r>
    </w:p>
    <w:p>
      <w:pPr>
        <w:pStyle w:val="TextBody"/>
        <w:bidi w:val="0"/>
        <w:spacing w:before="120" w:after="0"/>
        <w:jc w:val="left"/>
        <w:rPr>
          <w:rFonts w:ascii="Times New Roman" w:hAnsi="Times New Roman"/>
          <w:sz w:val="20"/>
        </w:rPr>
      </w:pPr>
      <w:r>
        <w:rPr>
          <w:rFonts w:ascii="Times New Roman" w:hAnsi="Times New Roman"/>
          <w:sz w:val="20"/>
        </w:rPr>
        <w:t xml:space="preserve">(20) any other Investment (other than Investments in Unrestricted Subsidiaries); provided that (a) on a Pro Forma Basis after giving effect to such Investment the Senior Secured First Lien Net Leverage Ratio is equal to or less than 4.60 to 1.00 and (b) no Specified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(21)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the ordinary course of business consisting of UCC Article 3 endorsements for collection or deposit and UCC Article 4 customary trade arrangements with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loans and advances to direct and indirect parent companies of Bidco (x) in lieu of, and not in excess of the amount of (after giving effect to any other loans, advances or Restricted Payments in respect thereof), Restricted Payments to the extent permitted to be made to such companies in accordance with </w:t>
      </w:r>
      <w:r>
        <w:rPr>
          <w:rFonts w:ascii="Times New Roman" w:hAnsi="Times New Roman"/>
          <w:sz w:val="20"/>
          <w:u w:val="single"/>
        </w:rPr>
        <w:t>Section 6.05(a)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and (y) to the extent the proceeds thereof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(A) for utilities, security deposits, leases and similar prepaid expenses incurred in the ordinary course of business and (B) trade accounts created, or prepaid expenses accrued,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(25) non-cash Investments in connection with tax planning and reorganization activities, and Investments in connection with a Permitted Intercompany Activities and Permitted Tax Restructuring; </w:t>
      </w:r>
    </w:p>
    <w:p>
      <w:pPr>
        <w:pStyle w:val="TextBody"/>
        <w:bidi w:val="0"/>
        <w:spacing w:before="120" w:after="0"/>
        <w:jc w:val="left"/>
        <w:rPr>
          <w:rFonts w:ascii="Times New Roman" w:hAnsi="Times New Roman"/>
          <w:sz w:val="20"/>
        </w:rPr>
      </w:pPr>
      <w:r>
        <w:rPr>
          <w:rFonts w:ascii="Times New Roman" w:hAnsi="Times New Roman"/>
          <w:sz w:val="20"/>
        </w:rPr>
        <w:t xml:space="preserve">(26) any Investment in any Subsidiary or any joint venture in connection with intercompany cash management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by an Unrestricted Subsidiary entered into prior to the day such Unrestricted Subsidiary is redesignated as a Restricted Subsidiary pursuant to the definition of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(28) Investments (including debt obligations and equity interests) (a) in connection with Settlements, (b) in exchange for any other Investment or accounts receivable, endorsements for collection or deposit held by Bidco or any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made from casualty insurance proceeds in connection with the replacement, substitution, restoration or repair of assets on account of a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(30) Investments made in the ordinary course of business in connection with obtaining, maintaining or renewing client contacts and loans or advances made to distributors in the ordinary course of business;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Investments arising as a result of Sale and Lease-Back Transactions.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Liens incurred or pledges, deposits or security (a) in connection with workers’ or workmen’s compensation, unemployment insurance, employers’ health tax, social security, retirement and other similar legislation, or other insurance-related obligations (including, but not limited to, in respect of deductibles, self-insured retention amounts and premiums and adjustments thereto) or (b) securing liability for reimbursement or indemnification obligations of (including obligations in respect of letters of credit or bank guarantees or similar instrument for the benefit of) insurance carriers providing property, casualty or liability insurance to Bidco or any Restricted Subsidiary or otherwise supporting the payment of items set forth in the foregoing clause (a) or (b)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 Liens with respect to outstanding motor vehicle fines and Liens arising or imposed by law, such as landlords’, carriers’, warehousemen’s, mechanics’, materialmen’s, repairmen’s or construction contractors’ Liens and other similar Liens, in each case (a)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IFRS or (b) so long as such Liens do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other governmental charges (a) that are not overdue for a period of more than 30 days, not yet payable or subject to penalties for nonpayment that are being contested in good faith by appropriate proceedings for which adequate reserves with respect thereto are maintained on the books of the applicable Person in accordance with IFRS or (b) so long as such Liens do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(4) 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(5) (a) survey exceptions, encumbrances, easements, ground leases, covenants, conditions, rights-of-way, licenses, servitudes, restrictions, encroachments, protrusions, by-law, reservations of, or rights of others for sewers, electric lines, telegraph and telephone lines and other similar purposes, zoning or other restrictions (including defects and irregularities in title and similar encumbrances) and other similar encumbrances and title defects or irregularities affecting real property, that, in the aggregate, do not materially interfere with the ordinary conduct of the business of Bidco and its Restricted Subsidiaries, taken as a whole, (b) rights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recapture of unused real property in favor of the seller of property set forth in customary purchase agreements and related arrangements with any governmental authority, (c) Liens arising from the right of distress enjoyed by landlords or Liens otherwise granted to landlords, in either case, to secure the payment of arrears of rent in respect of leased properties, so long as such Liens are not exercised, (d) servicing agreements, development agreements, site plan agreements and other agreements with any governmental authority pertaining to the use or development of any of the assets of the Person, </w:t>
      </w:r>
      <w:r>
        <w:rPr>
          <w:rFonts w:ascii="Times New Roman" w:hAnsi="Times New Roman"/>
          <w:sz w:val="20"/>
          <w:u w:val="single"/>
        </w:rPr>
        <w:t>provided</w:t>
      </w:r>
      <w:r>
        <w:rPr>
          <w:rFonts w:ascii="Times New Roman" w:hAnsi="Times New Roman"/>
          <w:sz w:val="20"/>
        </w:rPr>
        <w:t xml:space="preserve"> that the same are complied with in all material respects and do not materially reduce the value of the assets of the Person or materially interfere with the use of such assets in the operation of the business of such Person, (e) the reservations in any original grants from the crown of any land or interest therein and statutory exceptions to title and (f) other Liens on real property (including ground leases in respect of real property on which facilities owned or leased by Bidco or any of the Restricted Subsidiaries are located); </w:t>
      </w:r>
    </w:p>
    <w:p>
      <w:pPr>
        <w:pStyle w:val="TextBody"/>
        <w:bidi w:val="0"/>
        <w:spacing w:before="120" w:after="0"/>
        <w:jc w:val="left"/>
        <w:rPr>
          <w:rFonts w:ascii="Times New Roman" w:hAnsi="Times New Roman"/>
          <w:sz w:val="20"/>
        </w:rPr>
      </w:pPr>
      <w:r>
        <w:rPr>
          <w:rFonts w:ascii="Times New Roman" w:hAnsi="Times New Roman"/>
          <w:sz w:val="20"/>
        </w:rPr>
        <w:t xml:space="preserve">(6) Liens securing obligations relating to any Indebtedness permitted to be incurred pursuant to clause (i), (iii), (xi), (xii), (xvi), (xix), (xxvi), (xxix), (xxx) or (xxxi) of </w:t>
      </w:r>
      <w:r>
        <w:rPr>
          <w:rFonts w:ascii="Times New Roman" w:hAnsi="Times New Roman"/>
          <w:sz w:val="20"/>
          <w:u w:val="single"/>
        </w:rPr>
        <w:t>Section 6.01(b)</w:t>
      </w:r>
      <w:r>
        <w:rPr>
          <w:rFonts w:ascii="Times New Roman" w:hAnsi="Times New Roman"/>
          <w:sz w:val="20"/>
        </w:rPr>
        <w:t xml:space="preserve"> hereof or </w:t>
      </w:r>
      <w:r>
        <w:rPr>
          <w:rFonts w:ascii="Times New Roman" w:hAnsi="Times New Roman"/>
          <w:sz w:val="20"/>
          <w:u w:val="single"/>
        </w:rPr>
        <w:t>Section 6.01(a)</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that for purposes of this clause (6), any Lien securing obligations relating to any Indebtedness that is incurred under clause (xii) of </w:t>
      </w:r>
      <w:r>
        <w:rPr>
          <w:rFonts w:ascii="Times New Roman" w:hAnsi="Times New Roman"/>
          <w:sz w:val="20"/>
          <w:u w:val="single"/>
        </w:rPr>
        <w:t>Section 6.01(b)</w:t>
      </w:r>
      <w:r>
        <w:rPr>
          <w:rFonts w:ascii="Times New Roman" w:hAnsi="Times New Roman"/>
          <w:sz w:val="20"/>
        </w:rPr>
        <w:t xml:space="preserve"> hereof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Liens securing Indebtedness permitted to be incurred pursuant to clause (xvi) are solely on acquired property or the assets of the acquired entity, as the case may be and (b) Liens on Collateral securing Indebtedness permitted to be incurred pursuant to </w:t>
      </w:r>
      <w:r>
        <w:rPr>
          <w:rFonts w:ascii="Times New Roman" w:hAnsi="Times New Roman"/>
          <w:sz w:val="20"/>
          <w:u w:val="single"/>
        </w:rPr>
        <w:t>Section 6.01(a)</w:t>
      </w:r>
      <w:r>
        <w:rPr>
          <w:rFonts w:ascii="Times New Roman" w:hAnsi="Times New Roman"/>
          <w:sz w:val="20"/>
        </w:rPr>
        <w:t xml:space="preserve"> or (xxxi) of </w:t>
      </w:r>
      <w:r>
        <w:rPr>
          <w:rFonts w:ascii="Times New Roman" w:hAnsi="Times New Roman"/>
          <w:sz w:val="20"/>
          <w:u w:val="single"/>
        </w:rPr>
        <w:t>Section 6.01(b)</w:t>
      </w:r>
      <w:r>
        <w:rPr>
          <w:rFonts w:ascii="Times New Roman" w:hAnsi="Times New Roman"/>
          <w:sz w:val="20"/>
        </w:rPr>
        <w:t xml:space="preserve"> shall be subject to a Customary Intercreditor Agreement,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on the Effective Date and, in each case, any modifications, replacements, renewals, refinancings, or extensions thereof; </w:t>
      </w:r>
    </w:p>
    <w:p>
      <w:pPr>
        <w:pStyle w:val="TextBody"/>
        <w:bidi w:val="0"/>
        <w:spacing w:before="120" w:after="0"/>
        <w:jc w:val="left"/>
        <w:rPr>
          <w:rFonts w:ascii="Times New Roman" w:hAnsi="Times New Roman"/>
          <w:sz w:val="20"/>
        </w:rPr>
      </w:pPr>
      <w:r>
        <w:rPr>
          <w:rFonts w:ascii="Times New Roman" w:hAnsi="Times New Roman"/>
          <w:sz w:val="20"/>
        </w:rPr>
        <w:t xml:space="preserve">(8) (a) Liens on property or shares of stock or other assets of a Person at the time such Person becomes a Subsidiary and (b) and Liens existing on property or other assets at the time of its acquisition;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are not created or incurred in connection with, or in contemplation of, such acquisition, amalgamation, merger or consolidation;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may not extend to any other property or other assets owned by Bidco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(9) Liens (a)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or any Asset Sale permitted under this Agreement (including any letter of intent or purchase agreement with respect to such Investment or Asset Sale), (b) consisting of an agreement to dispose of any property in an Asset Sale permitted under this Agreement, in each case, solely to the extent such Investment or Asset Sale, as the case may be, would have been permitted on the date of the creation of such Lien and (c) solely on any cash earnest money deposits made by Bidco or any of its Restricted Subsidiaries in connection with any letter of intent or purchase agreement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 Liens securing Indebtedness or other obligations of a Restricted Subsidiary owing to Bidco or another Restricted Subsidiary permitted to be incurred in accordance with </w:t>
      </w:r>
      <w:r>
        <w:rPr>
          <w:rFonts w:ascii="Times New Roman" w:hAnsi="Times New Roman"/>
          <w:sz w:val="20"/>
          <w:u w:val="single"/>
        </w:rPr>
        <w:t>Section 6.01</w:t>
      </w:r>
      <w:r>
        <w:rPr>
          <w:rFonts w:ascii="Times New Roman" w:hAnsi="Times New Roman"/>
          <w:sz w:val="20"/>
        </w:rPr>
        <w:t xml:space="preserve"> hereof and (b) Liens on assets or property of a Restricted Subsidiary that is not a Guarantor securing Indebtedness and other obligations of any Restricted Subsidiary that is not a Guarantor; </w:t>
      </w:r>
    </w:p>
    <w:p>
      <w:pPr>
        <w:pStyle w:val="TextBody"/>
        <w:bidi w:val="0"/>
        <w:spacing w:before="120" w:after="0"/>
        <w:jc w:val="left"/>
        <w:rPr>
          <w:rFonts w:ascii="Times New Roman" w:hAnsi="Times New Roman"/>
          <w:sz w:val="20"/>
        </w:rPr>
      </w:pPr>
      <w:r>
        <w:rPr>
          <w:rFonts w:ascii="Times New Roman" w:hAnsi="Times New Roman"/>
          <w:sz w:val="20"/>
        </w:rPr>
        <w:t xml:space="preserve">(11) (a) Liens securing Hedging Obligations or on cash or Cash Equivalents securing Hedging Obligations; </w:t>
      </w:r>
      <w:r>
        <w:rPr>
          <w:rFonts w:ascii="Times New Roman" w:hAnsi="Times New Roman"/>
          <w:sz w:val="20"/>
          <w:u w:val="single"/>
        </w:rPr>
        <w:t>provided</w:t>
      </w:r>
      <w:r>
        <w:rPr>
          <w:rFonts w:ascii="Times New Roman" w:hAnsi="Times New Roman"/>
          <w:sz w:val="20"/>
        </w:rPr>
        <w:t xml:space="preserve"> that, with respect to Hedging Obligations relating to Indebtedness, such Indebtedness is permitted under this Agreement, (b) Liens on cash and Cash Equivalents used to satisfy or discharge Indebtedness; </w:t>
      </w:r>
      <w:r>
        <w:rPr>
          <w:rFonts w:ascii="Times New Roman" w:hAnsi="Times New Roman"/>
          <w:sz w:val="20"/>
          <w:u w:val="single"/>
        </w:rPr>
        <w:t>provided</w:t>
      </w:r>
      <w:r>
        <w:rPr>
          <w:rFonts w:ascii="Times New Roman" w:hAnsi="Times New Roman"/>
          <w:sz w:val="20"/>
        </w:rPr>
        <w:t xml:space="preserve"> such satisfaction or discharge is permitted under this Agreement and (c) Liens on cash and Cash Equivalents or other marketable securities securing letters of credit of any Borrower or any Guarantor (which Indebtedness represented by such letters of credit is permitted to be incurred under this Agreement) that are cash collateralized in an amount of cash, Cash Equivalents or other marketable securities with a Fair Market Value of up to 105% of the face amount of such letters of credit being secured; </w:t>
      </w:r>
    </w:p>
    <w:p>
      <w:pPr>
        <w:pStyle w:val="TextBody"/>
        <w:bidi w:val="0"/>
        <w:spacing w:before="120" w:after="0"/>
        <w:jc w:val="left"/>
        <w:rPr>
          <w:rFonts w:ascii="Times New Roman" w:hAnsi="Times New Roman"/>
          <w:sz w:val="20"/>
        </w:rPr>
      </w:pPr>
      <w:r>
        <w:rPr>
          <w:rFonts w:ascii="Times New Roman" w:hAnsi="Times New Roman"/>
          <w:sz w:val="20"/>
        </w:rPr>
        <w:t xml:space="preserve">(12) 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(13) (a) leases, subleases, licenses or sublicenses granted to others in the ordinary course of business or consistent with past practice that do not materially interfere with the operation of the business of Bidco or any of its Restricted Subsidiaries, taken as a whole, (b) any interest or title of a lessor or licensee under any lease or license entered into by Bidco or any Restricted Subsidiary in the ordinary course of its business or consistent with past practice and (c) Liens arising from grants of non-exclusive licenses or sublicenses, or other similar grants of rights,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(14) Liens arising from UCC (or equivalent statute) financing statement filings regarding operating leases or consignments entered into by Bidco and its Restricted Subsidiaries in the ordinary course of business and other Liens arising solely from precautionary UCC financing statements or similar filings; </w:t>
      </w:r>
    </w:p>
    <w:p>
      <w:pPr>
        <w:pStyle w:val="TextBody"/>
        <w:bidi w:val="0"/>
        <w:spacing w:before="120" w:after="0"/>
        <w:jc w:val="left"/>
        <w:rPr>
          <w:rFonts w:ascii="Times New Roman" w:hAnsi="Times New Roman"/>
          <w:sz w:val="20"/>
        </w:rPr>
      </w:pPr>
      <w:r>
        <w:rPr>
          <w:rFonts w:ascii="Times New Roman" w:hAnsi="Times New Roman"/>
          <w:sz w:val="20"/>
        </w:rPr>
        <w:t xml:space="preserve">(15) Liens in favor of any Borrower or any Guarantor (including, but not limited to, Liens on any assets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(16) Liens on equipment or vehicles of Bidco or any of its Restricted Subsidiaries granted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(17) Liens on accounts receivable and related assets incurred in connection with a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(6), (7), (8), and this clause (18);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new Lien shall be limited to all or part of the same property that secured the original Lien (plus improvements on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proceeds and products thereof, (b) the Indebtedness secured by such Lien at such time is not increased to any amount greater than the sum of (i) the outstanding principal amount or, if greater, committed amount of the Indebtedness described under clauses (6), (7) and (8) at the time the original Lien became a Permitted Lien under this Agreement, and (ii) an amount necessary to pay any fees and expenses, including premiums and accrued and unpaid interest, related to such modification, refinancing, refunding, extension, renewal or replacement and (c) any such new Lien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(19) (a) deposits made or other security provided in the ordinary course of business to secure liability to insurance carriers and (b) Liens on insurance policies and the proceeds thereof securing the financing of the premiums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(20) other Liens securing obligations which do not exceed the greater of $450,000,000 and 60% of Consolidated EBITDA for the most recently ended Test Period, calculated on a Pro Forma Basis, at the time of the incurrence of such Lien; </w:t>
      </w:r>
    </w:p>
    <w:p>
      <w:pPr>
        <w:pStyle w:val="TextBody"/>
        <w:bidi w:val="0"/>
        <w:spacing w:before="120" w:after="0"/>
        <w:jc w:val="left"/>
        <w:rPr>
          <w:rFonts w:ascii="Times New Roman" w:hAnsi="Times New Roman"/>
          <w:sz w:val="20"/>
        </w:rPr>
      </w:pPr>
      <w:r>
        <w:rPr>
          <w:rFonts w:ascii="Times New Roman" w:hAnsi="Times New Roman"/>
          <w:sz w:val="20"/>
        </w:rPr>
        <w:t xml:space="preserve">(21) Liens securing, or otherwise arising from, judgments for the payment of money not constituting an Event of Default under clause (j) under </w:t>
      </w:r>
      <w:r>
        <w:rPr>
          <w:rFonts w:ascii="Times New Roman" w:hAnsi="Times New Roman"/>
          <w:sz w:val="20"/>
          <w:u w:val="single"/>
        </w:rPr>
        <w:t>Section 7.01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(23) Liens (a) of a collection bank arising under applicable law, including Section 4-210 of the UCC, or any comparable or successor provision, on items in the course of collection; (b) attaching to pooling, commodity or securities trading accounts or other commodity or securities brokerage accounts incurred in the ordinary course of business; or (c) in favor of a banking or other financial institution or entity, or electronic payment service provider, arising as a matter of law or under customary terms and conditions encumbering deposits or other funds maintained with a financial institution (including the right of setoff) and which are within the general parameters 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 </w:t>
      </w:r>
    </w:p>
    <w:p>
      <w:pPr>
        <w:pStyle w:val="TextBody"/>
        <w:bidi w:val="0"/>
        <w:spacing w:before="120" w:after="0"/>
        <w:jc w:val="left"/>
        <w:rPr>
          <w:rFonts w:ascii="Times New Roman" w:hAnsi="Times New Roman"/>
          <w:sz w:val="20"/>
        </w:rPr>
      </w:pPr>
      <w:r>
        <w:rPr>
          <w:rFonts w:ascii="Times New Roman" w:hAnsi="Times New Roman"/>
          <w:sz w:val="20"/>
        </w:rPr>
        <w:t xml:space="preserve">(24) Liens deemed to exist in connection with Investments in repurchase agreements permitted under </w:t>
      </w:r>
      <w:r>
        <w:rPr>
          <w:rFonts w:ascii="Times New Roman" w:hAnsi="Times New Roman"/>
          <w:sz w:val="20"/>
          <w:u w:val="single"/>
        </w:rPr>
        <w:t>Section 6.01</w:t>
      </w:r>
      <w:r>
        <w:rPr>
          <w:rFonts w:ascii="Times New Roman" w:hAnsi="Times New Roman"/>
          <w:sz w:val="20"/>
        </w:rPr>
        <w:t xml:space="preserve"> hereof, including Liens deemed to exist in connection with Investments in repurchase agreements under clause (12) of the definition of the term “Cash Equivalents”; </w:t>
      </w:r>
      <w:r>
        <w:rPr>
          <w:rFonts w:ascii="Times New Roman" w:hAnsi="Times New Roman"/>
          <w:sz w:val="20"/>
          <w:u w:val="single"/>
        </w:rPr>
        <w:t>provided</w:t>
      </w:r>
      <w:r>
        <w:rPr>
          <w:rFonts w:ascii="Times New Roman" w:hAnsi="Times New Roman"/>
          <w:sz w:val="20"/>
        </w:rPr>
        <w:t xml:space="preserve"> that such Liens do not extend to any assets other than those that are the subject of such repurchase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(25)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(26) Liens that are contractual rights of setoff, banker’s lien, netting agreements and other Liens (a) relating to deposit accounts, securities accounts, cash management arrangements or in connection with the issuance of Indebtedness, including letters of credit, bank guarantees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similar instruments, (b) relating to pooled deposit or sweep accounts to permit satisfaction of overdraft or similar obligations incurred in the ordinary course of business of Bidco and its Restricted Subsidiaries or (c) relating to purchase orders and other agreements entered into with customers of Bidco or any of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Settlement Liens; </w:t>
      </w:r>
    </w:p>
    <w:p>
      <w:pPr>
        <w:pStyle w:val="TextBody"/>
        <w:bidi w:val="0"/>
        <w:spacing w:before="120" w:after="0"/>
        <w:jc w:val="left"/>
        <w:rPr>
          <w:rFonts w:ascii="Times New Roman" w:hAnsi="Times New Roman"/>
          <w:sz w:val="20"/>
        </w:rPr>
      </w:pPr>
      <w:r>
        <w:rPr>
          <w:rFonts w:ascii="Times New Roman" w:hAnsi="Times New Roman"/>
          <w:sz w:val="20"/>
        </w:rPr>
        <w:t xml:space="preserve">(28) Liens on goods the purchase price of which is financed by a documentary letter of credit issued for the account of Bidco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hAnsi="Times New Roman"/>
          <w:sz w:val="20"/>
          <w:u w:val="single"/>
        </w:rPr>
        <w:t>provided</w:t>
      </w:r>
      <w:r>
        <w:rPr>
          <w:rFonts w:ascii="Times New Roman" w:hAnsi="Times New Roman"/>
          <w:sz w:val="20"/>
        </w:rPr>
        <w:t xml:space="preserve"> that such Lien secures only the obligations of Bidco or such Subsidiaries in respect of such letter of credit to the extent such obligations are permitted under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(29) (a) Liens on Equity Interests of an Unrestricted Subsidiary that secure Indebtedness or other obligations of such Unrestricted Subsidiary and (b) Liens then existing with respect to assets of an Unrestricted Subsidiary on the day such Unrestricted Subsidiary is redesignated as a Restricted Subsidiary as described under the definition of “Unrestricted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(30) Receipt of progress payments and advances from customers in the ordinary course of business to the extent the same creates a Lien on the related inventory and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(31) Liens on Equity Interests of any joint venture (a) securing obligations of such joint venture or (b) pursuant to the relevant joint venture agreement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(32) Liens arising out of conditional sale, title retention, consignment or similar arrangements for the sale or purchase of goods entered into by Bidco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(33) the rights reserved or vested in any Person by the terms of any lease, license, franchise, grant or permit held by Bidco or any Restricted Subsidiary thereof or by a statutory provision, to terminate any such lease, license, franchise, grant or permit, or to require annual or periodic payments as a condition to the continuance thereof; </w:t>
      </w:r>
    </w:p>
    <w:p>
      <w:pPr>
        <w:pStyle w:val="TextBody"/>
        <w:bidi w:val="0"/>
        <w:spacing w:before="120" w:after="0"/>
        <w:jc w:val="left"/>
        <w:rPr>
          <w:rFonts w:ascii="Times New Roman" w:hAnsi="Times New Roman"/>
          <w:sz w:val="20"/>
        </w:rPr>
      </w:pPr>
      <w:r>
        <w:rPr>
          <w:rFonts w:ascii="Times New Roman" w:hAnsi="Times New Roman"/>
          <w:sz w:val="20"/>
        </w:rPr>
        <w:t xml:space="preserve">(34) additional Liens of Bidco or any of its Restricted Subsidiaries in an aggregate principal amount not to exceed the Available Amount that is not otherwise applied pursuant to </w:t>
      </w:r>
      <w:r>
        <w:rPr>
          <w:rFonts w:ascii="Times New Roman" w:hAnsi="Times New Roman"/>
          <w:sz w:val="20"/>
          <w:u w:val="single"/>
        </w:rPr>
        <w:t>Section 6.01(b)(xxiv)</w:t>
      </w:r>
      <w:r>
        <w:rPr>
          <w:rFonts w:ascii="Times New Roman" w:hAnsi="Times New Roman"/>
          <w:sz w:val="20"/>
        </w:rPr>
        <w:t xml:space="preserve"> and Section 6.05(a)(A) as in effect immediately prior to the incurrence of such Liens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(35) additional Liens of Bidco or any of its Restricted Subsidiaries in an aggregate principal amount that does not exceed the amount of Excluded Contributions made since the Effective Date that is not otherwise applied pursuant to </w:t>
      </w:r>
      <w:r>
        <w:rPr>
          <w:rFonts w:ascii="Times New Roman" w:hAnsi="Times New Roman"/>
          <w:sz w:val="20"/>
          <w:u w:val="single"/>
        </w:rPr>
        <w:t>Section 6.01(b)(xxv)</w:t>
      </w:r>
      <w:r>
        <w:rPr>
          <w:rFonts w:ascii="Times New Roman" w:hAnsi="Times New Roman"/>
          <w:sz w:val="20"/>
        </w:rPr>
        <w:t xml:space="preserve"> and </w:t>
      </w:r>
      <w:r>
        <w:rPr>
          <w:rFonts w:ascii="Times New Roman" w:hAnsi="Times New Roman"/>
          <w:sz w:val="20"/>
          <w:u w:val="single"/>
        </w:rPr>
        <w:t>Section 6.05(b)(x)</w:t>
      </w:r>
      <w:r>
        <w:rPr>
          <w:rFonts w:ascii="Times New Roman" w:hAnsi="Times New Roman"/>
          <w:sz w:val="20"/>
        </w:rPr>
        <w:t xml:space="preserve"> as in effect immediately prior to the incurrence of such Liens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(36)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(37) [reserved]; </w:t>
      </w:r>
    </w:p>
    <w:p>
      <w:pPr>
        <w:pStyle w:val="TextBody"/>
        <w:bidi w:val="0"/>
        <w:spacing w:before="120" w:after="0"/>
        <w:jc w:val="left"/>
        <w:rPr>
          <w:rFonts w:ascii="Times New Roman" w:hAnsi="Times New Roman"/>
          <w:sz w:val="20"/>
        </w:rPr>
      </w:pPr>
      <w:r>
        <w:rPr>
          <w:rFonts w:ascii="Times New Roman" w:hAnsi="Times New Roman"/>
          <w:sz w:val="20"/>
        </w:rPr>
        <w:t xml:space="preserve">(38) Liens arising in connection with any Permitted Intercompany Activities and Permitted Tax Restructuring; and </w:t>
      </w:r>
    </w:p>
    <w:p>
      <w:pPr>
        <w:pStyle w:val="TextBody"/>
        <w:bidi w:val="0"/>
        <w:spacing w:before="120" w:after="0"/>
        <w:jc w:val="left"/>
        <w:rPr>
          <w:rFonts w:ascii="Times New Roman" w:hAnsi="Times New Roman"/>
          <w:sz w:val="20"/>
        </w:rPr>
      </w:pPr>
      <w:r>
        <w:rPr>
          <w:rFonts w:ascii="Times New Roman" w:hAnsi="Times New Roman"/>
          <w:sz w:val="20"/>
        </w:rPr>
        <w:t xml:space="preserve">(39) Liens in connection with Sale and Lease-Back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Permitted Lien meets the criteria of more than one of the types of Permitted Liens (at the time of incurrence or at a later date), Bidco in its sole discretion may divide, 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 </w:t>
      </w:r>
    </w:p>
    <w:p>
      <w:pPr>
        <w:pStyle w:val="TextBody"/>
        <w:bidi w:val="0"/>
        <w:spacing w:before="240" w:after="0"/>
        <w:jc w:val="left"/>
        <w:rPr/>
      </w:pPr>
      <w:r>
        <w:rPr/>
        <w:t>“</w:t>
      </w:r>
      <w:r>
        <w:rPr>
          <w:rFonts w:ascii="Times New Roman" w:hAnsi="Times New Roman"/>
          <w:sz w:val="20"/>
          <w:u w:val="single"/>
        </w:rPr>
        <w:t>Permitted Parent</w:t>
      </w:r>
      <w:r>
        <w:rPr>
          <w:rFonts w:ascii="Times New Roman" w:hAnsi="Times New Roman"/>
          <w:sz w:val="20"/>
        </w:rPr>
        <w:t xml:space="preserve">” means any direct or indirect parent entity of Bidco (other than a Person formed in connection with, or in contemplation of, a Change of Control transaction that results in a modification of the beneficial ownership of Bidco) that beneficially owns Equity Interests representing 100% of the aggregate ordinary voting power represented by the issued and outstanding Equity Interests of Bidco, </w:t>
      </w:r>
      <w:r>
        <w:rPr>
          <w:rFonts w:ascii="Times New Roman" w:hAnsi="Times New Roman"/>
          <w:sz w:val="20"/>
          <w:u w:val="single"/>
        </w:rPr>
        <w:t>provided</w:t>
      </w:r>
      <w:r>
        <w:rPr>
          <w:rFonts w:ascii="Times New Roman" w:hAnsi="Times New Roman"/>
          <w:sz w:val="20"/>
        </w:rPr>
        <w:t xml:space="preserve"> that the ultimate beneficial ownership of Bidco has not been modified by the transaction by which such parent entity became the beneficial owner of Equity Interests representing 100% of the aggregate ordinary voting power represented by the issued and outstanding Equity Interests of Bidco. </w:t>
      </w:r>
    </w:p>
    <w:p>
      <w:pPr>
        <w:pStyle w:val="TextBody"/>
        <w:bidi w:val="0"/>
        <w:spacing w:before="240" w:after="0"/>
        <w:jc w:val="left"/>
        <w:rPr/>
      </w:pPr>
      <w:r>
        <w:rPr/>
        <w:t>“</w:t>
      </w:r>
      <w:r>
        <w:rPr>
          <w:rFonts w:ascii="Times New Roman" w:hAnsi="Times New Roman"/>
          <w:sz w:val="20"/>
          <w:u w:val="single"/>
        </w:rPr>
        <w:t>Permitted Tax Restructuring</w:t>
      </w:r>
      <w:r>
        <w:rPr>
          <w:rFonts w:ascii="Times New Roman" w:hAnsi="Times New Roman"/>
          <w:sz w:val="20"/>
        </w:rPr>
        <w:t xml:space="preserve">” means any reorganizations and other activities related to Tax planning and Tax reorganization entered into prior to, on or after the date hereof so long as such Permitted Tax Restructuring is not materially adverse to the Lenders (as determined by Bidco acting reasonably).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 </w:t>
      </w:r>
    </w:p>
    <w:p>
      <w:pPr>
        <w:pStyle w:val="TextBody"/>
        <w:bidi w:val="0"/>
        <w:spacing w:before="240" w:after="0"/>
        <w:jc w:val="left"/>
        <w:rPr/>
      </w:pPr>
      <w:r>
        <w:rPr/>
        <w:t>“</w:t>
      </w:r>
      <w:r>
        <w:rPr>
          <w:rFonts w:ascii="Times New Roman" w:hAnsi="Times New Roman"/>
          <w:sz w:val="20"/>
          <w:u w:val="single"/>
        </w:rPr>
        <w:t>Planned Expenditures</w:t>
      </w:r>
      <w:r>
        <w:rPr>
          <w:rFonts w:ascii="Times New Roman" w:hAnsi="Times New Roman"/>
          <w:sz w:val="20"/>
        </w:rPr>
        <w:t xml:space="preserve">” has the meaning assigned to such term in the definition of “Excess Cash Flow”.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Post-Transaction Period</w:t>
      </w:r>
      <w:r>
        <w:rPr>
          <w:rFonts w:ascii="Times New Roman" w:hAnsi="Times New Roman"/>
          <w:sz w:val="20"/>
        </w:rPr>
        <w:t xml:space="preserve">” means, with respect to any Specified Transaction, the period beginning on the date such Specified Transaction is consummated and ending on the last day of the eighth full consecutive fiscal quarter immediately following the date on which such Specified Transaction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Potential Rollover Instruments</w:t>
      </w:r>
      <w:r>
        <w:rPr>
          <w:rFonts w:ascii="Times New Roman" w:hAnsi="Times New Roman"/>
          <w:sz w:val="20"/>
        </w:rPr>
        <w:t xml:space="preserve">” means the Convertible Bonds. </w:t>
      </w:r>
    </w:p>
    <w:p>
      <w:pPr>
        <w:pStyle w:val="TextBody"/>
        <w:bidi w:val="0"/>
        <w:spacing w:before="240" w:after="0"/>
        <w:jc w:val="left"/>
        <w:rPr/>
      </w:pPr>
      <w:r>
        <w:rPr/>
        <w:t>“</w:t>
      </w:r>
      <w:r>
        <w:rPr>
          <w:rFonts w:ascii="Times New Roman" w:hAnsi="Times New Roman"/>
          <w:sz w:val="20"/>
          <w:u w:val="single"/>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non-ordinary course sale, transfer or other disposition of any Collateral permitted by </w:t>
      </w:r>
      <w:r>
        <w:rPr>
          <w:rFonts w:ascii="Times New Roman" w:hAnsi="Times New Roman"/>
          <w:sz w:val="20"/>
          <w:u w:val="single"/>
        </w:rPr>
        <w:t>Section 6.04(a)</w:t>
      </w:r>
      <w:r>
        <w:rPr>
          <w:rFonts w:ascii="Times New Roman" w:hAnsi="Times New Roman"/>
          <w:sz w:val="20"/>
        </w:rPr>
        <w:t xml:space="preserve"> and clause (1) of the definition of Asset Sale other than dispositions resulting in aggregate Net Proceeds not exceeding (A) $150,000,000 in the case of any single transaction or series of related transactions and (B) $300,000,000 for all such transactions during any fiscal year of Bidco; or </w:t>
      </w:r>
    </w:p>
    <w:p>
      <w:pPr>
        <w:pStyle w:val="TextBody"/>
        <w:bidi w:val="0"/>
        <w:spacing w:before="240" w:after="0"/>
        <w:jc w:val="left"/>
        <w:rPr>
          <w:rFonts w:ascii="Times New Roman" w:hAnsi="Times New Roman"/>
          <w:sz w:val="20"/>
        </w:rPr>
      </w:pPr>
      <w:r>
        <w:rPr>
          <w:rFonts w:ascii="Times New Roman" w:hAnsi="Times New Roman"/>
          <w:sz w:val="20"/>
        </w:rPr>
        <w:t xml:space="preserve">(b) the incurrence by Bidco or any of the Restricted Subsidiaries of any Indebtedness, other than Indebtedness permitted under </w:t>
      </w:r>
      <w:r>
        <w:rPr>
          <w:rFonts w:ascii="Times New Roman" w:hAnsi="Times New Roman"/>
          <w:sz w:val="20"/>
          <w:u w:val="single"/>
        </w:rPr>
        <w:t>Section 6.01</w:t>
      </w:r>
      <w:r>
        <w:rPr>
          <w:rFonts w:ascii="Times New Roman" w:hAnsi="Times New Roman"/>
          <w:sz w:val="20"/>
        </w:rPr>
        <w:t xml:space="preserve"> (other than Credit Agreement Refinancing Indebtedness, Other Term Loans, Other Revolving Loans and Other Revolving Commitments which shall constitute a Prepayment Event to the extent required by the definition of “Credit Agreement Refinancing Indebtedness”) or permitted by the Required Lenders pursuant to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Prepayment Notice</w:t>
      </w:r>
      <w:r>
        <w:rPr>
          <w:rFonts w:ascii="Times New Roman" w:hAnsi="Times New Roman"/>
          <w:sz w:val="20"/>
        </w:rPr>
        <w:t xml:space="preserve">” means a notice of prepayment by Bidco or a Borrower in accordance with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w:t>
      </w:r>
    </w:p>
    <w:p>
      <w:pPr>
        <w:pStyle w:val="TextBody"/>
        <w:bidi w:val="0"/>
        <w:spacing w:before="240" w:after="0"/>
        <w:jc w:val="left"/>
        <w:rPr/>
      </w:pPr>
      <w:r>
        <w:rPr/>
        <w:t>“</w:t>
      </w:r>
      <w:r>
        <w:rPr>
          <w:rFonts w:ascii="Times New Roman" w:hAnsi="Times New Roman"/>
          <w:sz w:val="20"/>
          <w:u w:val="single"/>
        </w:rPr>
        <w:t>Pro Forma Adjustment</w:t>
      </w:r>
      <w:r>
        <w:rPr>
          <w:rFonts w:ascii="Times New Roman" w:hAnsi="Times New Roman"/>
          <w:sz w:val="20"/>
        </w:rPr>
        <w:t xml:space="preserve">” means, for any relevant period that includes all or any part of a fiscal quarter included in any Post-Transaction Period with respect to the Acquired EBITDA of the applicable Pro Forma Entity or the Consolidated EBITDA of Bidco, the pro forma increase or decrease in such Acquired EBITDA or such Consolidated EBITDA, as the case may be, projected by Bidco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Bidco and the Restricted Subsidiaries; </w:t>
      </w:r>
      <w:r>
        <w:rPr>
          <w:rFonts w:ascii="Times New Roman" w:hAnsi="Times New Roman"/>
          <w:sz w:val="20"/>
          <w:u w:val="single"/>
        </w:rPr>
        <w:t>provided</w:t>
      </w:r>
      <w:r>
        <w:rPr>
          <w:rFonts w:ascii="Times New Roman" w:hAnsi="Times New Roman"/>
          <w:sz w:val="20"/>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period, or such additional costs will be incurred during the entirety of such period, (B) any Pro Forma Adjustment to Consolidated EBITDA shall be certified by a Financial Officer, the chief executive officer or president of Bidco or a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period.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w:t>
      </w:r>
      <w:r>
        <w:rPr>
          <w:rFonts w:ascii="Times New Roman" w:hAnsi="Times New Roman"/>
          <w:sz w:val="20"/>
          <w:u w:val="single"/>
        </w:rPr>
        <w:t>Pro Forma Compliance</w:t>
      </w:r>
      <w:r>
        <w:rPr>
          <w:rFonts w:ascii="Times New Roman" w:hAnsi="Times New Roman"/>
          <w:sz w:val="20"/>
        </w:rPr>
        <w:t>” and “</w:t>
      </w:r>
      <w:r>
        <w:rPr>
          <w:rFonts w:ascii="Times New Roman" w:hAnsi="Times New Roman"/>
          <w:sz w:val="20"/>
          <w:u w:val="single"/>
        </w:rPr>
        <w:t>Pro Forma Effect</w:t>
      </w:r>
      <w:r>
        <w:rPr>
          <w:rFonts w:ascii="Times New Roman" w:hAnsi="Times New Roman"/>
          <w:sz w:val="20"/>
        </w:rPr>
        <w:t xml:space="preserve">” mean, with respect to compliance with any test, financial ratio or covenant hereunder required by the terms of this Agreement to be made on a Pro Forma Basis or after giving Pro Forma Effect thereto, that (a)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Bidco or any division, product line, or facility used for operations of Bidco or any of its Subsidiaries, shall be excluded and (B) in the case of a Permitted Acquisition or Investment described in the definition of “Specified Transaction,” shall be included, (ii) any retirement of Indebtedness, and (iii) any Indebtedness incurred or assumed by Bidco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hAnsi="Times New Roman"/>
          <w:sz w:val="20"/>
          <w:u w:val="single"/>
        </w:rPr>
        <w:t>provided</w:t>
      </w:r>
      <w:r>
        <w:rPr>
          <w:rFonts w:ascii="Times New Roman" w:hAnsi="Times New Roman"/>
          <w:sz w:val="20"/>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Bidco or any of its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 </w:t>
      </w:r>
    </w:p>
    <w:p>
      <w:pPr>
        <w:pStyle w:val="TextBody"/>
        <w:bidi w:val="0"/>
        <w:spacing w:before="240" w:after="0"/>
        <w:jc w:val="left"/>
        <w:rPr/>
      </w:pPr>
      <w:r>
        <w:rPr/>
        <w:t>“</w:t>
      </w:r>
      <w:r>
        <w:rPr>
          <w:rFonts w:ascii="Times New Roman" w:hAnsi="Times New Roman"/>
          <w:sz w:val="20"/>
          <w:u w:val="single"/>
        </w:rPr>
        <w:t>Pro Forma Disposal Adjustment</w:t>
      </w:r>
      <w:r>
        <w:rPr>
          <w:rFonts w:ascii="Times New Roman" w:hAnsi="Times New Roman"/>
          <w:sz w:val="20"/>
        </w:rPr>
        <w:t xml:space="preserve">” means, for any relevant period that includes all or a portion of a fiscal quarter included in any Post-Transaction Period with respect to any Sold Entity or Business, the pro forma increase or decrease in Consolidated EBITDA projected by Bidco in good faith as a result of contractual arrangements between Bidco or any Restricted Subsidiary entered into with such Sold Entity or Business at the time of its disposal or within the Post-Transaction Period and which represents an increase or decrease in Consolidated EBITDA which is incremental to the Disposed EBITDA of such Sold Entity or Business for such period. </w:t>
      </w:r>
    </w:p>
    <w:p>
      <w:pPr>
        <w:pStyle w:val="TextBody"/>
        <w:bidi w:val="0"/>
        <w:spacing w:before="240" w:after="0"/>
        <w:jc w:val="left"/>
        <w:rPr/>
      </w:pPr>
      <w:r>
        <w:rPr/>
        <w:t>“</w:t>
      </w:r>
      <w:r>
        <w:rPr>
          <w:rFonts w:ascii="Times New Roman" w:hAnsi="Times New Roman"/>
          <w:sz w:val="20"/>
          <w:u w:val="single"/>
        </w:rPr>
        <w:t>Pro Forma Entity</w:t>
      </w:r>
      <w:r>
        <w:rPr>
          <w:rFonts w:ascii="Times New Roman" w:hAnsi="Times New Roman"/>
          <w:sz w:val="20"/>
        </w:rPr>
        <w:t xml:space="preserve">” has the meaning given to such term in the definition of “Acquired EBITDA.” </w:t>
      </w:r>
    </w:p>
    <w:p>
      <w:pPr>
        <w:pStyle w:val="TextBody"/>
        <w:bidi w:val="0"/>
        <w:spacing w:before="240" w:after="0"/>
        <w:jc w:val="left"/>
        <w:rPr/>
      </w:pPr>
      <w:r>
        <w:rPr/>
        <w:t>“</w:t>
      </w:r>
      <w:r>
        <w:rPr>
          <w:rFonts w:ascii="Times New Roman" w:hAnsi="Times New Roman"/>
          <w:sz w:val="20"/>
          <w:u w:val="single"/>
        </w:rPr>
        <w:t>Proposed Change</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Company Costs</w:t>
      </w:r>
      <w:r>
        <w:rPr>
          <w:rFonts w:ascii="Times New Roman" w:hAnsi="Times New Roman"/>
          <w:sz w:val="20"/>
        </w:rPr>
        <w:t xml:space="preserve">” means, as to Bidco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Public Lender</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Qualified Equity Interests</w:t>
      </w:r>
      <w:r>
        <w:rPr>
          <w:rFonts w:ascii="Times New Roman" w:hAnsi="Times New Roman"/>
          <w:sz w:val="20"/>
        </w:rPr>
        <w:t xml:space="preserve">” means Equity Interests of Holdings or Bidco other than Disqualified Equity Interests. </w:t>
      </w:r>
    </w:p>
    <w:p>
      <w:pPr>
        <w:pStyle w:val="TextBody"/>
        <w:bidi w:val="0"/>
        <w:spacing w:before="240" w:after="0"/>
        <w:jc w:val="left"/>
        <w:rPr/>
      </w:pPr>
      <w:r>
        <w:rPr/>
        <w:t>“</w:t>
      </w:r>
      <w:r>
        <w:rPr>
          <w:rFonts w:ascii="Times New Roman" w:hAnsi="Times New Roman"/>
          <w:sz w:val="20"/>
          <w:u w:val="single"/>
        </w:rPr>
        <w:t>Qualified Proceeds</w:t>
      </w:r>
      <w:r>
        <w:rPr>
          <w:rFonts w:ascii="Times New Roman" w:hAnsi="Times New Roman"/>
          <w:sz w:val="20"/>
        </w:rPr>
        <w:t xml:space="preserve">” means assets that are used or useful in, or Equity Interests of any Person engaged in, a Similar Business; </w:t>
      </w:r>
      <w:r>
        <w:rPr>
          <w:rFonts w:ascii="Times New Roman" w:hAnsi="Times New Roman"/>
          <w:sz w:val="20"/>
          <w:u w:val="single"/>
        </w:rPr>
        <w:t>provided</w:t>
      </w:r>
      <w:r>
        <w:rPr>
          <w:rFonts w:ascii="Times New Roman" w:hAnsi="Times New Roman"/>
          <w:sz w:val="20"/>
        </w:rPr>
        <w:t xml:space="preserve"> that the fair market value of any such assets or Equity Interests shall be determined by a Responsible Officer of Bidco or a Borrower in good faith. </w:t>
      </w:r>
    </w:p>
    <w:p>
      <w:pPr>
        <w:pStyle w:val="TextBody"/>
        <w:bidi w:val="0"/>
        <w:spacing w:before="240" w:after="0"/>
        <w:jc w:val="left"/>
        <w:rPr/>
      </w:pPr>
      <w:r>
        <w:rPr/>
        <w:t>“</w:t>
      </w:r>
      <w:r>
        <w:rPr>
          <w:rFonts w:ascii="Times New Roman" w:hAnsi="Times New Roman"/>
          <w:sz w:val="20"/>
          <w:u w:val="single"/>
        </w:rPr>
        <w:t>Qualifying Lender</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Receivables Assets</w:t>
      </w:r>
      <w:r>
        <w:rPr>
          <w:rFonts w:ascii="Times New Roman" w:hAnsi="Times New Roman"/>
          <w:sz w:val="20"/>
        </w:rPr>
        <w:t xml:space="preserve">” means accounts receivable, royalty and other similar rights to payment and any other assets related thereto subject to a Receivables Facility that are customarily sold or pledged in connection with receivables transactions and the proceeds thereof. </w:t>
      </w:r>
    </w:p>
    <w:p>
      <w:pPr>
        <w:pStyle w:val="TextBody"/>
        <w:bidi w:val="0"/>
        <w:spacing w:before="240" w:after="0"/>
        <w:jc w:val="left"/>
        <w:rPr/>
      </w:pPr>
      <w:r>
        <w:rPr/>
        <w:t>“</w:t>
      </w:r>
      <w:r>
        <w:rPr>
          <w:rFonts w:ascii="Times New Roman" w:hAnsi="Times New Roman"/>
          <w:sz w:val="20"/>
          <w:u w:val="single"/>
        </w:rPr>
        <w:t>Receivables Facility</w:t>
      </w:r>
      <w:r>
        <w:rPr>
          <w:rFonts w:ascii="Times New Roman" w:hAnsi="Times New Roman"/>
          <w:sz w:val="20"/>
        </w:rPr>
        <w:t xml:space="preserve">” means any of one or more receivables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Bidco or any of its Restricted Subsidiaries (other than a Receivables Subsidiary) pursuant to which Bidco or any of its Restricted Subsidiaries sells or grants a security interest in its accounts receivable or assets related thereto that are customarily sold or pledged in connection with securitization transactions to either (a) a Person that is not a Restricted Subsidiary or (b) a Receivables Subsidiary that in turn sells its accounts receivable to a Person that is not a Restricted Subsidiary. </w:t>
      </w:r>
    </w:p>
    <w:p>
      <w:pPr>
        <w:pStyle w:val="TextBody"/>
        <w:bidi w:val="0"/>
        <w:spacing w:before="240" w:after="0"/>
        <w:jc w:val="left"/>
        <w:rPr/>
      </w:pPr>
      <w:r>
        <w:rPr/>
        <w:t>“</w:t>
      </w:r>
      <w:r>
        <w:rPr>
          <w:rFonts w:ascii="Times New Roman" w:hAnsi="Times New Roman"/>
          <w:sz w:val="20"/>
          <w:u w:val="single"/>
        </w:rPr>
        <w:t>Receivables Fees</w:t>
      </w:r>
      <w:r>
        <w:rPr>
          <w:rFonts w:ascii="Times New Roman" w:hAnsi="Times New Roman"/>
          <w:sz w:val="20"/>
        </w:rPr>
        <w:t xml:space="preserve">” 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 </w:t>
      </w:r>
    </w:p>
    <w:p>
      <w:pPr>
        <w:pStyle w:val="TextBody"/>
        <w:bidi w:val="0"/>
        <w:spacing w:before="240" w:after="0"/>
        <w:jc w:val="left"/>
        <w:rPr/>
      </w:pPr>
      <w:r>
        <w:rPr/>
        <w:t>“</w:t>
      </w:r>
      <w:r>
        <w:rPr>
          <w:rFonts w:ascii="Times New Roman" w:hAnsi="Times New Roman"/>
          <w:sz w:val="20"/>
          <w:u w:val="single"/>
        </w:rPr>
        <w:t>Receivables Subsidiary</w:t>
      </w:r>
      <w:r>
        <w:rPr>
          <w:rFonts w:ascii="Times New Roman" w:hAnsi="Times New Roman"/>
          <w:sz w:val="20"/>
        </w:rPr>
        <w:t xml:space="preserve">” means any Subsidiary formed for the purpose of, and that solely engages only in, one or more Receivables Facilities and other activities reasonably related or incidental thereto. </w:t>
      </w:r>
    </w:p>
    <w:p>
      <w:pPr>
        <w:pStyle w:val="TextBody"/>
        <w:bidi w:val="0"/>
        <w:spacing w:before="240" w:after="0"/>
        <w:jc w:val="left"/>
        <w:rPr/>
      </w:pPr>
      <w:r>
        <w:rPr/>
        <w:t>“</w:t>
      </w:r>
      <w:r>
        <w:rPr>
          <w:rFonts w:ascii="Times New Roman" w:hAnsi="Times New Roman"/>
          <w:sz w:val="20"/>
          <w:u w:val="single"/>
        </w:rPr>
        <w:t>Recruitment Notes</w:t>
      </w:r>
      <w:r>
        <w:rPr>
          <w:rFonts w:ascii="Times New Roman" w:hAnsi="Times New Roman"/>
          <w:sz w:val="20"/>
        </w:rPr>
        <w:t xml:space="preserve">” means forgivable promissory notes issued from time to time by a Restricted Subsidiary to certain employees or financial advisors in the ordinary course of business. </w:t>
      </w:r>
    </w:p>
    <w:p>
      <w:pPr>
        <w:pStyle w:val="TextBody"/>
        <w:bidi w:val="0"/>
        <w:spacing w:before="240" w:after="0"/>
        <w:jc w:val="left"/>
        <w:rPr/>
      </w:pPr>
      <w:r>
        <w:rPr/>
        <w:t>“</w:t>
      </w:r>
      <w:r>
        <w:rPr>
          <w:rFonts w:ascii="Times New Roman" w:hAnsi="Times New Roman"/>
          <w:sz w:val="20"/>
          <w:u w:val="single"/>
        </w:rPr>
        <w:t>Refinanced Debt</w:t>
      </w:r>
      <w:r>
        <w:rPr>
          <w:rFonts w:ascii="Times New Roman" w:hAnsi="Times New Roman"/>
          <w:sz w:val="20"/>
        </w:rPr>
        <w:t xml:space="preserve">” has the meaning assigned to such term in the definition of “Credit Agreement Refinancing Indebtedness.” </w:t>
      </w:r>
    </w:p>
    <w:p>
      <w:pPr>
        <w:pStyle w:val="TextBody"/>
        <w:bidi w:val="0"/>
        <w:spacing w:before="240" w:after="0"/>
        <w:jc w:val="left"/>
        <w:rPr/>
      </w:pPr>
      <w:r>
        <w:rPr/>
        <w:t>“</w:t>
      </w:r>
      <w:r>
        <w:rPr>
          <w:rFonts w:ascii="Times New Roman" w:hAnsi="Times New Roman"/>
          <w:sz w:val="20"/>
          <w:u w:val="single"/>
        </w:rPr>
        <w:t>Refinancing</w:t>
      </w:r>
      <w:r>
        <w:rPr>
          <w:rFonts w:ascii="Times New Roman" w:hAnsi="Times New Roman"/>
          <w:sz w:val="20"/>
        </w:rPr>
        <w:t xml:space="preserve">” means, collectively, (a) the refinancing of all Target Refinancing Indebtedness on or prior to the Target Debt Refinancing Outside Date and the termination of all commitments and Liens thereunder (or in the case of letters of credit, replaced, backstopped or incorporated or “grandfathered” into the Revolving Facility) and (b) to the extent that Bidco elects prior to the Target Debt Refinancing Outside Date that any portion of the Potential Rollover Instruments shall remain outstanding in accordance with the definition of “Target Debt Refinancing Indebtedness”, the reduction (without duplication) of Initial Term Commitments in an aggregate amount equal to the Rolled Over Amounts in accordance with </w:t>
      </w:r>
      <w:r>
        <w:rPr>
          <w:rFonts w:ascii="Times New Roman" w:hAnsi="Times New Roman"/>
          <w:sz w:val="20"/>
          <w:u w:val="single"/>
        </w:rPr>
        <w:t>Section 2.07(a)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Refinancing Amendment</w:t>
      </w:r>
      <w:r>
        <w:rPr>
          <w:rFonts w:ascii="Times New Roman" w:hAnsi="Times New Roman"/>
          <w:sz w:val="20"/>
        </w:rPr>
        <w:t xml:space="preserve">” means an amendment to this Agreement in form and substance reasonably satisfactory to the Administrative Agent and Bidco executed by each of (a) the Borrowers, Bidco and Holdings, (b) the Administrative Agent and (c) each Additional Lender and Lender that agrees to provide any portion of the Credit Agreement Refinancing Indebtedness being incurred pursuant thereto, in accordance with </w:t>
      </w:r>
      <w:r>
        <w:rPr>
          <w:rFonts w:ascii="Times New Roman" w:hAnsi="Times New Roman"/>
          <w:sz w:val="20"/>
          <w:u w:val="single"/>
        </w:rPr>
        <w:t>Section 2.20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Indebtedness</w:t>
      </w:r>
      <w:r>
        <w:rPr>
          <w:rFonts w:ascii="Times New Roman" w:hAnsi="Times New Roman"/>
          <w:sz w:val="20"/>
        </w:rPr>
        <w:t xml:space="preserve">” has the meaning assigned to such term in </w:t>
      </w:r>
      <w:r>
        <w:rPr>
          <w:rFonts w:ascii="Times New Roman" w:hAnsi="Times New Roman"/>
          <w:sz w:val="20"/>
          <w:u w:val="single"/>
        </w:rPr>
        <w:t>Section 6.01(b)(xii)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Refunding Capital Stock</w:t>
      </w:r>
      <w:r>
        <w:rPr>
          <w:rFonts w:ascii="Times New Roman" w:hAnsi="Times New Roman"/>
          <w:sz w:val="20"/>
        </w:rPr>
        <w:t xml:space="preserve">” has the meaning assigned to such term in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9.04(b)(iv)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Registered Equivalent Notes</w:t>
      </w:r>
      <w:r>
        <w:rPr>
          <w:rFonts w:ascii="Times New Roman" w:hAnsi="Times New Roman"/>
          <w:sz w:val="20"/>
        </w:rPr>
        <w:t xml:space="preserve">”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 </w:t>
      </w:r>
    </w:p>
    <w:p>
      <w:pPr>
        <w:pStyle w:val="TextBody"/>
        <w:bidi w:val="0"/>
        <w:spacing w:before="240" w:after="0"/>
        <w:jc w:val="left"/>
        <w:rPr/>
      </w:pPr>
      <w:r>
        <w:rPr/>
        <w:t>“</w:t>
      </w:r>
      <w:r>
        <w:rPr>
          <w:rFonts w:ascii="Times New Roman" w:hAnsi="Times New Roman"/>
          <w:sz w:val="20"/>
          <w:u w:val="single"/>
        </w:rPr>
        <w:t>Reinvestment Period</w:t>
      </w:r>
      <w:r>
        <w:rPr>
          <w:rFonts w:ascii="Times New Roman" w:hAnsi="Times New Roman"/>
          <w:sz w:val="20"/>
        </w:rPr>
        <w:t xml:space="preserve">” shall mean 450 days following the date of receipt of Net Proceeds in respect of any Prepayment Event described in clause (a) of the definition thereof.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and permitted successors and assigns of each of the foregoing.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the environment within any building or any occupied structure, facility or fixture.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Repricing Transaction</w:t>
      </w:r>
      <w:r>
        <w:rPr>
          <w:rFonts w:ascii="Times New Roman" w:hAnsi="Times New Roman"/>
          <w:sz w:val="20"/>
        </w:rPr>
        <w:t xml:space="preserve">” means (a) the incurrence by any Borrower or any Guarantor of any Indebtedness in the form of term loans equal in right of payment to the Loan Document Obligations and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that are broadly syndicated to banks and other institutional investors (i) for the primary purpose (as reasonably determined by Bidco) of reducing the Effective Yield for the respective Type of such Indebtedness to less than the Effective Yield for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of the respective equivalent Type, but excluding Indebtedness incurred in connection with (A) a Change of Control, (B) an IPO or (C) any material acquisition, merger or consolidation, material Investment, material Asset Sale or material Restricted Payment and (ii) the proceeds of which are used to prepay (or, in the case of a conversion, deemed to prepay or replace), in whole or in part, outstanding principal of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or (b) any amendment of this Agreement for the primary purpose of reducing the Effective Yield for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w:t>
      </w:r>
      <w:r>
        <w:rPr>
          <w:rFonts w:ascii="Times New Roman" w:hAnsi="Times New Roman"/>
          <w:sz w:val="20"/>
          <w:u w:val="single"/>
        </w:rPr>
        <w:t>e.g.</w:t>
      </w:r>
      <w:r>
        <w:rPr>
          <w:rFonts w:ascii="Times New Roman" w:hAnsi="Times New Roman"/>
          <w:sz w:val="20"/>
        </w:rPr>
        <w:t xml:space="preserve">, by way of amendment, waiver or otherwise), except for a reduction in connection with (A) a Change of Control, (B) an IPO or (C) any material acquisition, merger or consolidation, material Investment, material Asset Sale or material Restricted Payment. Any determination by the Administrative Agent with respect to whether a Repricing Transaction shall have occurred shall be conclusive and binding on all Lenders holding the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Additional Debt Terms</w:t>
      </w:r>
      <w:r>
        <w:rPr>
          <w:rFonts w:ascii="Times New Roman" w:hAnsi="Times New Roman"/>
          <w:sz w:val="20"/>
        </w:rPr>
        <w:t xml:space="preserve">” means with respect to any Indebtedness, (a) such Indebtedness (other than any Designated Earlier Maturing Debt)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(b) such Indebtedness (other than any Designated Earlier Maturing Debt) does not have a shorter Weighted Average Life to Maturity than the remaining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such remaining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(c) such Indebtedness (other than any Designated Alternative Security Debt) is not guaranteed by any entity that is not a Loan Party, (d) if secured, such Indebtedness (other than any Designated Alternative Security Debt) (i) is not secured by any assets other than Collateral and (ii) is subject to a Customary Intercreditor Agreement(s) and (e) the other terms and conditions of such Indebtedness shall be as agreed between the borrower of such Indebtedness and the parties providing any such Indebtedness.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Term Loans and Revolving Exposures of, and the unused Commitments of, each Defaulting Lender shall be excluded for purposes of making a determination of Required Lenders. </w:t>
      </w:r>
    </w:p>
    <w:p>
      <w:pPr>
        <w:pStyle w:val="TextBody"/>
        <w:bidi w:val="0"/>
        <w:spacing w:before="240" w:after="0"/>
        <w:jc w:val="left"/>
        <w:rPr/>
      </w:pPr>
      <w:r>
        <w:rPr/>
        <w:t>“</w:t>
      </w:r>
      <w:r>
        <w:rPr>
          <w:rFonts w:ascii="Times New Roman" w:hAnsi="Times New Roman"/>
          <w:sz w:val="20"/>
          <w:u w:val="single"/>
        </w:rPr>
        <w:t>Required Revolving Lenders</w:t>
      </w:r>
      <w:r>
        <w:rPr>
          <w:rFonts w:ascii="Times New Roman" w:hAnsi="Times New Roman"/>
          <w:sz w:val="20"/>
        </w:rPr>
        <w:t xml:space="preserve">” means, at any time, Revolving Lenders having Revolving Exposures and unused Revolving Commitments (exclusive of Swingline Commitments) representing more than 50% of the aggregate Revolving Exposures and unused Revolving Commitments (exclusive of Swingline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Revolving Exposures of, and the unused Revolving Commitments of, each Defaulting Lender, shall be excluded for purposes of making a determination of Required Revolving Lenders. </w:t>
      </w:r>
    </w:p>
    <w:p>
      <w:pPr>
        <w:pStyle w:val="TextBody"/>
        <w:bidi w:val="0"/>
        <w:spacing w:before="240" w:after="0"/>
        <w:jc w:val="left"/>
        <w:rPr/>
      </w:pPr>
      <w:r>
        <w:rPr/>
        <w:t>“</w:t>
      </w:r>
      <w:r>
        <w:rPr>
          <w:rFonts w:ascii="Times New Roman" w:hAnsi="Times New Roman"/>
          <w:sz w:val="20"/>
          <w:u w:val="single"/>
        </w:rPr>
        <w:t>Required Term Lenders</w:t>
      </w:r>
      <w:r>
        <w:rPr>
          <w:rFonts w:ascii="Times New Roman" w:hAnsi="Times New Roman"/>
          <w:sz w:val="20"/>
        </w:rPr>
        <w:t xml:space="preserve">” means, at any time, Term Lenders having Term Loans and unused Term Commitments representing more than 50% of the aggregate outstanding Term Loans and unused Term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Term Loans of, and the unused Term Commitments of, each Defaulting Lender shall be excluded for purposes of making a determination of Required Term Lenders. </w:t>
      </w:r>
    </w:p>
    <w:p>
      <w:pPr>
        <w:pStyle w:val="TextBody"/>
        <w:bidi w:val="0"/>
        <w:spacing w:before="240" w:after="0"/>
        <w:jc w:val="left"/>
        <w:rPr/>
      </w:pPr>
      <w:r>
        <w:rPr/>
        <w:t>“</w:t>
      </w:r>
      <w:r>
        <w:rPr>
          <w:rFonts w:ascii="Times New Roman" w:hAnsi="Times New Roman"/>
          <w:sz w:val="20"/>
          <w:u w:val="single"/>
        </w:rPr>
        <w:t>Requirements of Law</w:t>
      </w:r>
      <w:r>
        <w:rPr>
          <w:rFonts w:ascii="Times New Roman" w:hAnsi="Times New Roman"/>
          <w:sz w:val="20"/>
        </w:rPr>
        <w:t xml:space="preserve">”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Reserved Indebtedness Amount</w:t>
      </w:r>
      <w:r>
        <w:rPr>
          <w:rFonts w:ascii="Times New Roman" w:hAnsi="Times New Roman"/>
          <w:sz w:val="20"/>
        </w:rPr>
        <w:t xml:space="preserve">” has the meaning assigned to such term in </w:t>
      </w:r>
      <w:r>
        <w:rPr>
          <w:rFonts w:ascii="Times New Roman" w:hAnsi="Times New Roman"/>
          <w:sz w:val="20"/>
          <w:u w:val="single"/>
        </w:rPr>
        <w:t>Section 6.01(c)(iii)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Resolution Authority” means an EEA Resolution Authority or, with respect to any UK Financial Institution, a UK Resolution Authority.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sz w:val="20"/>
          <w:u w:val="single"/>
        </w:rPr>
        <w:t>Restricted Debt Payment</w:t>
      </w:r>
      <w:r>
        <w:rPr>
          <w:rFonts w:ascii="Times New Roman" w:hAnsi="Times New Roman"/>
          <w:sz w:val="20"/>
        </w:rPr>
        <w:t xml:space="preserve">” has the meaning assigned to such term in </w:t>
      </w:r>
      <w:r>
        <w:rPr>
          <w:rFonts w:ascii="Times New Roman" w:hAnsi="Times New Roman"/>
          <w:sz w:val="20"/>
          <w:u w:val="single"/>
        </w:rPr>
        <w:t>Section 6.05(a).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has the meaning assigned to such term in </w:t>
      </w:r>
      <w:r>
        <w:rPr>
          <w:rFonts w:ascii="Times New Roman" w:hAnsi="Times New Roman"/>
          <w:sz w:val="20"/>
          <w:u w:val="single"/>
        </w:rPr>
        <w:t>Section 6.05(a)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Bidco that is a U.S. Restricted Subsidiary or a Non-U.S. Restricted Subsidiary. </w:t>
      </w:r>
    </w:p>
    <w:p>
      <w:pPr>
        <w:pStyle w:val="TextBody"/>
        <w:bidi w:val="0"/>
        <w:spacing w:before="240" w:after="0"/>
        <w:jc w:val="left"/>
        <w:rPr/>
      </w:pPr>
      <w:r>
        <w:rPr/>
        <w:t>“</w:t>
      </w:r>
      <w:r>
        <w:rPr>
          <w:rFonts w:ascii="Times New Roman" w:hAnsi="Times New Roman"/>
          <w:sz w:val="20"/>
          <w:u w:val="single"/>
        </w:rPr>
        <w:t>Retained Declined Proceeds</w:t>
      </w:r>
      <w:r>
        <w:rPr>
          <w:rFonts w:ascii="Times New Roman" w:hAnsi="Times New Roman"/>
          <w:sz w:val="20"/>
        </w:rPr>
        <w:t xml:space="preserve">” has the meaning assigned to such term in </w:t>
      </w:r>
      <w:r>
        <w:rPr>
          <w:rFonts w:ascii="Times New Roman" w:hAnsi="Times New Roman"/>
          <w:sz w:val="20"/>
          <w:u w:val="single"/>
        </w:rPr>
        <w:t>Section 2.10(e)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Revaluation Date</w:t>
      </w:r>
      <w:r>
        <w:rPr>
          <w:rFonts w:ascii="Times New Roman" w:hAnsi="Times New Roman"/>
          <w:sz w:val="20"/>
        </w:rPr>
        <w:t xml:space="preserve">” means (a) the date of delivery of each Borrowing Request for a Revolving Borrowing in an Alternative Currency, (b) the date of issuance (and extension or renewal, at the discretion of the Administrative Agent and/or any Issuing Bank) of any Letter of Credit denominated in an Alternative Currency, (c) the date of conversion or continuation of any Revolving Borrowing denominated in an Alternative Currency or (d) such additional dates as the Administrative Agent may reasonably specify. </w:t>
      </w:r>
    </w:p>
    <w:p>
      <w:pPr>
        <w:pStyle w:val="TextBody"/>
        <w:bidi w:val="0"/>
        <w:spacing w:before="240" w:after="0"/>
        <w:jc w:val="left"/>
        <w:rPr/>
      </w:pPr>
      <w:r>
        <w:rPr/>
        <w:t>“</w:t>
      </w:r>
      <w:r>
        <w:rPr>
          <w:rFonts w:ascii="Times New Roman" w:hAnsi="Times New Roman"/>
          <w:sz w:val="20"/>
          <w:u w:val="single"/>
        </w:rPr>
        <w:t>Revolving Availability Period</w:t>
      </w:r>
      <w:r>
        <w:rPr>
          <w:rFonts w:ascii="Times New Roman" w:hAnsi="Times New Roman"/>
          <w:sz w:val="20"/>
        </w:rPr>
        <w:t xml:space="preserve">” means the period from and including the Effective Date to but excluding the earlier of the Revolving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Revolving 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(i) assignments by or to such Lender pursuant to an Assignment and Assumption, (ii) a Refinancing Amendment, (iii) an Incremental Revolving Commitment Increase, (iv) a Loan Modification Agreement or (v) an Additional/Replacement Revolving Commitment. The initial amount of each Lender’s Revolving Commitment is set forth on </w:t>
      </w:r>
      <w:r>
        <w:rPr>
          <w:rFonts w:ascii="Times New Roman" w:hAnsi="Times New Roman"/>
          <w:sz w:val="20"/>
          <w:u w:val="single"/>
        </w:rPr>
        <w:t>Schedule 2.01</w:t>
      </w:r>
      <w:r>
        <w:rPr>
          <w:rFonts w:ascii="Times New Roman" w:hAnsi="Times New Roman"/>
          <w:sz w:val="20"/>
        </w:rPr>
        <w:t xml:space="preserve">, or in the Assignment and Assumption, Incremental Facility Amendment, Loan Modification Agreement or Refinancing Amendment pursuant to which such Lender shall have assumed its Revolving Commitment, as the case may be. The aggregate amount of the Lenders’ Revolving Commitments on the Effective Date is $700,000,000.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Exposure</w:t>
      </w:r>
      <w:r>
        <w:rPr>
          <w:rFonts w:ascii="Times New Roman" w:hAnsi="Times New Roman"/>
          <w:sz w:val="20"/>
        </w:rPr>
        <w:t xml:space="preserve">” means, with respect to any Revolving Lender at any time, the sum of the outstanding principal amount of such Revolving Lender’s Revolving Loans, its LC Exposure and its Swingline Exposure at such time.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means at any time, the aggregate amount of Revolving Commitments at such time. </w:t>
      </w:r>
    </w:p>
    <w:p>
      <w:pPr>
        <w:pStyle w:val="TextBody"/>
        <w:bidi w:val="0"/>
        <w:spacing w:before="240" w:after="0"/>
        <w:jc w:val="left"/>
        <w:rPr/>
      </w:pPr>
      <w:r>
        <w:rPr/>
        <w:t>“</w:t>
      </w:r>
      <w:r>
        <w:rPr>
          <w:rFonts w:ascii="Times New Roman" w:hAnsi="Times New Roman"/>
          <w:sz w:val="20"/>
          <w:u w:val="single"/>
        </w:rPr>
        <w:t>Revolving Lender</w:t>
      </w:r>
      <w:r>
        <w:rPr>
          <w:rFonts w:ascii="Times New Roman" w:hAnsi="Times New Roman"/>
          <w:sz w:val="20"/>
        </w:rPr>
        <w:t xml:space="preserve">” means a Lender with a Revolving Commitment or, if the Revolving Commitments have terminated or expired, a Lender with Revolving Exposure. </w:t>
      </w:r>
    </w:p>
    <w:p>
      <w:pPr>
        <w:pStyle w:val="TextBody"/>
        <w:bidi w:val="0"/>
        <w:spacing w:before="240" w:after="0"/>
        <w:jc w:val="left"/>
        <w:rPr/>
      </w:pPr>
      <w:r>
        <w:rPr/>
        <w:t>“</w:t>
      </w:r>
      <w:r>
        <w:rPr>
          <w:rFonts w:ascii="Times New Roman" w:hAnsi="Times New Roman"/>
          <w:sz w:val="20"/>
          <w:u w:val="single"/>
        </w:rPr>
        <w:t>Revolving Loan</w:t>
      </w:r>
      <w:r>
        <w:rPr>
          <w:rFonts w:ascii="Times New Roman" w:hAnsi="Times New Roman"/>
          <w:sz w:val="20"/>
        </w:rPr>
        <w:t xml:space="preserve">” means a Loan made pursuant to clause (b) of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Maturity Date</w:t>
      </w:r>
      <w:r>
        <w:rPr>
          <w:rFonts w:ascii="Times New Roman" w:hAnsi="Times New Roman"/>
          <w:sz w:val="20"/>
        </w:rPr>
        <w:t xml:space="preserve">” means (i) December 12, 2024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 </w:t>
      </w:r>
    </w:p>
    <w:p>
      <w:pPr>
        <w:pStyle w:val="TextBody"/>
        <w:bidi w:val="0"/>
        <w:spacing w:before="240" w:after="0"/>
        <w:jc w:val="left"/>
        <w:rPr/>
      </w:pPr>
      <w:r>
        <w:rPr/>
        <w:t>“</w:t>
      </w:r>
      <w:r>
        <w:rPr>
          <w:rFonts w:ascii="Times New Roman" w:hAnsi="Times New Roman"/>
          <w:sz w:val="20"/>
          <w:u w:val="single"/>
        </w:rPr>
        <w:t>Rolled Over Amounts</w:t>
      </w:r>
      <w:r>
        <w:rPr>
          <w:rFonts w:ascii="Times New Roman" w:hAnsi="Times New Roman"/>
          <w:sz w:val="20"/>
        </w:rPr>
        <w:t xml:space="preserve">” means, with respect to any portion of the Potential Rollover Instruments that Bidco elects prior to the Target Debt Refinancing Outside Date shall remain outstanding in accordance with the definition of “Target Refinancing Indebtedness”, the principal amount outstanding under such portion of the Potential Rollover Instruments. </w:t>
      </w:r>
    </w:p>
    <w:p>
      <w:pPr>
        <w:pStyle w:val="TextBody"/>
        <w:bidi w:val="0"/>
        <w:spacing w:before="240" w:after="0"/>
        <w:jc w:val="left"/>
        <w:rPr/>
      </w:pPr>
      <w:r>
        <w:rPr/>
        <w:t>“</w:t>
      </w:r>
      <w:r>
        <w:rPr>
          <w:rFonts w:ascii="Times New Roman" w:hAnsi="Times New Roman"/>
          <w:sz w:val="20"/>
          <w:u w:val="single"/>
        </w:rPr>
        <w:t>Satellite</w:t>
      </w:r>
      <w:r>
        <w:rPr>
          <w:rFonts w:ascii="Times New Roman" w:hAnsi="Times New Roman"/>
          <w:sz w:val="20"/>
        </w:rPr>
        <w:t xml:space="preserve">” shall mean any satellite owned by, or leased to, Bidco or any other Loan Party and any satellite purchased by a Loan Party pursuant to the terms of a Satellite Purchase Agreement, whether such satellite is in the process of manufacture, has been delivered for launch or is in orbit (whether or not in operational service). </w:t>
      </w:r>
    </w:p>
    <w:p>
      <w:pPr>
        <w:pStyle w:val="TextBody"/>
        <w:bidi w:val="0"/>
        <w:spacing w:before="240" w:after="0"/>
        <w:jc w:val="left"/>
        <w:rPr/>
      </w:pPr>
      <w:r>
        <w:rPr/>
        <w:t>“</w:t>
      </w:r>
      <w:r>
        <w:rPr>
          <w:rFonts w:ascii="Times New Roman" w:hAnsi="Times New Roman"/>
          <w:sz w:val="20"/>
          <w:u w:val="single"/>
        </w:rPr>
        <w:t>Satellite Collateral</w:t>
      </w:r>
      <w:r>
        <w:rPr>
          <w:rFonts w:ascii="Times New Roman" w:hAnsi="Times New Roman"/>
          <w:sz w:val="20"/>
        </w:rPr>
        <w:t xml:space="preserve">” means, collectively, (a) any Satellite owned by a Loan Party, (b) all material Intellectual Property necessary for the relevant Loan Party to own and operate any Satellite system, ground segment or transmission network related thereto and (c) any launch or in-orbit insurance proceeds related to the forgoing. </w:t>
      </w:r>
    </w:p>
    <w:p>
      <w:pPr>
        <w:pStyle w:val="TextBody"/>
        <w:bidi w:val="0"/>
        <w:spacing w:before="240" w:after="0"/>
        <w:jc w:val="left"/>
        <w:rPr/>
      </w:pPr>
      <w:r>
        <w:rPr/>
        <w:t>“</w:t>
      </w:r>
      <w:r>
        <w:rPr>
          <w:rFonts w:ascii="Times New Roman" w:hAnsi="Times New Roman"/>
          <w:sz w:val="20"/>
          <w:u w:val="single"/>
        </w:rPr>
        <w:t>Satellite Manufacturer</w:t>
      </w:r>
      <w:r>
        <w:rPr>
          <w:rFonts w:ascii="Times New Roman" w:hAnsi="Times New Roman"/>
          <w:sz w:val="20"/>
        </w:rPr>
        <w:t xml:space="preserve">” shall mean, with respect to any Satellite, the prime contractor and manufacturer of such Satellite. </w:t>
      </w:r>
    </w:p>
    <w:p>
      <w:pPr>
        <w:pStyle w:val="TextBody"/>
        <w:bidi w:val="0"/>
        <w:spacing w:before="240" w:after="0"/>
        <w:jc w:val="left"/>
        <w:rPr/>
      </w:pPr>
      <w:r>
        <w:rPr/>
        <w:t>“</w:t>
      </w:r>
      <w:r>
        <w:rPr>
          <w:rFonts w:ascii="Times New Roman" w:hAnsi="Times New Roman"/>
          <w:sz w:val="20"/>
          <w:u w:val="single"/>
        </w:rPr>
        <w:t>Satellite Purchase Agreement</w:t>
      </w:r>
      <w:r>
        <w:rPr>
          <w:rFonts w:ascii="Times New Roman" w:hAnsi="Times New Roman"/>
          <w:sz w:val="20"/>
        </w:rPr>
        <w:t xml:space="preserve">” shall mean, with respect to any Satellite, each agreement between the applicable Satellite Purchaser and the applicable Satellite Manufacturer relating to the manufacture, testing and delivery of such Satellite. </w:t>
      </w:r>
    </w:p>
    <w:p>
      <w:pPr>
        <w:pStyle w:val="TextBody"/>
        <w:bidi w:val="0"/>
        <w:spacing w:before="240" w:after="0"/>
        <w:jc w:val="left"/>
        <w:rPr/>
      </w:pPr>
      <w:r>
        <w:rPr/>
        <w:t>“</w:t>
      </w:r>
      <w:r>
        <w:rPr>
          <w:rFonts w:ascii="Times New Roman" w:hAnsi="Times New Roman"/>
          <w:sz w:val="20"/>
          <w:u w:val="single"/>
        </w:rPr>
        <w:t>Satellite Purchaser</w:t>
      </w:r>
      <w:r>
        <w:rPr>
          <w:rFonts w:ascii="Times New Roman" w:hAnsi="Times New Roman"/>
          <w:sz w:val="20"/>
        </w:rPr>
        <w:t xml:space="preserve">” shall mean Bidco or any Loan Party that is a party to a Satellite Purchase Agreement or launch services agreement, as the case may be.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w:t>
      </w:r>
    </w:p>
    <w:p>
      <w:pPr>
        <w:pStyle w:val="TextBody"/>
        <w:bidi w:val="0"/>
        <w:spacing w:before="0" w:after="0"/>
        <w:jc w:val="left"/>
        <w:rPr>
          <w:rFonts w:ascii="Times New Roman" w:hAnsi="Times New Roman"/>
          <w:sz w:val="20"/>
        </w:rPr>
      </w:pPr>
      <w:r>
        <w:rPr>
          <w:rFonts w:ascii="Times New Roman" w:hAnsi="Times New Roman"/>
          <w:sz w:val="20"/>
        </w:rPr>
        <w:t xml:space="preserve">Services LLC business, and any successor to its rating agency business. </w:t>
      </w:r>
    </w:p>
    <w:p>
      <w:pPr>
        <w:pStyle w:val="TextBody"/>
        <w:bidi w:val="0"/>
        <w:spacing w:before="240" w:after="0"/>
        <w:jc w:val="left"/>
        <w:rPr/>
      </w:pPr>
      <w:r>
        <w:rPr/>
        <w:t>“</w:t>
      </w:r>
      <w:r>
        <w:rPr>
          <w:rFonts w:ascii="Times New Roman" w:hAnsi="Times New Roman"/>
          <w:sz w:val="20"/>
          <w:u w:val="single"/>
        </w:rPr>
        <w:t>Sale and Lease-Back Transaction</w:t>
      </w:r>
      <w:r>
        <w:rPr>
          <w:rFonts w:ascii="Times New Roman" w:hAnsi="Times New Roman"/>
          <w:sz w:val="20"/>
        </w:rPr>
        <w:t xml:space="preserve">” means any arrangement providing for the leasing by Bidco or any of its Restricted Subsidiaries of any real or tangible personal property, which property has been or is to be sold or transferred by Bidco or such Restricted Subsidiary to a third Person in contemplation of such leasing.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or territory with which dealings are broadly restricted, prohibited, or made sanctionable under any Sanctions (as of the date of this Agreement, the Crimea region of Ukraine, Cuba, Iran, North Korea and Syria).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sanctions administered or enforced by the United States Government (including without limitation, sanctions enforced by the United States Department of Treasury’s Office of Foreign Assets Control), the United Nations Security Council, the European Union, any European Union member state in which Holdings, Bidco, the Borrowers or a Restricted Subsidiary is organized, located or operates, or Her Majesty’s Treasury of the United Kingdom. </w:t>
      </w:r>
    </w:p>
    <w:p>
      <w:pPr>
        <w:pStyle w:val="TextBody"/>
        <w:bidi w:val="0"/>
        <w:spacing w:before="240" w:after="0"/>
        <w:jc w:val="left"/>
        <w:rPr/>
      </w:pPr>
      <w:r>
        <w:rPr/>
        <w:t>“</w:t>
      </w:r>
      <w:r>
        <w:rPr>
          <w:rFonts w:ascii="Times New Roman" w:hAnsi="Times New Roman"/>
          <w:sz w:val="20"/>
          <w:u w:val="single"/>
        </w:rPr>
        <w:t>Scheme</w:t>
      </w:r>
      <w:r>
        <w:rPr>
          <w:rFonts w:ascii="Times New Roman" w:hAnsi="Times New Roman"/>
          <w:sz w:val="20"/>
        </w:rPr>
        <w:t xml:space="preserve">” means the scheme of arrangement effected pursuant to Part 26 of the Companies Act 2006 proposed by the Company to its shareholders to implement the Acquisition and approved on May 10, 2019 by the requisite majority of the Company’s shareholders pursuant to which Bidco will, subject to the occurrence of the Scheme Effective Date, become the holder of the Target Shares that are the subject of that scheme of arrangement. </w:t>
      </w:r>
    </w:p>
    <w:p>
      <w:pPr>
        <w:pStyle w:val="TextBody"/>
        <w:bidi w:val="0"/>
        <w:spacing w:before="240" w:after="0"/>
        <w:jc w:val="left"/>
        <w:rPr/>
      </w:pPr>
      <w:r>
        <w:rPr/>
        <w:t>“</w:t>
      </w:r>
      <w:r>
        <w:rPr>
          <w:rFonts w:ascii="Times New Roman" w:hAnsi="Times New Roman"/>
          <w:sz w:val="20"/>
          <w:u w:val="single"/>
        </w:rPr>
        <w:t>Scheme Circular</w:t>
      </w:r>
      <w:r>
        <w:rPr>
          <w:rFonts w:ascii="Times New Roman" w:hAnsi="Times New Roman"/>
          <w:sz w:val="20"/>
        </w:rPr>
        <w:t xml:space="preserve">” means the circular (including any supplemental circular) dispatched by the Company to shareholders of the Company setting out the resolutions and proposals for and the terms and conditions of the Scheme. </w:t>
      </w:r>
    </w:p>
    <w:p>
      <w:pPr>
        <w:pStyle w:val="TextBody"/>
        <w:bidi w:val="0"/>
        <w:spacing w:before="240" w:after="0"/>
        <w:jc w:val="left"/>
        <w:rPr/>
      </w:pPr>
      <w:r>
        <w:rPr/>
        <w:t>“</w:t>
      </w:r>
      <w:r>
        <w:rPr>
          <w:rFonts w:ascii="Times New Roman" w:hAnsi="Times New Roman"/>
          <w:sz w:val="20"/>
          <w:u w:val="single"/>
        </w:rPr>
        <w:t>Scheme Documents</w:t>
      </w:r>
      <w:r>
        <w:rPr>
          <w:rFonts w:ascii="Times New Roman" w:hAnsi="Times New Roman"/>
          <w:sz w:val="20"/>
        </w:rPr>
        <w:t xml:space="preserve">” means each of (i) the Announcement, (ii) the Scheme Circular, and (iii) the Court Order. </w:t>
      </w:r>
    </w:p>
    <w:p>
      <w:pPr>
        <w:pStyle w:val="TextBody"/>
        <w:bidi w:val="0"/>
        <w:spacing w:before="240" w:after="0"/>
        <w:jc w:val="left"/>
        <w:rPr/>
      </w:pPr>
      <w:r>
        <w:rPr/>
        <w:t>“</w:t>
      </w:r>
      <w:r>
        <w:rPr>
          <w:rFonts w:ascii="Times New Roman" w:hAnsi="Times New Roman"/>
          <w:sz w:val="20"/>
          <w:u w:val="single"/>
        </w:rPr>
        <w:t>Scheme Effective Date</w:t>
      </w:r>
      <w:r>
        <w:rPr>
          <w:rFonts w:ascii="Times New Roman" w:hAnsi="Times New Roman"/>
          <w:sz w:val="20"/>
        </w:rPr>
        <w:t xml:space="preserve">” means the date on which the Court Order sanctioning the Scheme is duly delivered on behalf of the Company to the Registrar of Companies in accordance with section 899 of the Companies Act 2006.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Second Commitment</w:t>
      </w:r>
      <w:r>
        <w:rPr>
          <w:rFonts w:ascii="Times New Roman" w:hAnsi="Times New Roman"/>
          <w:sz w:val="20"/>
        </w:rPr>
        <w:t xml:space="preserve">” has the meaning assigned to such term in </w:t>
      </w:r>
      <w:r>
        <w:rPr>
          <w:rFonts w:ascii="Times New Roman" w:hAnsi="Times New Roman"/>
          <w:sz w:val="20"/>
          <w:u w:val="single"/>
        </w:rPr>
        <w:t>Section 6.04(b)(ii)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 Lien Intercreditor Agreement</w:t>
      </w:r>
      <w:r>
        <w:rPr>
          <w:rFonts w:ascii="Times New Roman" w:hAnsi="Times New Roman"/>
          <w:sz w:val="20"/>
        </w:rPr>
        <w:t xml:space="preserve">” means the Second Lien Intercreditor Agreement substantially in the form of </w:t>
      </w:r>
      <w:r>
        <w:rPr>
          <w:rFonts w:ascii="Times New Roman" w:hAnsi="Times New Roman"/>
          <w:sz w:val="20"/>
          <w:u w:val="single"/>
        </w:rPr>
        <w:t>Exhibit G</w:t>
      </w:r>
      <w:r>
        <w:rPr>
          <w:rFonts w:ascii="Times New Roman" w:hAnsi="Times New Roman"/>
          <w:sz w:val="20"/>
        </w:rPr>
        <w:t xml:space="preserve"> among the Administrative Agent and one or more Senior Representatives for holders of Indebtedness permitted by this Agreement to be secured by the Collateral. </w:t>
      </w:r>
    </w:p>
    <w:p>
      <w:pPr>
        <w:pStyle w:val="TextBody"/>
        <w:bidi w:val="0"/>
        <w:spacing w:before="240" w:after="0"/>
        <w:jc w:val="left"/>
        <w:rPr/>
      </w:pPr>
      <w:r>
        <w:rPr/>
        <w:t>“</w:t>
      </w:r>
      <w:r>
        <w:rPr>
          <w:rFonts w:ascii="Times New Roman" w:hAnsi="Times New Roman"/>
          <w:sz w:val="20"/>
          <w:u w:val="single"/>
        </w:rPr>
        <w:t>Secured Cash Management Obligations</w:t>
      </w:r>
      <w:r>
        <w:rPr>
          <w:rFonts w:ascii="Times New Roman" w:hAnsi="Times New Roman"/>
          <w:sz w:val="20"/>
        </w:rPr>
        <w:t>” means the due and punctual payment and performance of all obligations of Holdings, Bidco, any Borrower and the Restricted Subsidiaries in respect of any overdraft and related liabilities arising from treasury, depository, cash pooling arrangements and cash management services, corporate credit and purchasing cards and related programs or any automated clearing house transfers of funds provided to Bidco, any Borrower or any Subsidiary (whether absolute or contingent and howsoever and whenever created, arising, evidenced or acquired (including all renewals, extensions and modifications thereof and substitutions therefor)) that are (a) owed to the Administrative Agent, a Joint Lead Arranger, a Lender or any of their respective Affiliates, (b) owed on the Effective Date to a Person that is a Lender or an Affiliate of a Lender as of the Effective Date, (c) owed to a Person that was an Agent, a Lender or an Affiliate of an Agent or Lender at the time such obligations are incurred or (d) owed to any other Person that is designated by Bidco or a Borrower by written notice to the Administrative Agent substantially in the form of</w:t>
      </w:r>
      <w:r>
        <w:rPr>
          <w:rFonts w:ascii="Times New Roman" w:hAnsi="Times New Roman"/>
          <w:sz w:val="20"/>
          <w:u w:val="single"/>
        </w:rPr>
        <w:t xml:space="preserve"> Exhibit V</w:t>
      </w:r>
      <w:r>
        <w:rPr>
          <w:rFonts w:ascii="Times New Roman" w:hAnsi="Times New Roman"/>
          <w:sz w:val="20"/>
        </w:rPr>
        <w:t xml:space="preserve"> or such other form reasonably acceptable to the Administrative Agent and Bidco or a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Secured Indebtedness</w:t>
      </w:r>
      <w:r>
        <w:rPr>
          <w:rFonts w:ascii="Times New Roman" w:hAnsi="Times New Roman"/>
          <w:sz w:val="20"/>
        </w:rPr>
        <w:t xml:space="preserve">” means any Indebtedness of Bidco, any Borrower, any Guarantor or any of their Restricted Subsidiaries secured by a Lien other than Indebtedness with respect to Cash Management Obligations.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means (i) the Loan Document Obligations, (ii) the Secured Cash Management Obligations and (iii) the Secured Swap Obligations (excluding with respect to any Guarantor, Excluded Swap Obligations of such Guarantor).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(a) each Lender and Issuing Bank, (b) the Administrative Agent, (c) the Collateral Agent, (d) each holder of Secured Swap Obligations, (e) each holder of Secured Cash Management Obligations, (f) each Joint Lead Arranger, (g) the beneficiaries of each indemnification obligation undertaken by any Loan Party under any Loan Document and (h) the permitted successors and assigns of each of the foregoing. </w:t>
      </w:r>
    </w:p>
    <w:p>
      <w:pPr>
        <w:pStyle w:val="TextBody"/>
        <w:bidi w:val="0"/>
        <w:spacing w:before="240" w:after="0"/>
        <w:jc w:val="left"/>
        <w:rPr/>
      </w:pPr>
      <w:r>
        <w:rPr/>
        <w:t>“</w:t>
      </w:r>
      <w:r>
        <w:rPr>
          <w:rFonts w:ascii="Times New Roman" w:hAnsi="Times New Roman"/>
          <w:sz w:val="20"/>
          <w:u w:val="single"/>
        </w:rPr>
        <w:t>Secured Swap Obligations</w:t>
      </w:r>
      <w:r>
        <w:rPr>
          <w:rFonts w:ascii="Times New Roman" w:hAnsi="Times New Roman"/>
          <w:sz w:val="20"/>
        </w:rPr>
        <w:t xml:space="preserve">” means the due and punctual payment and performance of all obligations of Bidco, any Borrower and the Restricted Subsidiaries under each Swap Agreement that (a) is with a counterparty that is the Administrative Agent, a Joint Lead Arranger, a Lender or any of their respective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at the time such Swap Agreement is entered into or (d) is with any other Person that is designated by Bidco or a Borrower by written notice to the Administrative Agent substantially in the form of </w:t>
      </w:r>
      <w:r>
        <w:rPr>
          <w:rFonts w:ascii="Times New Roman" w:hAnsi="Times New Roman"/>
          <w:sz w:val="20"/>
          <w:u w:val="single"/>
        </w:rPr>
        <w:t>Exhibit W</w:t>
      </w:r>
      <w:r>
        <w:rPr>
          <w:rFonts w:ascii="Times New Roman" w:hAnsi="Times New Roman"/>
          <w:sz w:val="20"/>
        </w:rPr>
        <w:t xml:space="preserve"> or such other form reasonably acceptable to the Administrative Agent and Bidco or a Borrower.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means, collectively, (a) the Collateral Agreement, (b) each Non- U.S. Security Agreement and (c) each other security agreement or pledge agreement executed and delivered pursuant to the Collateral and Guarantee Requirement, or </w:t>
      </w:r>
      <w:r>
        <w:rPr>
          <w:rFonts w:ascii="Times New Roman" w:hAnsi="Times New Roman"/>
          <w:sz w:val="20"/>
          <w:u w:val="single"/>
        </w:rPr>
        <w:t>Sections 5.11</w:t>
      </w:r>
      <w:r>
        <w:rPr>
          <w:rFonts w:ascii="Times New Roman" w:hAnsi="Times New Roman"/>
          <w:sz w:val="20"/>
        </w:rPr>
        <w:t xml:space="preserve">, </w:t>
      </w:r>
      <w:r>
        <w:rPr>
          <w:rFonts w:ascii="Times New Roman" w:hAnsi="Times New Roman"/>
          <w:sz w:val="20"/>
          <w:u w:val="single"/>
        </w:rPr>
        <w:t>5.12</w:t>
      </w:r>
      <w:r>
        <w:rPr>
          <w:rFonts w:ascii="Times New Roman" w:hAnsi="Times New Roman"/>
          <w:sz w:val="20"/>
        </w:rPr>
        <w:t xml:space="preserve"> or </w:t>
      </w:r>
      <w:r>
        <w:rPr>
          <w:rFonts w:ascii="Times New Roman" w:hAnsi="Times New Roman"/>
          <w:sz w:val="20"/>
          <w:u w:val="single"/>
        </w:rPr>
        <w:t>5.14</w:t>
      </w:r>
      <w:r>
        <w:rPr>
          <w:rFonts w:ascii="Times New Roman" w:hAnsi="Times New Roman"/>
          <w:sz w:val="20"/>
        </w:rPr>
        <w:t xml:space="preserve"> to secure any of the Secured Obligations. </w:t>
      </w:r>
    </w:p>
    <w:p>
      <w:pPr>
        <w:pStyle w:val="TextBody"/>
        <w:bidi w:val="0"/>
        <w:spacing w:before="240" w:after="0"/>
        <w:jc w:val="left"/>
        <w:rPr/>
      </w:pPr>
      <w:r>
        <w:rPr/>
        <w:t>“</w:t>
      </w:r>
      <w:r>
        <w:rPr>
          <w:rFonts w:ascii="Times New Roman" w:hAnsi="Times New Roman"/>
          <w:sz w:val="20"/>
          <w:u w:val="single"/>
        </w:rPr>
        <w:t>Senior Representative</w:t>
      </w:r>
      <w:r>
        <w:rPr>
          <w:rFonts w:ascii="Times New Roman" w:hAnsi="Times New Roman"/>
          <w:sz w:val="20"/>
        </w:rPr>
        <w:t xml:space="preserve">” means, with respect to any series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left"/>
        <w:rPr/>
      </w:pPr>
      <w:r>
        <w:rPr/>
        <w:t>“</w:t>
      </w:r>
      <w:r>
        <w:rPr>
          <w:rFonts w:ascii="Times New Roman" w:hAnsi="Times New Roman"/>
          <w:sz w:val="20"/>
          <w:u w:val="single"/>
        </w:rPr>
        <w:t>Senior Secured First Lien Net Leverage Ratio</w:t>
      </w:r>
      <w:r>
        <w:rPr>
          <w:rFonts w:ascii="Times New Roman" w:hAnsi="Times New Roman"/>
          <w:sz w:val="20"/>
        </w:rPr>
        <w:t xml:space="preserve">” means, as of any date of determination, the ratio, on a Pro Forma Basis, of (a) the sum of (i) Consolidated Senior Secured First Lien Indebtedness as of such date and (ii) the Reserved Indebtedness Amount applicable at such time to the calculation of the Senior Secured First Lien Net Leverage Ratio with respect to commitments first obtained as of such date but not utilized as of such date (but only the extent such commitments are being obtained in reliance on a test based on such ratio) to (b) Consolidated EBITDA for the most recently ended Test Period as of such date;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First Lien Indebtedness for purposes of this definition. </w:t>
      </w:r>
    </w:p>
    <w:p>
      <w:pPr>
        <w:pStyle w:val="TextBody"/>
        <w:bidi w:val="0"/>
        <w:spacing w:before="240" w:after="0"/>
        <w:jc w:val="left"/>
        <w:rPr/>
      </w:pPr>
      <w:r>
        <w:rPr/>
        <w:t>“</w:t>
      </w:r>
      <w:r>
        <w:rPr>
          <w:rFonts w:ascii="Times New Roman" w:hAnsi="Times New Roman"/>
          <w:sz w:val="20"/>
          <w:u w:val="single"/>
        </w:rPr>
        <w:t>Senior Secured Net Leverage Ratio</w:t>
      </w:r>
      <w:r>
        <w:rPr>
          <w:rFonts w:ascii="Times New Roman" w:hAnsi="Times New Roman"/>
          <w:sz w:val="20"/>
        </w:rPr>
        <w:t xml:space="preserve">” means, as of any date of determination, the ratio, on a Pro Forma Basis, of (a) the sum of (i) Consolidated Senior Secured Indebtedness as of such date and (ii) the Reserved Indebtedness Amount applicable at such time to the calculation of the Senior Secured Net Leverage Ratio with respect to commitments first obtained as of such date but not utilized as of such date (but only the extent such commitments are being obtained in reliance on a test based on such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 Consolidated EBITDA for the most recently completed Test Period;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Indebtedness for purposes of this definition. </w:t>
      </w:r>
    </w:p>
    <w:p>
      <w:pPr>
        <w:pStyle w:val="TextBody"/>
        <w:bidi w:val="0"/>
        <w:spacing w:before="240" w:after="0"/>
        <w:jc w:val="left"/>
        <w:rPr/>
      </w:pPr>
      <w:r>
        <w:rPr/>
        <w:t>“</w:t>
      </w:r>
      <w:r>
        <w:rPr>
          <w:rFonts w:ascii="Times New Roman" w:hAnsi="Times New Roman"/>
          <w:sz w:val="20"/>
          <w:u w:val="single"/>
        </w:rPr>
        <w:t>Senior Secured Notes</w:t>
      </w:r>
      <w:r>
        <w:rPr>
          <w:rFonts w:ascii="Times New Roman" w:hAnsi="Times New Roman"/>
          <w:sz w:val="20"/>
        </w:rPr>
        <w:t xml:space="preserve">” means those 6.750% Senior Secured Notes due 2026 issued by the Finco Borrower and the U.S, Borrower in an aggregate amount of $2,075,000,000 issued on or prior to the Effective Date pursuant to the Senior Secured Notes Documents. </w:t>
      </w:r>
    </w:p>
    <w:p>
      <w:pPr>
        <w:pStyle w:val="TextBody"/>
        <w:bidi w:val="0"/>
        <w:spacing w:before="240" w:after="0"/>
        <w:jc w:val="left"/>
        <w:rPr/>
      </w:pPr>
      <w:r>
        <w:rPr/>
        <w:t>“</w:t>
      </w:r>
      <w:r>
        <w:rPr>
          <w:rFonts w:ascii="Times New Roman" w:hAnsi="Times New Roman"/>
          <w:sz w:val="20"/>
          <w:u w:val="single"/>
        </w:rPr>
        <w:t>Senior Secured Notes Documents</w:t>
      </w:r>
      <w:r>
        <w:rPr>
          <w:rFonts w:ascii="Times New Roman" w:hAnsi="Times New Roman"/>
          <w:sz w:val="20"/>
        </w:rPr>
        <w:t xml:space="preserve">” means the Senior Secured Notes Indenture and all supplemental indentures, other agreements, instruments and other documents (including collateral documents with respect thereto) pursuant to which the Senior Secured Notes have been issued. </w:t>
      </w:r>
    </w:p>
    <w:p>
      <w:pPr>
        <w:pStyle w:val="TextBody"/>
        <w:bidi w:val="0"/>
        <w:spacing w:before="240" w:after="0"/>
        <w:jc w:val="left"/>
        <w:rPr/>
      </w:pPr>
      <w:r>
        <w:rPr/>
        <w:t>“</w:t>
      </w:r>
      <w:r>
        <w:rPr>
          <w:rFonts w:ascii="Times New Roman" w:hAnsi="Times New Roman"/>
          <w:sz w:val="20"/>
          <w:u w:val="single"/>
        </w:rPr>
        <w:t>Senior Secured Notes Indenture</w:t>
      </w:r>
      <w:r>
        <w:rPr>
          <w:rFonts w:ascii="Times New Roman" w:hAnsi="Times New Roman"/>
          <w:sz w:val="20"/>
        </w:rPr>
        <w:t xml:space="preserve">” means the Indenture, dated as of October 7, 2019, among the Finco Borrower and the U.S. Borrower, as issuers, the guarantors party thereto from time to time and Wilmington Trust, National Association, as trustee, governing the Senior Secured Notes, as the same may be amended, supplemented, waived or otherwise modified from time to time. </w:t>
      </w:r>
    </w:p>
    <w:p>
      <w:pPr>
        <w:pStyle w:val="TextBody"/>
        <w:bidi w:val="0"/>
        <w:spacing w:before="240" w:after="0"/>
        <w:jc w:val="left"/>
        <w:rPr/>
      </w:pPr>
      <w:r>
        <w:rPr/>
        <w:t>“</w:t>
      </w:r>
      <w:r>
        <w:rPr>
          <w:rFonts w:ascii="Times New Roman" w:hAnsi="Times New Roman"/>
          <w:sz w:val="20"/>
          <w:u w:val="single"/>
        </w:rPr>
        <w:t>Settlement</w:t>
      </w:r>
      <w:r>
        <w:rPr>
          <w:rFonts w:ascii="Times New Roman" w:hAnsi="Times New Roman"/>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left"/>
        <w:rPr/>
      </w:pPr>
      <w:r>
        <w:rPr/>
        <w:t>“</w:t>
      </w:r>
      <w:r>
        <w:rPr>
          <w:rFonts w:ascii="Times New Roman" w:hAnsi="Times New Roman"/>
          <w:sz w:val="20"/>
          <w:u w:val="single"/>
        </w:rPr>
        <w:t>Settlement Asset</w:t>
      </w:r>
      <w:r>
        <w:rPr>
          <w:rFonts w:ascii="Times New Roman" w:hAnsi="Times New Roman"/>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240" w:after="0"/>
        <w:jc w:val="left"/>
        <w:rPr/>
      </w:pPr>
      <w:r>
        <w:rPr/>
        <w:t>“</w:t>
      </w:r>
      <w:r>
        <w:rPr>
          <w:rFonts w:ascii="Times New Roman" w:hAnsi="Times New Roman"/>
          <w:sz w:val="20"/>
          <w:u w:val="single"/>
        </w:rPr>
        <w:t>Settlement Indebtedness</w:t>
      </w:r>
      <w:r>
        <w:rPr>
          <w:rFonts w:ascii="Times New Roman" w:hAnsi="Times New Roman"/>
          <w:sz w:val="20"/>
        </w:rPr>
        <w:t xml:space="preserve">” means any payment or reimbursement obligation in respect of a Settlement Payment. </w:t>
      </w:r>
    </w:p>
    <w:p>
      <w:pPr>
        <w:pStyle w:val="TextBody"/>
        <w:bidi w:val="0"/>
        <w:spacing w:before="240" w:after="0"/>
        <w:jc w:val="left"/>
        <w:rPr/>
      </w:pPr>
      <w:r>
        <w:rPr/>
        <w:t>“</w:t>
      </w:r>
      <w:r>
        <w:rPr>
          <w:rFonts w:ascii="Times New Roman" w:hAnsi="Times New Roman"/>
          <w:sz w:val="20"/>
          <w:u w:val="single"/>
        </w:rPr>
        <w:t>Settlement Lien</w:t>
      </w:r>
      <w:r>
        <w:rPr>
          <w:rFonts w:ascii="Times New Roman" w:hAnsi="Times New Roman"/>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left"/>
        <w:rPr/>
      </w:pPr>
      <w:r>
        <w:rPr/>
        <w:t>“</w:t>
      </w:r>
      <w:r>
        <w:rPr>
          <w:rFonts w:ascii="Times New Roman" w:hAnsi="Times New Roman"/>
          <w:sz w:val="20"/>
          <w:u w:val="single"/>
        </w:rPr>
        <w:t>Settlement Payment</w:t>
      </w:r>
      <w:r>
        <w:rPr>
          <w:rFonts w:ascii="Times New Roman" w:hAnsi="Times New Roman"/>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left"/>
        <w:rPr/>
      </w:pPr>
      <w:r>
        <w:rPr/>
        <w:t>“</w:t>
      </w:r>
      <w:r>
        <w:rPr>
          <w:rFonts w:ascii="Times New Roman" w:hAnsi="Times New Roman"/>
          <w:sz w:val="20"/>
          <w:u w:val="single"/>
        </w:rPr>
        <w:t>Settlement Receivable</w:t>
      </w:r>
      <w:r>
        <w:rPr>
          <w:rFonts w:ascii="Times New Roman" w:hAnsi="Times New Roman"/>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240" w:after="0"/>
        <w:jc w:val="left"/>
        <w:rPr/>
      </w:pPr>
      <w:r>
        <w:rPr/>
        <w:t>“</w:t>
      </w:r>
      <w:r>
        <w:rPr>
          <w:rFonts w:ascii="Times New Roman" w:hAnsi="Times New Roman"/>
          <w:sz w:val="20"/>
          <w:u w:val="single"/>
        </w:rPr>
        <w:t>Similar Business</w:t>
      </w:r>
      <w:r>
        <w:rPr>
          <w:rFonts w:ascii="Times New Roman" w:hAnsi="Times New Roman"/>
          <w:sz w:val="20"/>
        </w:rPr>
        <w:t xml:space="preserve">” means (1) any business conducted or proposed to be conducted by Bidco or any of its Subsidiaries on the Effective Date or (2) any business or other activities that are reasonably similar, incidental, ancillary, complementary or related to, or a reasonable extension, development or expansion of, the businesses in which Bidco and any of its Subsidiaries were engaged on the Effective Date. </w:t>
      </w:r>
    </w:p>
    <w:p>
      <w:pPr>
        <w:pStyle w:val="TextBody"/>
        <w:bidi w:val="0"/>
        <w:spacing w:before="240" w:after="0"/>
        <w:jc w:val="left"/>
        <w:rPr/>
      </w:pPr>
      <w:r>
        <w:rPr/>
        <w:t>“</w:t>
      </w:r>
      <w:r>
        <w:rPr>
          <w:rFonts w:ascii="Times New Roman" w:hAnsi="Times New Roman"/>
          <w:sz w:val="20"/>
          <w:u w:val="single"/>
        </w:rPr>
        <w:t>Sold Entity or Business</w:t>
      </w:r>
      <w:r>
        <w:rPr>
          <w:rFonts w:ascii="Times New Roman" w:hAnsi="Times New Roman"/>
          <w:sz w:val="20"/>
        </w:rPr>
        <w:t xml:space="preserve">” has the meaning assigned to such term in the definition of the term “Consolidated EBITDA.”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Solicited Discount Proration</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Amount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Notice</w:t>
      </w:r>
      <w:r>
        <w:rPr>
          <w:rFonts w:ascii="Times New Roman" w:hAnsi="Times New Roman"/>
          <w:sz w:val="20"/>
        </w:rPr>
        <w:t xml:space="preserve">” means an irrevocable written notice of a Borrower Solicitation of Discounted Prepayment Offers made pursuant to </w:t>
      </w:r>
      <w:r>
        <w:rPr>
          <w:rFonts w:ascii="Times New Roman" w:hAnsi="Times New Roman"/>
          <w:sz w:val="20"/>
          <w:u w:val="single"/>
        </w:rPr>
        <w:t>Section 2.10(a)(ii)(D)</w:t>
      </w:r>
      <w:r>
        <w:rPr>
          <w:rFonts w:ascii="Times New Roman" w:hAnsi="Times New Roman"/>
          <w:sz w:val="20"/>
        </w:rPr>
        <w:t xml:space="preserve"> substantially in the form of </w:t>
      </w:r>
      <w:r>
        <w:rPr>
          <w:rFonts w:ascii="Times New Roman" w:hAnsi="Times New Roman"/>
          <w:sz w:val="20"/>
          <w:u w:val="single"/>
        </w:rPr>
        <w:t>Exhibit 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Offer</w:t>
      </w:r>
      <w:r>
        <w:rPr>
          <w:rFonts w:ascii="Times New Roman" w:hAnsi="Times New Roman"/>
          <w:sz w:val="20"/>
        </w:rPr>
        <w:t xml:space="preserve">” means the irrevocable written offer by each Term Lender, substantially in the form of </w:t>
      </w:r>
      <w:r>
        <w:rPr>
          <w:rFonts w:ascii="Times New Roman" w:hAnsi="Times New Roman"/>
          <w:sz w:val="20"/>
          <w:u w:val="single"/>
        </w:rPr>
        <w:t>Exhibit O</w:t>
      </w:r>
      <w:r>
        <w:rPr>
          <w:rFonts w:ascii="Times New Roman" w:hAnsi="Times New Roman"/>
          <w:sz w:val="20"/>
        </w:rPr>
        <w:t xml:space="preserve">, submitted following the Administrative Agent’s receipt of a Solicited Discounted Prepayment Notice. </w:t>
      </w:r>
    </w:p>
    <w:p>
      <w:pPr>
        <w:pStyle w:val="TextBody"/>
        <w:bidi w:val="0"/>
        <w:spacing w:before="240" w:after="0"/>
        <w:jc w:val="left"/>
        <w:rPr/>
      </w:pPr>
      <w:r>
        <w:rPr/>
        <w:t>“</w:t>
      </w:r>
      <w:r>
        <w:rPr>
          <w:rFonts w:ascii="Times New Roman" w:hAnsi="Times New Roman"/>
          <w:sz w:val="20"/>
          <w:u w:val="single"/>
        </w:rPr>
        <w:t>Solicited Discounted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Sale Proceeds</w:t>
      </w:r>
      <w:r>
        <w:rPr>
          <w:rFonts w:ascii="Times New Roman" w:hAnsi="Times New Roman"/>
          <w:sz w:val="20"/>
        </w:rPr>
        <w:t xml:space="preserve">” means the sum of the Net Proceeds received since the Effective Date by or on behalf of Bidco or any of the Restricted Subsidiaries in respect of any Prepayment Event described in clause (a) of the definition thereof that exceeds such amount required to be applied to prepay the Term Loans or be reinvested pursuant to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Amount</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Notice</w:t>
      </w:r>
      <w:r>
        <w:rPr>
          <w:rFonts w:ascii="Times New Roman" w:hAnsi="Times New Roman"/>
          <w:sz w:val="20"/>
        </w:rPr>
        <w:t xml:space="preserve">” means an irrevocable written notice of the Borrower Representative of Specified Discount made pursuant to </w:t>
      </w:r>
      <w:r>
        <w:rPr>
          <w:rFonts w:ascii="Times New Roman" w:hAnsi="Times New Roman"/>
          <w:sz w:val="20"/>
          <w:u w:val="single"/>
        </w:rPr>
        <w:t>Section 2.10(a)(ii)(B)</w:t>
      </w:r>
      <w:r>
        <w:rPr>
          <w:rFonts w:ascii="Times New Roman" w:hAnsi="Times New Roman"/>
          <w:sz w:val="20"/>
        </w:rPr>
        <w:t xml:space="preserve"> substantially in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Response</w:t>
      </w:r>
      <w:r>
        <w:rPr>
          <w:rFonts w:ascii="Times New Roman" w:hAnsi="Times New Roman"/>
          <w:sz w:val="20"/>
        </w:rPr>
        <w:t>” means the irrevocable written response by each Term Lender, substantially in the form of</w:t>
      </w:r>
      <w:r>
        <w:rPr>
          <w:rFonts w:ascii="Times New Roman" w:hAnsi="Times New Roman"/>
          <w:sz w:val="20"/>
          <w:u w:val="single"/>
        </w:rPr>
        <w:t xml:space="preserve"> Exhibit K</w:t>
      </w:r>
      <w:r>
        <w:rPr>
          <w:rFonts w:ascii="Times New Roman" w:hAnsi="Times New Roman"/>
          <w:sz w:val="20"/>
        </w:rPr>
        <w:t xml:space="preserve">, to a Specified Discount Prepayment Notice. </w:t>
      </w:r>
    </w:p>
    <w:p>
      <w:pPr>
        <w:pStyle w:val="TextBody"/>
        <w:bidi w:val="0"/>
        <w:spacing w:before="240" w:after="0"/>
        <w:jc w:val="left"/>
        <w:rPr/>
      </w:pPr>
      <w:r>
        <w:rPr/>
        <w:t>“</w:t>
      </w:r>
      <w:r>
        <w:rPr>
          <w:rFonts w:ascii="Times New Roman" w:hAnsi="Times New Roman"/>
          <w:sz w:val="20"/>
          <w:u w:val="single"/>
        </w:rPr>
        <w:t>Specified Discount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Proration</w:t>
      </w:r>
      <w:r>
        <w:rPr>
          <w:rFonts w:ascii="Times New Roman" w:hAnsi="Times New Roman"/>
          <w:sz w:val="20"/>
        </w:rPr>
        <w:t xml:space="preserve">” has the meaning assigned to such term in </w:t>
      </w:r>
      <w:r>
        <w:rPr>
          <w:rFonts w:ascii="Times New Roman" w:hAnsi="Times New Roman"/>
          <w:sz w:val="20"/>
          <w:u w:val="single"/>
        </w:rPr>
        <w:t>Section 2.10(a)(ii)(B)(3)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Event of Default</w:t>
      </w:r>
      <w:r>
        <w:rPr>
          <w:rFonts w:ascii="Times New Roman" w:hAnsi="Times New Roman"/>
          <w:sz w:val="20"/>
        </w:rPr>
        <w:t xml:space="preserve">” means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Transaction</w:t>
      </w:r>
      <w:r>
        <w:rPr>
          <w:rFonts w:ascii="Times New Roman" w:hAnsi="Times New Roman"/>
          <w:sz w:val="20"/>
        </w:rPr>
        <w:t xml:space="preserve">” means, with respect to any period,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 or after giving Pro Forma Effect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Sponsor Management Agreement</w:t>
      </w:r>
      <w:r>
        <w:rPr>
          <w:rFonts w:ascii="Times New Roman" w:hAnsi="Times New Roman"/>
          <w:sz w:val="20"/>
        </w:rPr>
        <w:t xml:space="preserve">” means any management agreement between certain of the management companies associated with the Investors and Holdings, Bidco or its Restricted Subsidiaries. </w:t>
      </w:r>
    </w:p>
    <w:p>
      <w:pPr>
        <w:pStyle w:val="TextBody"/>
        <w:bidi w:val="0"/>
        <w:spacing w:before="240" w:after="0"/>
        <w:jc w:val="left"/>
        <w:rPr/>
      </w:pPr>
      <w:r>
        <w:rPr/>
        <w:t>“</w:t>
      </w:r>
      <w:r>
        <w:rPr>
          <w:rFonts w:ascii="Times New Roman" w:hAnsi="Times New Roman"/>
          <w:sz w:val="20"/>
          <w:u w:val="single"/>
        </w:rPr>
        <w:t>Spot Rate</w:t>
      </w:r>
      <w:r>
        <w:rPr>
          <w:rFonts w:ascii="Times New Roman" w:hAnsi="Times New Roman"/>
          <w:sz w:val="20"/>
        </w:rPr>
        <w:t xml:space="preserve">” means, on any day, with respect to any Alternative Currency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Administrative Agent for such purpose, or, at the discretion of the Administrative Agent, such Spot Rate shall instead be the arithmetic average of the spot rates of exchange of the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hAnsi="Times New Roman"/>
          <w:sz w:val="20"/>
          <w:u w:val="single"/>
        </w:rPr>
        <w:t>provided</w:t>
      </w:r>
      <w:r>
        <w:rPr>
          <w:rFonts w:ascii="Times New Roman" w:hAnsi="Times New Roman"/>
          <w:sz w:val="20"/>
        </w:rPr>
        <w:t xml:space="preserve"> that, if at the time of any such determination, for any reason, no such spot rate is being quoted, the Administrative Agent may use any other reasonable method it deems appropriate to determine such rate, and such determination shall be presumed correct absent manifest error. </w:t>
      </w:r>
    </w:p>
    <w:p>
      <w:pPr>
        <w:pStyle w:val="TextBody"/>
        <w:bidi w:val="0"/>
        <w:spacing w:before="240" w:after="0"/>
        <w:jc w:val="left"/>
        <w:rPr/>
      </w:pPr>
      <w:r>
        <w:rPr/>
        <w:t>“</w:t>
      </w:r>
      <w:r>
        <w:rPr>
          <w:rFonts w:ascii="Times New Roman" w:hAnsi="Times New Roman"/>
          <w:sz w:val="20"/>
          <w:u w:val="single"/>
        </w:rPr>
        <w:t>Squeeze-Out</w:t>
      </w:r>
      <w:r>
        <w:rPr>
          <w:rFonts w:ascii="Times New Roman" w:hAnsi="Times New Roman"/>
          <w:sz w:val="20"/>
        </w:rPr>
        <w:t xml:space="preserve">” means an acquisition of the outstanding shares in the Company that Bidco has not acquired pursuant to the procedures contained in sections 979 to 982 of the Companies Act 2006. </w:t>
      </w:r>
    </w:p>
    <w:p>
      <w:pPr>
        <w:pStyle w:val="TextBody"/>
        <w:bidi w:val="0"/>
        <w:spacing w:before="240" w:after="0"/>
        <w:jc w:val="left"/>
        <w:rPr/>
      </w:pPr>
      <w:r>
        <w:rPr/>
        <w:t>“</w:t>
      </w:r>
      <w:r>
        <w:rPr>
          <w:rFonts w:ascii="Times New Roman" w:hAnsi="Times New Roman"/>
          <w:sz w:val="20"/>
          <w:u w:val="single"/>
        </w:rPr>
        <w:t>Statutory Reserve Rate</w:t>
      </w:r>
      <w:r>
        <w:rPr>
          <w:rFonts w:ascii="Times New Roman" w:hAnsi="Times New Roman"/>
          <w:sz w:val="20"/>
        </w:rPr>
        <w:t xml:space="preserve">” means a fraction (expressed as a decimal), the numerator of which is the number one and the denominator of which is the number one </w:t>
      </w:r>
      <w:r>
        <w:rPr>
          <w:rFonts w:ascii="Times New Roman" w:hAnsi="Times New Roman"/>
          <w:sz w:val="20"/>
          <w:u w:val="single"/>
        </w:rPr>
        <w:t>minus</w:t>
      </w:r>
      <w:r>
        <w:rPr>
          <w:rFonts w:ascii="Times New Roman" w:hAnsi="Times New Roman"/>
          <w:sz w:val="20"/>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240" w:after="0"/>
        <w:jc w:val="left"/>
        <w:rPr/>
      </w:pPr>
      <w:r>
        <w:rPr/>
        <w:t>“</w:t>
      </w:r>
      <w:r>
        <w:rPr>
          <w:rFonts w:ascii="Times New Roman" w:hAnsi="Times New Roman"/>
          <w:sz w:val="20"/>
          <w:u w:val="single"/>
        </w:rPr>
        <w:t>Subject Lien</w:t>
      </w:r>
      <w:r>
        <w:rPr>
          <w:rFonts w:ascii="Times New Roman" w:hAnsi="Times New Roman"/>
          <w:sz w:val="20"/>
        </w:rPr>
        <w:t xml:space="preserve">” has the meaning assigned to such term in </w:t>
      </w:r>
      <w:r>
        <w:rPr>
          <w:rFonts w:ascii="Times New Roman" w:hAnsi="Times New Roman"/>
          <w:sz w:val="20"/>
          <w:u w:val="single"/>
        </w:rPr>
        <w:t>Section 6.02(a)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Submitted Amount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Submitted Discount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means, any Indebtedness (other than (x) any permitted intercompany Indebtedness owing to direct and indirect parent companies of Bidco, Bidco or any Restricted Subsidiary or (y) any Indebtedness in an aggregate principal amount not exceeding $250,000,000) of any Borrower or any other Guarantor which is by its terms subordinated in right of payment to the Loan Document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Subordinated Shareholder Liabilities</w:t>
      </w:r>
      <w:r>
        <w:rPr>
          <w:rFonts w:ascii="Times New Roman" w:hAnsi="Times New Roman"/>
          <w:sz w:val="20"/>
        </w:rPr>
        <w:t xml:space="preserve">” means any loan or other indebtedness owed by Bidco or a Borrower to Holdings or any other (direct or indirect) shareholder of Bidco or a Borrower, provided that such loan or indebtedness is secured in favor of the Collateral Agent, does not require interest payments to be made in cash and is subordinated on terms satisfactory to the Administrative Agent.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IFRS,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any subsidiary of Bidco (unless otherwise specified). </w:t>
      </w:r>
    </w:p>
    <w:p>
      <w:pPr>
        <w:pStyle w:val="TextBody"/>
        <w:bidi w:val="0"/>
        <w:spacing w:before="240" w:after="0"/>
        <w:jc w:val="left"/>
        <w:rPr/>
      </w:pPr>
      <w:r>
        <w:rPr/>
        <w:t>“</w:t>
      </w:r>
      <w:r>
        <w:rPr>
          <w:rFonts w:ascii="Times New Roman" w:hAnsi="Times New Roman"/>
          <w:sz w:val="20"/>
          <w:u w:val="single"/>
        </w:rPr>
        <w:t>Subsidiary Loan Party</w:t>
      </w:r>
      <w:r>
        <w:rPr>
          <w:rFonts w:ascii="Times New Roman" w:hAnsi="Times New Roman"/>
          <w:sz w:val="20"/>
        </w:rPr>
        <w:t xml:space="preserve">” means each Subsidiary of Bidco that is a party to the Guarantee Agreement. </w:t>
      </w:r>
    </w:p>
    <w:p>
      <w:pPr>
        <w:pStyle w:val="TextBody"/>
        <w:bidi w:val="0"/>
        <w:spacing w:before="240" w:after="0"/>
        <w:jc w:val="left"/>
        <w:rPr/>
      </w:pPr>
      <w:r>
        <w:rPr/>
        <w:t>“</w:t>
      </w:r>
      <w:r>
        <w:rPr>
          <w:rFonts w:ascii="Times New Roman" w:hAnsi="Times New Roman"/>
          <w:sz w:val="20"/>
          <w:u w:val="single"/>
        </w:rPr>
        <w:t>Successor Entity</w:t>
      </w:r>
      <w:r>
        <w:rPr>
          <w:rFonts w:ascii="Times New Roman" w:hAnsi="Times New Roman"/>
          <w:sz w:val="20"/>
        </w:rPr>
        <w:t xml:space="preserve">” has the meaning assigned to such term in </w:t>
      </w:r>
      <w:r>
        <w:rPr>
          <w:rFonts w:ascii="Times New Roman" w:hAnsi="Times New Roman"/>
          <w:sz w:val="20"/>
          <w:u w:val="single"/>
        </w:rPr>
        <w:t>Section 6.03(a)(iv)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Swap Agreement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sz w:val="20"/>
          <w:u w:val="single"/>
        </w:rPr>
        <w:t>Swiss Franc</w:t>
      </w:r>
      <w:r>
        <w:rPr>
          <w:rFonts w:ascii="Times New Roman" w:hAnsi="Times New Roman"/>
          <w:sz w:val="20"/>
        </w:rPr>
        <w:t xml:space="preserve">” means the lawful currency of Switzerland. </w:t>
      </w:r>
    </w:p>
    <w:p>
      <w:pPr>
        <w:pStyle w:val="TextBody"/>
        <w:bidi w:val="0"/>
        <w:spacing w:before="240" w:after="0"/>
        <w:jc w:val="left"/>
        <w:rPr/>
      </w:pPr>
      <w:r>
        <w:rPr/>
        <w:t>“</w:t>
      </w:r>
      <w:r>
        <w:rPr>
          <w:rFonts w:ascii="Times New Roman" w:hAnsi="Times New Roman"/>
          <w:sz w:val="20"/>
          <w:u w:val="single"/>
        </w:rPr>
        <w:t>Swingline Commitment</w:t>
      </w:r>
      <w:r>
        <w:rPr>
          <w:rFonts w:ascii="Times New Roman" w:hAnsi="Times New Roman"/>
          <w:sz w:val="20"/>
        </w:rPr>
        <w:t xml:space="preserve">” means the commitment of the Swingline Lender to make Swingline Loans up to an aggregate principal amount not to exceed $150,000,000.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be its Applicable Percentage of the aggregate Swingline Exposure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Swingline Lender</w:t>
      </w:r>
      <w:r>
        <w:rPr>
          <w:rFonts w:ascii="Times New Roman" w:hAnsi="Times New Roman"/>
          <w:sz w:val="20"/>
        </w:rPr>
        <w:t>” means (a) the Administrative Agent and (b) each Revolving Lender that shall have become a Swingline Lender hereunder as provided in Section 2.24(d) (other than any Person that shall have ceased to be a Swingline Lender as provided in</w:t>
      </w:r>
      <w:r>
        <w:rPr>
          <w:rFonts w:ascii="Times New Roman" w:hAnsi="Times New Roman"/>
          <w:sz w:val="20"/>
          <w:u w:val="single"/>
        </w:rPr>
        <w:t xml:space="preserve"> Section 2.24(e)</w:t>
      </w:r>
      <w:r>
        <w:rPr>
          <w:rFonts w:ascii="Times New Roman" w:hAnsi="Times New Roman"/>
          <w:sz w:val="20"/>
        </w:rPr>
        <w:t xml:space="preserve">), each in its capacity as a lender of Swingline Loans hereunder.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w:t>
      </w:r>
      <w:r>
        <w:rPr>
          <w:rFonts w:ascii="Times New Roman" w:hAnsi="Times New Roman"/>
          <w:sz w:val="20"/>
          <w:u w:val="single"/>
        </w:rPr>
        <w:t>Section 2.24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Target Debt Refinancing Outside Date</w:t>
      </w:r>
      <w:r>
        <w:rPr>
          <w:rFonts w:ascii="Times New Roman" w:hAnsi="Times New Roman"/>
          <w:sz w:val="20"/>
        </w:rPr>
        <w:t xml:space="preserve">” means the date falling sixty (60) days following the Effective Date. </w:t>
      </w:r>
    </w:p>
    <w:p>
      <w:pPr>
        <w:pStyle w:val="TextBody"/>
        <w:bidi w:val="0"/>
        <w:spacing w:before="240" w:after="0"/>
        <w:jc w:val="left"/>
        <w:rPr/>
      </w:pPr>
      <w:r>
        <w:rPr/>
        <w:t>“</w:t>
      </w:r>
      <w:r>
        <w:rPr>
          <w:rFonts w:ascii="Times New Roman" w:hAnsi="Times New Roman"/>
          <w:sz w:val="20"/>
          <w:u w:val="single"/>
        </w:rPr>
        <w:t>Target Refinancing Indebtedness</w:t>
      </w:r>
      <w:r>
        <w:rPr>
          <w:rFonts w:ascii="Times New Roman" w:hAnsi="Times New Roman"/>
          <w:sz w:val="20"/>
        </w:rPr>
        <w:t xml:space="preserve">” means the indebtedness outstanding under each of (a) the Existing Revolving Facility Agreement, (b) the 2024 Notes, (c) the 2022 Notes, (d) 2011 Ex-Im Credit Agreement, (e) the 2014 Ex-Im Credit Agreement and (f) the Potential Rollover Instruments; </w:t>
      </w:r>
      <w:r>
        <w:rPr>
          <w:rFonts w:ascii="Times New Roman" w:hAnsi="Times New Roman"/>
          <w:sz w:val="20"/>
          <w:u w:val="single"/>
        </w:rPr>
        <w:t>provided</w:t>
      </w:r>
      <w:r>
        <w:rPr>
          <w:rFonts w:ascii="Times New Roman" w:hAnsi="Times New Roman"/>
          <w:sz w:val="20"/>
        </w:rPr>
        <w:t xml:space="preserve"> that, to the extent that any portion of the Potential Rollover Instruments for which Bidco has made an offer has not been refinanced prior to the Target Debt Refinancing Outside Date, Bidco may elect, by notice to the Administrative Agent, prior to the Target Debt Refinancing Outside Date that such portion of the Potential Rollover Instruments shall remain outstanding, in which case such portion of the Potential Rollover Instruments shall not constitute Target Refinancing Indebtedness. </w:t>
      </w:r>
    </w:p>
    <w:p>
      <w:pPr>
        <w:pStyle w:val="TextBody"/>
        <w:bidi w:val="0"/>
        <w:spacing w:before="240" w:after="0"/>
        <w:jc w:val="left"/>
        <w:rPr/>
      </w:pPr>
      <w:r>
        <w:rPr/>
        <w:t>“</w:t>
      </w:r>
      <w:r>
        <w:rPr>
          <w:rFonts w:ascii="Times New Roman" w:hAnsi="Times New Roman"/>
          <w:sz w:val="20"/>
          <w:u w:val="single"/>
        </w:rPr>
        <w:t>Target Shares</w:t>
      </w:r>
      <w:r>
        <w:rPr>
          <w:rFonts w:ascii="Times New Roman" w:hAnsi="Times New Roman"/>
          <w:sz w:val="20"/>
        </w:rPr>
        <w:t xml:space="preserve">” means 100% of the issued share capital in the Company. </w:t>
      </w:r>
    </w:p>
    <w:p>
      <w:pPr>
        <w:pStyle w:val="TextBody"/>
        <w:bidi w:val="0"/>
        <w:spacing w:before="240" w:after="0"/>
        <w:jc w:val="left"/>
        <w:rPr/>
      </w:pPr>
      <w:r>
        <w:rPr/>
        <w:t>“</w:t>
      </w:r>
      <w:r>
        <w:rPr>
          <w:rFonts w:ascii="Times New Roman" w:hAnsi="Times New Roman"/>
          <w:sz w:val="20"/>
          <w:u w:val="single"/>
        </w:rPr>
        <w:t>Tax Confirmation</w:t>
      </w:r>
      <w:r>
        <w:rPr>
          <w:rFonts w:ascii="Times New Roman" w:hAnsi="Times New Roman"/>
          <w:sz w:val="20"/>
        </w:rPr>
        <w:t>” means a confirmation by a Lender that it is beneficially entitled to interest payable to that Lender in respect of a Loan Document and is either: (i) a company resident in the United Kingdom for United Kingdom tax purposes;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United Kingdom Corporation Tax Act 2009 (“</w:t>
      </w:r>
      <w:r>
        <w:rPr>
          <w:rFonts w:ascii="Times New Roman" w:hAnsi="Times New Roman"/>
          <w:sz w:val="20"/>
          <w:u w:val="single"/>
        </w:rPr>
        <w:t>CTA</w:t>
      </w:r>
      <w:r>
        <w:rPr>
          <w:rFonts w:ascii="Times New Roman" w:hAnsi="Times New Roman"/>
          <w:sz w:val="20"/>
        </w:rPr>
        <w:t xml:space="preserve">”))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w:t>
      </w:r>
    </w:p>
    <w:p>
      <w:pPr>
        <w:pStyle w:val="TextBody"/>
        <w:bidi w:val="0"/>
        <w:spacing w:before="240" w:after="0"/>
        <w:jc w:val="left"/>
        <w:rPr/>
      </w:pPr>
      <w:r>
        <w:rPr/>
        <w:t>“</w:t>
      </w:r>
      <w:r>
        <w:rPr>
          <w:rFonts w:ascii="Times New Roman" w:hAnsi="Times New Roman"/>
          <w:sz w:val="20"/>
          <w:u w:val="single"/>
        </w:rPr>
        <w:t>Tax Distributions</w:t>
      </w:r>
      <w:r>
        <w:rPr>
          <w:rFonts w:ascii="Times New Roman" w:hAnsi="Times New Roman"/>
          <w:sz w:val="20"/>
        </w:rPr>
        <w:t xml:space="preserve">” has the meaning assigned to such term in </w:t>
      </w:r>
      <w:r>
        <w:rPr>
          <w:rFonts w:ascii="Times New Roman" w:hAnsi="Times New Roman"/>
          <w:sz w:val="20"/>
          <w:u w:val="single"/>
        </w:rPr>
        <w:t>Section 6.05(b)(xv)(B)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Group</w:t>
      </w:r>
      <w:r>
        <w:rPr>
          <w:rFonts w:ascii="Times New Roman" w:hAnsi="Times New Roman"/>
          <w:sz w:val="20"/>
        </w:rPr>
        <w:t xml:space="preserve">” has the meaning assigned to such term in </w:t>
      </w:r>
      <w:r>
        <w:rPr>
          <w:rFonts w:ascii="Times New Roman" w:hAnsi="Times New Roman"/>
          <w:sz w:val="20"/>
          <w:u w:val="single"/>
        </w:rPr>
        <w:t>Section 6.05(b)(xv)(B)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Structure Memorandum</w:t>
      </w:r>
      <w:r>
        <w:rPr>
          <w:rFonts w:ascii="Times New Roman" w:hAnsi="Times New Roman"/>
          <w:sz w:val="20"/>
        </w:rPr>
        <w:t xml:space="preserve">” means the tax structure memorandum prepared by PricewaterhouseCoopers LLP entitled “Project Triton - Structuring Strawman Paper” in connection with the Transactions.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charges or withholdings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Term Commitment</w:t>
      </w:r>
      <w:r>
        <w:rPr>
          <w:rFonts w:ascii="Times New Roman" w:hAnsi="Times New Roman"/>
          <w:sz w:val="20"/>
        </w:rPr>
        <w:t xml:space="preserve">” means, with respect to each Lender, the commitment, if any, of such Lender to make a Term Loan hereunder, expressed as an amount representing the maximum principal amount of the Term Loan to be made by such Lender hereunder, as such commitment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shall have assumed its Term Commitment, Incremental Facility Amendment, Loan Modification Agreement or Refinancing Amendment, as the case may be. As of the Effective Date, the total Term Commitment, </w:t>
      </w:r>
      <w:r>
        <w:rPr>
          <w:rFonts w:ascii="Times New Roman" w:hAnsi="Times New Roman"/>
          <w:strike/>
          <w:color w:val="FF0000"/>
          <w:sz w:val="20"/>
        </w:rPr>
        <w:t>including</w:t>
      </w:r>
      <w:r>
        <w:rPr>
          <w:rFonts w:ascii="Times New Roman" w:hAnsi="Times New Roman"/>
          <w:color w:val="0000FF"/>
          <w:sz w:val="20"/>
          <w:u w:val="single"/>
          <w:bdr w:val="double" w:sz="2" w:space="1" w:color="000000"/>
        </w:rPr>
        <w:t xml:space="preserve"> with respect to</w:t>
      </w:r>
      <w:r>
        <w:rPr>
          <w:rFonts w:ascii="Times New Roman" w:hAnsi="Times New Roman"/>
          <w:sz w:val="20"/>
        </w:rPr>
        <w:t xml:space="preserve"> the Initial Term</w:t>
      </w:r>
      <w:r>
        <w:rPr>
          <w:rFonts w:ascii="Times New Roman" w:hAnsi="Times New Roman"/>
          <w:strike/>
          <w:color w:val="FF0000"/>
          <w:sz w:val="20"/>
        </w:rPr>
        <w:t xml:space="preserve"> Commitment, is</w:t>
      </w:r>
      <w:r>
        <w:rPr>
          <w:rFonts w:ascii="Times New Roman" w:hAnsi="Times New Roman"/>
          <w:color w:val="0000FF"/>
          <w:sz w:val="20"/>
          <w:u w:val="single"/>
          <w:bdr w:val="double" w:sz="2" w:space="1" w:color="000000"/>
        </w:rPr>
        <w:t>Loans was</w:t>
      </w:r>
      <w:r>
        <w:rPr>
          <w:rFonts w:ascii="Times New Roman" w:hAnsi="Times New Roman"/>
          <w:sz w:val="20"/>
        </w:rPr>
        <w:t xml:space="preserve"> $1,750,000,000. As of the </w:t>
      </w:r>
      <w:r>
        <w:rPr>
          <w:rFonts w:ascii="Times New Roman" w:hAnsi="Times New Roman"/>
          <w:color w:val="0000FF"/>
          <w:sz w:val="20"/>
          <w:u w:val="single"/>
          <w:bdr w:val="double" w:sz="2" w:space="1" w:color="000000"/>
        </w:rPr>
        <w:t>Amendment No. 1 Effective Date, the total Term Commitment with respect to the Amendment No. 1 Refinancing Term Loans is $1,736,875,000.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Lender</w:t>
      </w:r>
      <w:r>
        <w:rPr>
          <w:rFonts w:ascii="Times New Roman" w:hAnsi="Times New Roman"/>
          <w:sz w:val="20"/>
        </w:rPr>
        <w:t xml:space="preserve">” means a Lender with a Term Commitment or an outstanding Term Loan. </w:t>
      </w:r>
    </w:p>
    <w:p>
      <w:pPr>
        <w:pStyle w:val="TextBody"/>
        <w:bidi w:val="0"/>
        <w:spacing w:before="240" w:after="0"/>
        <w:jc w:val="left"/>
        <w:rPr/>
      </w:pPr>
      <w:r>
        <w:rPr/>
        <w:t>“</w:t>
      </w:r>
      <w:r>
        <w:rPr>
          <w:rFonts w:ascii="Times New Roman" w:hAnsi="Times New Roman"/>
          <w:color w:val="0000FF"/>
          <w:sz w:val="20"/>
          <w:u w:val="single"/>
          <w:bdr w:val="double" w:sz="2" w:space="1" w:color="000000"/>
        </w:rPr>
        <w:t>Term Loans</w:t>
      </w:r>
      <w:r>
        <w:rPr>
          <w:rFonts w:ascii="Times New Roman" w:hAnsi="Times New Roman"/>
          <w:sz w:val="20"/>
        </w:rPr>
        <w:t xml:space="preserve">” means Initial Term Loans, Other Term Loans </w:t>
      </w:r>
      <w:r>
        <w:rPr>
          <w:rFonts w:ascii="Times New Roman" w:hAnsi="Times New Roman"/>
          <w:color w:val="0000FF"/>
          <w:sz w:val="20"/>
          <w:u w:val="single"/>
          <w:bdr w:val="double" w:sz="2" w:space="1" w:color="000000"/>
        </w:rPr>
        <w:t>(including the Amendment No. 1 Refinancing Term Loans)</w:t>
      </w:r>
      <w:r>
        <w:rPr>
          <w:rFonts w:ascii="Times New Roman" w:hAnsi="Times New Roman"/>
          <w:sz w:val="20"/>
        </w:rPr>
        <w:t xml:space="preserve"> and Incremental Term Loans, as the context requires. </w:t>
      </w:r>
    </w:p>
    <w:p>
      <w:pPr>
        <w:pStyle w:val="TextBody"/>
        <w:bidi w:val="0"/>
        <w:spacing w:before="240" w:after="0"/>
        <w:jc w:val="left"/>
        <w:rPr/>
      </w:pPr>
      <w:r>
        <w:rPr/>
        <w:t>“</w:t>
      </w:r>
      <w:r>
        <w:rPr>
          <w:rFonts w:ascii="Times New Roman" w:hAnsi="Times New Roman"/>
          <w:sz w:val="20"/>
          <w:u w:val="single"/>
        </w:rPr>
        <w:t>Term Maturity Date</w:t>
      </w:r>
      <w:r>
        <w:rPr>
          <w:rFonts w:ascii="Times New Roman" w:hAnsi="Times New Roman"/>
          <w:sz w:val="20"/>
        </w:rPr>
        <w:t xml:space="preserve">” means (i) December 12, 2026 (or, if such day is not a Business Day, the immediately preceding Business Day) or (ii) with respect to any Term Lender that has the maturity date of its Term Loans extended pursuant to a Permitted Amendment, the extended maturity date set forth in any such Loan Modification Agreement.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means, at any date of determination, the period of four consecutive fiscal quarters of Bidco then last ended as of such time for which financial statements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any date of determination before the delivery of the first financial statements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the Test Period shall be the period of four consecutive fiscal quarters of the Borrower then last ended as of such time for which financial statements are internally available. </w:t>
      </w:r>
    </w:p>
    <w:p>
      <w:pPr>
        <w:pStyle w:val="TextBody"/>
        <w:bidi w:val="0"/>
        <w:spacing w:before="240" w:after="0"/>
        <w:jc w:val="left"/>
        <w:rPr/>
      </w:pPr>
      <w:r>
        <w:rPr/>
        <w:t>“</w:t>
      </w:r>
      <w:r>
        <w:rPr>
          <w:rFonts w:ascii="Times New Roman" w:hAnsi="Times New Roman"/>
          <w:sz w:val="20"/>
          <w:u w:val="single"/>
        </w:rPr>
        <w:t>Ticking Fee Percentage</w:t>
      </w:r>
      <w:r>
        <w:rPr>
          <w:rFonts w:ascii="Times New Roman" w:hAnsi="Times New Roman"/>
          <w:sz w:val="20"/>
        </w:rPr>
        <w:t xml:space="preserve">” means, for any day, a percentage equal to (a) for the period commencing on the Allocation Date through (and including) the earliest to occur of (i) the Effective Date and (ii) the 45th day after the Allocation Date, 0%, (b) if the Effective Date has not occurred prior to the commencement of such period, for the period commencing on the 46th day after the Allocation Date through (and including) the earliest to occur of (i) the Effective Date and (ii) the 90th day after the Allocation Date, 50% of the Applicable Rate used to determine the interest rate applicable to Eurodollar Initial Term Loans, and (c) if the Effective Date has not occurred prior to the commencement of such period, for the period commencing on the 91st day after the Allocation Date through (but excluding) the Effective Date, the Applicable Rate used to determine the interest rate applicable to Eurodollar Initial Term Loans.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as of any date of determination, the ratio, on a Pro Forma Basis, of (a) the sum of (i) Consolidated Total Indebtedness as of such date and (ii) the Reserved Indebtedness Amount applicable at such time to the calculation of the Total Net Leverage Ratio with respect to commitments first obtained as of such date but not utilized as of such date (but only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such commitments are being obtained in reliance on a test based on such ratio) to (b) Consolidated EBITDA for the most recently ended Test Period as of such date;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Total Indebtedness for purposes of this definition. </w:t>
      </w:r>
    </w:p>
    <w:p>
      <w:pPr>
        <w:pStyle w:val="TextBody"/>
        <w:bidi w:val="0"/>
        <w:spacing w:before="240" w:after="0"/>
        <w:jc w:val="left"/>
        <w:rPr/>
      </w:pPr>
      <w:r>
        <w:rPr/>
        <w:t>“</w:t>
      </w:r>
      <w:r>
        <w:rPr>
          <w:rFonts w:ascii="Times New Roman" w:hAnsi="Times New Roman"/>
          <w:sz w:val="20"/>
          <w:u w:val="single"/>
        </w:rPr>
        <w:t>Transaction Costs</w:t>
      </w:r>
      <w:r>
        <w:rPr>
          <w:rFonts w:ascii="Times New Roman" w:hAnsi="Times New Roman"/>
          <w:sz w:val="20"/>
        </w:rPr>
        <w:t xml:space="preserve">” means all fees, costs and expenses incurred or payable by any parent entity of Holdings, Holdings, Bidco, the Borrowers or any Subsidiary in connection with the Transactions, including, without limitation, any upfront fees or original issue discount.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(a) the Financing Transactions, (b) the issuance of the Senior Secured Notes, (c) the Acquisition and the other transactions contemplated by the Acquisition Documents, (d) the Equity Contributions, (e) the Refinancing, (f) any step, circumstance, payment, event, reorganization or transaction contemplated by or relating to the Tax Structure Memorandum (other than any exit steps or cash repatriation described therein), including, in each case, any intermediate steps or actions necessary to implement the steps, circumstances, payments or transactions in relation thereto and/or described therein and (g) the payment of the Transaction Costs. </w:t>
      </w:r>
    </w:p>
    <w:p>
      <w:pPr>
        <w:pStyle w:val="TextBody"/>
        <w:bidi w:val="0"/>
        <w:spacing w:before="240" w:after="0"/>
        <w:jc w:val="left"/>
        <w:rPr/>
      </w:pPr>
      <w:r>
        <w:rPr/>
        <w:t>“</w:t>
      </w:r>
      <w:r>
        <w:rPr>
          <w:rFonts w:ascii="Times New Roman" w:hAnsi="Times New Roman"/>
          <w:sz w:val="20"/>
          <w:u w:val="single"/>
        </w:rPr>
        <w:t>Treasury Capital Stock</w:t>
      </w:r>
      <w:r>
        <w:rPr>
          <w:rFonts w:ascii="Times New Roman" w:hAnsi="Times New Roman"/>
          <w:sz w:val="20"/>
        </w:rPr>
        <w:t xml:space="preserve">” has the meaning assigned to such term in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Adjusted LIBO Rate or the Alternate Base Rate.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or “</w:t>
      </w:r>
      <w:r>
        <w:rPr>
          <w:rFonts w:ascii="Times New Roman" w:hAnsi="Times New Roman"/>
          <w:sz w:val="20"/>
          <w:u w:val="single"/>
        </w:rPr>
        <w:t>Uniform Commercial Code</w:t>
      </w:r>
      <w:r>
        <w:rPr>
          <w:rFonts w:ascii="Times New Roman" w:hAnsi="Times New Roman"/>
          <w:sz w:val="20"/>
        </w:rPr>
        <w:t xml:space="preserve">” means the Uniform Commercial Code as in effect from time to time in the State of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 </w:t>
      </w:r>
    </w:p>
    <w:p>
      <w:pPr>
        <w:pStyle w:val="TextBody"/>
        <w:bidi w:val="0"/>
        <w:spacing w:before="240" w:after="0"/>
        <w:jc w:val="left"/>
        <w:rPr/>
      </w:pPr>
      <w:r>
        <w:rPr/>
        <w:t>“</w:t>
      </w:r>
      <w:r>
        <w:rPr>
          <w:rFonts w:ascii="Times New Roman" w:hAnsi="Times New Roman"/>
          <w:sz w:val="20"/>
          <w:u w:val="single"/>
        </w:rPr>
        <w:t>UCP</w:t>
      </w:r>
      <w:r>
        <w:rPr>
          <w:rFonts w:ascii="Times New Roman" w:hAnsi="Times New Roman"/>
          <w:sz w:val="20"/>
        </w:rPr>
        <w:t xml:space="preserve">”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UK Resolution Authority” means the Bank of England or any other public administrative authority having responsibility for the resolution of any UK Financial Institution.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Undisclosed Administration</w:t>
      </w:r>
      <w:r>
        <w:rPr>
          <w:rFonts w:ascii="Times New Roman" w:hAnsi="Times New Roman"/>
          <w:sz w:val="20"/>
        </w:rPr>
        <w:t xml:space="preserve">”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United States Tax Compliance Certificate</w:t>
      </w:r>
      <w:r>
        <w:rPr>
          <w:rFonts w:ascii="Times New Roman" w:hAnsi="Times New Roman"/>
          <w:sz w:val="20"/>
        </w:rPr>
        <w:t xml:space="preserve">” has the meaning assigned to such term in </w:t>
      </w:r>
      <w:r>
        <w:rPr>
          <w:rFonts w:ascii="Times New Roman" w:hAnsi="Times New Roman"/>
          <w:sz w:val="20"/>
          <w:u w:val="single"/>
        </w:rPr>
        <w:t>Section 2.16(e)(ii)(B)(3)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any Subsidiary designated by the Borrower as an Unrestricted Subsidiary pursuant to </w:t>
      </w:r>
      <w:r>
        <w:rPr>
          <w:rFonts w:ascii="Times New Roman" w:hAnsi="Times New Roman"/>
          <w:sz w:val="20"/>
          <w:u w:val="single"/>
        </w:rPr>
        <w:t>Section 5.13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as amended from time to time. </w:t>
      </w:r>
    </w:p>
    <w:p>
      <w:pPr>
        <w:pStyle w:val="TextBody"/>
        <w:bidi w:val="0"/>
        <w:spacing w:before="240" w:after="0"/>
        <w:jc w:val="left"/>
        <w:rPr/>
      </w:pPr>
      <w:r>
        <w:rPr/>
        <w:t>“</w:t>
      </w:r>
      <w:r>
        <w:rPr>
          <w:rFonts w:ascii="Times New Roman" w:hAnsi="Times New Roman"/>
          <w:sz w:val="20"/>
          <w:u w:val="single"/>
        </w:rPr>
        <w:t>U.K. Borrower</w:t>
      </w:r>
      <w:r>
        <w:rPr>
          <w:rFonts w:ascii="Times New Roman" w:hAnsi="Times New Roman"/>
          <w:sz w:val="20"/>
        </w:rPr>
        <w:t xml:space="preserve">” means a Borrower incorporated in the United Kingdom and/or tax resident in the United Kingdom (and for these purposes it shall be assumed that a Borrower incorporated in Guernsey is tax resident in the United Kingdom). </w:t>
      </w:r>
    </w:p>
    <w:p>
      <w:pPr>
        <w:pStyle w:val="TextBody"/>
        <w:bidi w:val="0"/>
        <w:spacing w:before="240" w:after="0"/>
        <w:jc w:val="left"/>
        <w:rPr/>
      </w:pPr>
      <w:r>
        <w:rPr/>
        <w:t>“</w:t>
      </w:r>
      <w:r>
        <w:rPr>
          <w:rFonts w:ascii="Times New Roman" w:hAnsi="Times New Roman"/>
          <w:sz w:val="20"/>
          <w:u w:val="single"/>
        </w:rPr>
        <w:t>U.K. Non-Bank Lender</w:t>
      </w:r>
      <w:r>
        <w:rPr>
          <w:rFonts w:ascii="Times New Roman" w:hAnsi="Times New Roman"/>
          <w:sz w:val="20"/>
        </w:rPr>
        <w:t xml:space="preserve">” means a Lender (a) which is: (i) a company resident in the United Kingdom for United Kingdom tax purposes, (ii) a partnership each 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(b) which has provided a Tax Confirmation, and (c) in respect of which an officer of HMRC has not given, or has given and has subsequently revoked, a direction under section 931 of the ITA which relates to the payment.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U.S. Loan Party</w:t>
      </w:r>
      <w:r>
        <w:rPr>
          <w:rFonts w:ascii="Times New Roman" w:hAnsi="Times New Roman"/>
          <w:sz w:val="20"/>
        </w:rPr>
        <w:t xml:space="preserve">” means any Loan Party that is organized in the United States, any state thereof or the District of Columbia. </w:t>
      </w:r>
    </w:p>
    <w:p>
      <w:pPr>
        <w:pStyle w:val="TextBody"/>
        <w:bidi w:val="0"/>
        <w:spacing w:before="240" w:after="0"/>
        <w:jc w:val="left"/>
        <w:rPr/>
      </w:pPr>
      <w:r>
        <w:rPr/>
        <w:t>“</w:t>
      </w:r>
      <w:r>
        <w:rPr>
          <w:rFonts w:ascii="Times New Roman" w:hAnsi="Times New Roman"/>
          <w:sz w:val="20"/>
          <w:u w:val="single"/>
        </w:rPr>
        <w:t>U.S. Restricted Subsidiary</w:t>
      </w:r>
      <w:r>
        <w:rPr>
          <w:rFonts w:ascii="Times New Roman" w:hAnsi="Times New Roman"/>
          <w:sz w:val="20"/>
        </w:rPr>
        <w:t xml:space="preserve">” means any Subsidiary of Bidco that is organized in the United States, any state thereof or the District of Columbia, other than an Unrestricted Subsidiary. </w:t>
      </w:r>
    </w:p>
    <w:p>
      <w:pPr>
        <w:pStyle w:val="TextBody"/>
        <w:bidi w:val="0"/>
        <w:spacing w:before="240" w:after="0"/>
        <w:jc w:val="left"/>
        <w:rPr/>
      </w:pPr>
      <w:r>
        <w:rPr/>
        <w:t>“</w:t>
      </w:r>
      <w:r>
        <w:rPr>
          <w:rFonts w:ascii="Times New Roman" w:hAnsi="Times New Roman"/>
          <w:sz w:val="20"/>
          <w:u w:val="single"/>
        </w:rPr>
        <w:t>U.S. Special Resolution Regimes</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VAT</w:t>
      </w:r>
      <w:r>
        <w:rPr>
          <w:rFonts w:ascii="Times New Roman" w:hAnsi="Times New Roman"/>
          <w:sz w:val="20"/>
        </w:rPr>
        <w:t xml:space="preserve">” (a) any tax imposed in any member state of the European Union pursuant to EC Council Directive 2006/112 on the common system of value added tax and national legislation implementing that Directive or any predecessor to it or supplemental to that Directive; and (b) any other sales or turnover tax of a similar nature, whether imposed in a member state of the European Union in or, or levied in addition to, such tax referred to in paragraph (a) above, or imposed elsewhere. </w:t>
      </w:r>
    </w:p>
    <w:p>
      <w:pPr>
        <w:pStyle w:val="TextBody"/>
        <w:bidi w:val="0"/>
        <w:spacing w:before="240" w:after="0"/>
        <w:jc w:val="left"/>
        <w:rPr/>
      </w:pPr>
      <w:r>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240" w:after="0"/>
        <w:jc w:val="left"/>
        <w:rPr/>
      </w:pPr>
      <w:r>
        <w:rPr/>
        <w:t>“</w:t>
      </w:r>
      <w:r>
        <w:rPr>
          <w:rFonts w:ascii="Times New Roman" w:hAnsi="Times New Roman"/>
          <w:sz w:val="20"/>
          <w:u w:val="single"/>
        </w:rPr>
        <w:t>Wholly Owned Restricted Subsidiary</w:t>
      </w:r>
      <w:r>
        <w:rPr>
          <w:rFonts w:ascii="Times New Roman" w:hAnsi="Times New Roman"/>
          <w:sz w:val="20"/>
        </w:rPr>
        <w:t xml:space="preserve">” means any Restricted Subsidiary that is a Wholly Owned Subsidiary. </w:t>
      </w:r>
    </w:p>
    <w:p>
      <w:pPr>
        <w:pStyle w:val="TextBody"/>
        <w:bidi w:val="0"/>
        <w:spacing w:before="240" w:after="0"/>
        <w:jc w:val="left"/>
        <w:rPr/>
      </w:pPr>
      <w:r>
        <w:rPr/>
        <w:t>“</w:t>
      </w:r>
      <w:r>
        <w:rPr>
          <w:rFonts w:ascii="Times New Roman" w:hAnsi="Times New Roman"/>
          <w:sz w:val="20"/>
          <w:u w:val="single"/>
        </w:rPr>
        <w:t>Wholly Owned Subsidiary</w:t>
      </w:r>
      <w:r>
        <w:rPr>
          <w:rFonts w:ascii="Times New Roman" w:hAnsi="Times New Roman"/>
          <w:sz w:val="20"/>
        </w:rPr>
        <w:t xml:space="preserve">”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w:t>
      </w:r>
      <w:r>
        <w:rPr>
          <w:rFonts w:ascii="Times New Roman" w:hAnsi="Times New Roman"/>
          <w:color w:val="0000FF"/>
          <w:sz w:val="20"/>
          <w:u w:val="single"/>
          <w:bdr w:val="double" w:sz="2" w:space="1" w:color="000000"/>
        </w:rPr>
        <w:t>(a)</w:t>
      </w:r>
      <w:r>
        <w:rPr>
          <w:rFonts w:ascii="Times New Roman" w:hAnsi="Times New Roman"/>
          <w:sz w:val="20"/>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hAnsi="Times New Roman"/>
          <w:strike/>
          <w:color w:val="FF0000"/>
          <w:sz w:val="20"/>
        </w:rPr>
        <w:t>.</w:t>
      </w:r>
      <w:r>
        <w:rPr>
          <w:rFonts w:ascii="Times New Roman" w:hAnsi="Times New Roman"/>
          <w:color w:val="0000FF"/>
          <w:sz w:val="20"/>
          <w:u w:val="single"/>
          <w:bdr w:val="double" w:sz="2" w:space="1" w:color="000000"/>
        </w:rPr>
        <w:t>,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Yen</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shall mean the lawful currency of Japan. </w:t>
      </w:r>
    </w:p>
    <w:p>
      <w:pPr>
        <w:pStyle w:val="TextBody"/>
        <w:bidi w:val="0"/>
        <w:spacing w:before="36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For purposes of this Agreement, Loans and Borrowings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Loan</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Loan</w:t>
      </w:r>
      <w:r>
        <w:rPr>
          <w:rFonts w:ascii="Times New Roman" w:hAnsi="Times New Roman"/>
          <w:sz w:val="20"/>
        </w:rPr>
        <w:t>” or “</w:t>
      </w:r>
      <w:r>
        <w:rPr>
          <w:rFonts w:ascii="Times New Roman" w:hAnsi="Times New Roman"/>
          <w:sz w:val="20"/>
          <w:u w:val="single"/>
        </w:rPr>
        <w:t>ABR Loan</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Revolving Loan</w:t>
      </w:r>
      <w:r>
        <w:rPr>
          <w:rFonts w:ascii="Times New Roman" w:hAnsi="Times New Roman"/>
          <w:sz w:val="20"/>
        </w:rPr>
        <w:t>”). Borrowings also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Borrowing</w:t>
      </w:r>
      <w:r>
        <w:rPr>
          <w:rFonts w:ascii="Times New Roman" w:hAnsi="Times New Roman"/>
          <w:sz w:val="20"/>
        </w:rPr>
        <w:t>” or “</w:t>
      </w:r>
      <w:r>
        <w:rPr>
          <w:rFonts w:ascii="Times New Roman" w:hAnsi="Times New Roman"/>
          <w:sz w:val="20"/>
          <w:u w:val="single"/>
        </w:rPr>
        <w:t>Term Borrowing</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Borrowing</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Revolving Borrowing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36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IFRS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IFRS, except as otherwise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 </w:t>
      </w:r>
    </w:p>
    <w:p>
      <w:pPr>
        <w:pStyle w:val="TextBody"/>
        <w:bidi w:val="0"/>
        <w:spacing w:before="36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Effectuation of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references herein to Holdings, Bidco and the other Subsidiaries shall be deemed to be references to such Persons, and all the representations and warranties of Holdings, any Intermediate Parent, Bidco and the other Loan Parties contained in this Agreement and the other Loan Documents shall be deemed made, in each case, after giving effect to the Acquisition and the other Transactions to occur on the Effective Date, unless the context otherwise requires. </w:t>
      </w:r>
    </w:p>
    <w:p>
      <w:pPr>
        <w:pStyle w:val="TextBody"/>
        <w:bidi w:val="0"/>
        <w:spacing w:before="36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Limited Condition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in this Agreement or any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Bidco (Bidco’s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xml:space="preserve">”), be deemed to be either (i) the date the definitive agreements for such Limited Condition Transaction are entered into (or, in respect of any transaction described in clause (b) of the definition of “Limited Condition Transaction”, delivery of irrevocable notice or similar event) or (ii) solely in connection with an acquisition to which the City Code applies, the date on which a “Rule 2.7 announcement” of a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intention to make an offer in respect of a target company is made in compliance with the City Code (the “</w:t>
      </w:r>
      <w:r>
        <w:rPr>
          <w:rFonts w:ascii="Times New Roman" w:hAnsi="Times New Roman"/>
          <w:sz w:val="20"/>
          <w:u w:val="single"/>
        </w:rPr>
        <w:t>LCT Test Date</w:t>
      </w:r>
      <w:r>
        <w:rPr>
          <w:rFonts w:ascii="Times New Roman" w:hAnsi="Times New Roman"/>
          <w:sz w:val="20"/>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Bidco could have taken such action on the relevant LCT Test Date in compliance with such ratios and provisions, such provisions shall be deemed to have been complied with; </w:t>
      </w:r>
      <w:r>
        <w:rPr>
          <w:rFonts w:ascii="Times New Roman" w:hAnsi="Times New Roman"/>
          <w:i/>
          <w:sz w:val="20"/>
        </w:rPr>
        <w:t xml:space="preserve">provided </w:t>
      </w:r>
      <w:r>
        <w:rPr>
          <w:rFonts w:ascii="Times New Roman" w:hAnsi="Times New Roman"/>
          <w:sz w:val="20"/>
        </w:rPr>
        <w:t xml:space="preserve">that at the option of Bidco,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Bidco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Bidco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 (or, if applicable, the irrevocable notice or similar event is terminated or expires). </w:t>
      </w:r>
    </w:p>
    <w:p>
      <w:pPr>
        <w:pStyle w:val="TextBody"/>
        <w:bidi w:val="0"/>
        <w:spacing w:before="36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Certain Determinations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compliance with any of the covenants set forth in </w:t>
      </w:r>
      <w:r>
        <w:rPr>
          <w:rFonts w:ascii="Times New Roman" w:hAnsi="Times New Roman"/>
          <w:sz w:val="20"/>
          <w:u w:val="single"/>
        </w:rPr>
        <w:t>Article V</w:t>
      </w:r>
      <w:r>
        <w:rPr>
          <w:rFonts w:ascii="Times New Roman" w:hAnsi="Times New Roman"/>
          <w:sz w:val="20"/>
        </w:rPr>
        <w:t xml:space="preserve"> or</w:t>
      </w:r>
      <w:r>
        <w:rPr>
          <w:rFonts w:ascii="Times New Roman" w:hAnsi="Times New Roman"/>
          <w:sz w:val="20"/>
          <w:u w:val="single"/>
        </w:rPr>
        <w:t xml:space="preserve"> Article VI</w:t>
      </w:r>
      <w:r>
        <w:rPr>
          <w:rFonts w:ascii="Times New Roman" w:hAnsi="Times New Roman"/>
          <w:sz w:val="20"/>
        </w:rPr>
        <w:t xml:space="preserve"> (including in connection with any Incremental Facility) at any time (whether at the time of incurrence or thereafter), any Lien, Investment, Indebtedness, Restricted Payment, Asset Sale or Affiliate transaction meets the criteria of one, or more than one, of the categories permitted pursuant to </w:t>
      </w:r>
      <w:r>
        <w:rPr>
          <w:rFonts w:ascii="Times New Roman" w:hAnsi="Times New Roman"/>
          <w:sz w:val="20"/>
          <w:u w:val="single"/>
        </w:rPr>
        <w:t>Article V</w:t>
      </w:r>
      <w:r>
        <w:rPr>
          <w:rFonts w:ascii="Times New Roman" w:hAnsi="Times New Roman"/>
          <w:sz w:val="20"/>
        </w:rPr>
        <w:t xml:space="preserve"> or</w:t>
      </w:r>
      <w:r>
        <w:rPr>
          <w:rFonts w:ascii="Times New Roman" w:hAnsi="Times New Roman"/>
          <w:sz w:val="20"/>
          <w:u w:val="single"/>
        </w:rPr>
        <w:t xml:space="preserve"> Article VI</w:t>
      </w:r>
      <w:r>
        <w:rPr>
          <w:rFonts w:ascii="Times New Roman" w:hAnsi="Times New Roman"/>
          <w:sz w:val="20"/>
        </w:rPr>
        <w:t xml:space="preserve"> (including in connection with any Incremental Facility), Bidco (i) shall in its sole discretion determine under which category such Lien (other than Liens securing the Secured Obligations), Investment, Indebtedness (other than Indebtedness incurred under the Loan Documents), Asset Sale, Restricted Payment or Affiliate transaction (or, in each case, any portion there) is permitted and (ii) shall be permitted, in its sole discretion, to make any redetermination and/or to divide, classify or reclassify under which category or categories such Lien, Investment, Indebtedness, Asset Sale, Restricted Payment or Affiliate transaction is permitted from time to time as it may determine and without notice to the Administrative Agent or any Lender, so long as at the time of such redesignation Bidco would be permitted to incur such Lien, Investment, Indebtedness or Restricted Payment under such category or categories, as applicable. For the avoidance of doubt, if the applicable date for meeting any requirement hereunder or under any other Loan Document falls on a day that is not a Business Day, compliance with such requirement shall not be required until noon on the first Business Day following such applicable date.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with respect to any amounts incurred or transactions entered into (or consummated) in reliance on a provision of this Agreement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does not require compliance with a financial ratio or test (including, without limitation, any Total Net Leverage Ratio, Senior Secured Net Leverage Ratio, Senior Secured First Lien Net Leverage Ratio and/or Interest Coverage Ratio) (any such amounts, the “</w:t>
      </w:r>
      <w:r>
        <w:rPr>
          <w:rFonts w:ascii="Times New Roman" w:hAnsi="Times New Roman"/>
          <w:sz w:val="20"/>
          <w:u w:val="single"/>
        </w:rPr>
        <w:t>Fixed Amounts</w:t>
      </w:r>
      <w:r>
        <w:rPr>
          <w:rFonts w:ascii="Times New Roman" w:hAnsi="Times New Roman"/>
          <w:sz w:val="20"/>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hAnsi="Times New Roman"/>
          <w:sz w:val="20"/>
          <w:u w:val="single"/>
        </w:rPr>
        <w:t>Incurrence Based Amounts</w:t>
      </w:r>
      <w:r>
        <w:rPr>
          <w:rFonts w:ascii="Times New Roman" w:hAnsi="Times New Roman"/>
          <w:sz w:val="2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 w:hAnsi="Times New Roman"/>
          <w:sz w:val="20"/>
          <w:u w:val="single"/>
        </w:rPr>
        <w:t>Section 6.01</w:t>
      </w:r>
      <w:r>
        <w:rPr>
          <w:rFonts w:ascii="Times New Roman" w:hAnsi="Times New Roman"/>
          <w:sz w:val="20"/>
        </w:rPr>
        <w:t xml:space="preserve"> or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Form Intercreditor Agreements shall be deemed to be reasonable and acceptable to the Administrative Agent and the Lenders, the Administrative Agent and the Lenders shall be deemed to have consented to the use of each such Form Intercreditor Agreement (and to the Administrative Agent’s execution thereof) in connection with any Indebtedness secured by the Collateral that is permitted to be incurred, issued and/or assumed by Bidco or any of its Subsidiaries pursuant to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Section 6.02</w:t>
      </w:r>
      <w:r>
        <w:rPr>
          <w:rFonts w:ascii="Times New Roman" w:hAnsi="Times New Roman"/>
          <w:sz w:val="20"/>
        </w:rPr>
        <w:t xml:space="preserve"> and the Administrative Agent shall be authorized to execute and deliver on behalf of the Secured Parties the applicable Form Intercreditor Agreements. </w:t>
      </w:r>
    </w:p>
    <w:p>
      <w:pPr>
        <w:pStyle w:val="TextBody"/>
        <w:bidi w:val="0"/>
        <w:spacing w:before="240" w:after="0"/>
        <w:jc w:val="left"/>
        <w:rPr>
          <w:rFonts w:ascii="Times New Roman" w:hAnsi="Times New Roman"/>
          <w:sz w:val="20"/>
        </w:rPr>
      </w:pPr>
      <w:r>
        <w:rPr>
          <w:rFonts w:ascii="Times New Roman" w:hAnsi="Times New Roman"/>
          <w:strike/>
          <w:color w:val="FF0000"/>
          <w:sz w:val="20"/>
        </w:rPr>
        <w:t>(d) Notwithstanding anything to the contrary herein, solely for the purposes of calculating the “ Total Net Leverage Ratio”, “ Senior Secured Net Leverage Ratio”, “ Senior Secured First Lien Net Leverage Ratio” or “ Interest Coverage Ratio” in connection with any incurrence test under the covenants set forth in Article VI (including in connection with any Incremental Facility), excluding the Financial Performance Covenant, Consolidated EBITDA shall be calculated without giving effect to Consolidated EBITDA attributable solely to the Ligado Cooperation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Additional Alternative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and the Borrowers may from time to time request that Eurodollar Revolving Loans be made and/or Letters of Credit be issued in a currency other than dollars or those specifically listed in the definition of “Alternative Currency.” In the case of any such request with respect to the making of Eurodollar Revolving Loans, such request shall be subject to the approval of the Administrative Agent and all of the Revolving Lenders. In the case of any such request with respect to the issuance of Letters of Credit, such request shall be subject to the approval of the Administrative Agent, the applicable Issuing Bank and all of the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(b) Any such request shall be made to the Administrative Agent not later than 11:00 a.m. (New York City time), ten (10) Business Days prior to the date of the desired Revolving Borrowing or issuance of Letters of Credit (or such other time or date as may be agreed to by the Administrative Agent and, in the case of any such request pertaining to Letters of Credit, each Issuing Bank, in its or their sole discretion). In the case of any such request pertaining to Eurodollar Revolving Loans, the Administrative Agent shall promptly notify each Revolving Lender thereof. In the case of any such request pertaining to Letters of Credit, the Administrative Agent shall promptly notify the applicable Issuing Bank thereof. Each Revolving Lender (in the case of any such request pertaining to Eurodollar Revolving Loans) or each Issuing Bank (in the case of a request pertaining to Letters of Credit) shall notify the Administrative Agent, not later than 11:00 a.m. (New York City time), two (2) Business Days after its receipt of such request as to whether it consents, in its sole discretion, to the making of Eurodollar Revolving Loans or the issuance of Letters of Credit, as the case may be, in such requested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failure by a Revolving Lender or an Issuing Bank, as the case may be, to respond to such request within the time period specified in the last sentence of clause (b) above shall be deemed to be a refusal by such Revolving Lender or such Issuing Bank, as the case may be, to permit Eurodollar Revolving Loans to be made or Letters of Credit to be issued in such requested currency. If the Administrative Agent and all the Revolving Lenders consent to making Eurodollar Revolving Loans in such requested currency, the Administrative Agent shall so notify Bidco and the Borrowers and such currency shall thereupon be deemed for all purposes to be an Alternative Currency hereunder for purposes of any Borrowings of Eurodollar Revolving Loans. If the Administrative Agent and each Issuing Bank consent to the issuance of Letters of Credit in such requested currency, the Administrative Agent shall so notify Bidco and the Borrowers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hAnsi="Times New Roman"/>
          <w:sz w:val="20"/>
          <w:u w:val="single"/>
        </w:rPr>
        <w:t>Section 1.08</w:t>
      </w:r>
      <w:r>
        <w:rPr>
          <w:rFonts w:ascii="Times New Roman" w:hAnsi="Times New Roman"/>
          <w:sz w:val="20"/>
        </w:rPr>
        <w:t xml:space="preserve">, the Administrative Agent shall promptly so notify Bidco and the Borrowers. </w:t>
      </w:r>
    </w:p>
    <w:p>
      <w:pPr>
        <w:pStyle w:val="TextBody"/>
        <w:bidi w:val="0"/>
        <w:spacing w:before="36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Currency Equivalents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Wherever in this Agreement in connection with a Borrowing, conversion, continuation or prepayment of a Eurodollar Loan or the issuance, amendment or extension of a Letter of Credit, an amount, such as a required minimum or multiple amount, is expressed in dollars, but such Borrowing, Eurodollar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 </w:t>
      </w:r>
    </w:p>
    <w:p>
      <w:pPr>
        <w:pStyle w:val="TextBody"/>
        <w:bidi w:val="0"/>
        <w:spacing w:before="36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Divisions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hAnsi="Times New Roman"/>
          <w:sz w:val="20"/>
          <w:u w:val="single"/>
        </w:rPr>
        <w:t>Division</w:t>
      </w:r>
      <w:r>
        <w:rPr>
          <w:rFonts w:ascii="Times New Roman" w:hAnsi="Times New Roman"/>
          <w:sz w:val="20"/>
        </w:rPr>
        <w:t xml:space="preserve">”),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 </w:t>
      </w:r>
    </w:p>
    <w:p>
      <w:pPr>
        <w:pStyle w:val="TextBody"/>
        <w:bidi w:val="0"/>
        <w:spacing w:before="36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Agreed Security Principles; Guarantee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Guarantee Agreement, the Security Documents, the determination of Collateral and assets that constitute Excluded Assets of any Non-U.S. Loan Party and each other guaranty and security document delivered or to be delivered under this Agreement, and any obligation to enter into such document or obligation and/or provide security in any Collateral, by any Non-U.S. Loan Party shall be subject in all respects to the Agreed Security Principles and the Guarantee Limitations. </w:t>
      </w:r>
    </w:p>
    <w:p>
      <w:pPr>
        <w:pStyle w:val="TextBody"/>
        <w:bidi w:val="0"/>
        <w:spacing w:before="36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Additional Borrowers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w:t>
      </w:r>
      <w:r>
        <w:rPr>
          <w:rFonts w:ascii="Times New Roman" w:hAnsi="Times New Roman"/>
          <w:sz w:val="20"/>
          <w:u w:val="single"/>
        </w:rPr>
        <w:t>Section 9.02</w:t>
      </w:r>
      <w:r>
        <w:rPr>
          <w:rFonts w:ascii="Times New Roman" w:hAnsi="Times New Roman"/>
          <w:sz w:val="20"/>
        </w:rPr>
        <w:t xml:space="preserve"> to the contrary, following the Effective Date, Bidco and the Borrowers may request that one or more Subsidiaries of Bidco that is a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incorporated under the laws of England and Wales be added as an additional Revolving Borrower under the Revolving Facility by delivering to the Administrative Agent an Additional Borrower Agreement executed by such Subsidiary and the Borrower Representative. Such Subsidiary shall for all purposes of this Agreement be a Revolving Borrower and a Borrower hereunder after the latest of (i) five (5) Business Days (or such shorter period as the Administrative Agent shall agree) after delivery of such Additional Borrower Agreement and (ii)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without any written objection submitted by the Lenders or the Administrative Agent within five (5) Business Days of the date of receipt of such documentation and other information; </w:t>
      </w:r>
      <w:r>
        <w:rPr>
          <w:rFonts w:ascii="Times New Roman" w:hAnsi="Times New Roman"/>
          <w:i/>
          <w:sz w:val="20"/>
        </w:rPr>
        <w:t>provided</w:t>
      </w:r>
      <w:r>
        <w:rPr>
          <w:rFonts w:ascii="Times New Roman" w:hAnsi="Times New Roman"/>
          <w:sz w:val="20"/>
        </w:rPr>
        <w:t xml:space="preserve"> that each Additional Borrower shall also be a Guarantor. Any obligations in respect of Borrowings by any Additional Borrower under this Agreement will constitute “Loan Document Obligations” for all purposes of the Loan Documents. Promptly following receipt of any Additional Borrower Agreement, the Administrative Agent shall send a copy thereof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Borrower Representative</w:t>
      </w:r>
      <w:r>
        <w:rPr>
          <w:rFonts w:ascii="Times New Roman" w:hAnsi="Times New Roman"/>
          <w:sz w:val="20"/>
        </w:rPr>
        <w:t xml:space="preserve">. Each Borrower hereby designates the Finco Borrower as its borrower representative (the “Borrower Representative”). The Borrower Representative may act as agent on behalf of each of the Borrowers for the purposes of issuing notices of Borrowing and notices of conversion/continuation of any Loans pursuant to Section 2.02 or 2.03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and certifications)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 </w:t>
      </w:r>
    </w:p>
    <w:p>
      <w:pPr>
        <w:pStyle w:val="TextBody"/>
        <w:bidi w:val="0"/>
        <w:spacing w:before="36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Guernsey Customary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Party organized in Guernsey irrevocably waives and abandons any and all rights which it may at any time have under the existing or future laws of Guernsey: </w:t>
      </w:r>
    </w:p>
    <w:p>
      <w:pPr>
        <w:pStyle w:val="TextBody"/>
        <w:bidi w:val="0"/>
        <w:spacing w:before="120" w:after="0"/>
        <w:jc w:val="left"/>
        <w:rPr>
          <w:rFonts w:ascii="Times New Roman" w:hAnsi="Times New Roman"/>
          <w:sz w:val="20"/>
        </w:rPr>
      </w:pPr>
      <w:r>
        <w:rPr>
          <w:rFonts w:ascii="Times New Roman" w:hAnsi="Times New Roman"/>
          <w:sz w:val="20"/>
        </w:rPr>
        <w:t xml:space="preserve">(i) whether by virtue of the </w:t>
      </w:r>
      <w:r>
        <w:rPr>
          <w:rFonts w:ascii="Times New Roman" w:hAnsi="Times New Roman"/>
          <w:i/>
          <w:sz w:val="20"/>
        </w:rPr>
        <w:t>droit de discussion</w:t>
      </w:r>
      <w:r>
        <w:rPr>
          <w:rFonts w:ascii="Times New Roman" w:hAnsi="Times New Roman"/>
          <w:sz w:val="20"/>
        </w:rPr>
        <w:t xml:space="preserve"> or otherwise, to require that recourse be had to the assets of any other person party to any of the Loan Documents before any claim in enforced against such Guarantor in respect of the obligations assumed by such Guarantor under or in connection with any Loan Document. Each Guarantor organized in Guernsey undertakes that, if any enforcement proceedings are initiated by any Lender, Secured Party, the Administrative Agent, the Collateral Agent or any finance party against that Guarantor in respect of any such obligations, that Guarantor shall not claim that any other party to any of the Loan Documents be made a party to such proceedings, and each such Guarantor agrees to be bound by the Loan Documents whether or not any such Guarantor or other person is made a party to any legal proceedings for the recovery of amounts due or owing or for the enforcement of obligations owed to such Lender, Secured Party, the Administrative Agent, the Collateral Agent or any finance party and whether the formalities required by any existing or future law of Guernsey, in regard to the rights or obligations of sureties shall or shall not have been observed;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whether by virtue of </w:t>
      </w:r>
      <w:r>
        <w:rPr>
          <w:rFonts w:ascii="Times New Roman" w:hAnsi="Times New Roman"/>
          <w:i/>
          <w:sz w:val="20"/>
        </w:rPr>
        <w:t>the droit de division</w:t>
      </w:r>
      <w:r>
        <w:rPr>
          <w:rFonts w:ascii="Times New Roman" w:hAnsi="Times New Roman"/>
          <w:sz w:val="20"/>
        </w:rPr>
        <w:t xml:space="preserve"> or otherwise to require that any liability under any guarantee or indemnity given in or in connection with any Loan Document be divided or apportioned with any other person or reduced in any manner. </w:t>
      </w:r>
    </w:p>
    <w:p>
      <w:pPr>
        <w:pStyle w:val="TextBody"/>
        <w:bidi w:val="0"/>
        <w:spacing w:before="240" w:after="0"/>
        <w:jc w:val="left"/>
        <w:rPr>
          <w:rFonts w:ascii="Times New Roman" w:hAnsi="Times New Roman"/>
          <w:sz w:val="20"/>
        </w:rPr>
      </w:pPr>
      <w:r>
        <w:rPr>
          <w:rFonts w:ascii="Times New Roman" w:hAnsi="Times New Roman"/>
          <w:sz w:val="20"/>
        </w:rPr>
        <w:t xml:space="preserve">(b) This waiver applies irrespective of any law or any provision of a Loan Document to the contrary.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set forth herein, (a) each Term Lender agrees to make Initial Term Loans to the applicable Term Borrower (i) in one drawing in connection with the Transactions on the Effective Date and (ii) in one additional drawing as a Certain Funds Utilization in connection with the Refinancing on or after the Effective Date until the Initial Term Commitment Expiration Date, each denominated in dollars and in an aggregate principal amount not exceeding such Term Lender’s then unused Initial Term Commitment and (b) each Revolving Lender agrees to make Revolving Loans to the applicable Revolving Borrower denominated in dollars or an Alternative Currency from time to time during the Revolving Availability Period in an aggregate principal amount which will not result in such Revolving Lender’s Revolving Exposure exceeding such Revolving Lender’s Revolving Commitment. Within the foregoing limits and subject to the terms and conditions set forth herein, the Revolving Borrowers may borrow, prepay and reborrow Revolving Loans. Amounts repaid or prepaid in respect of Term Loans may not be reborrowed. </w:t>
      </w:r>
    </w:p>
    <w:p>
      <w:pPr>
        <w:pStyle w:val="TextBody"/>
        <w:bidi w:val="0"/>
        <w:spacing w:before="36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other than as expressly provided in </w:t>
      </w:r>
      <w:r>
        <w:rPr>
          <w:rFonts w:ascii="Times New Roman" w:hAnsi="Times New Roman"/>
          <w:sz w:val="20"/>
          <w:u w:val="single"/>
        </w:rPr>
        <w:t>Section 2.21(a)(iv)</w:t>
      </w:r>
      <w:r>
        <w:rPr>
          <w:rFonts w:ascii="Times New Roman" w:hAnsi="Times New Roman"/>
          <w:sz w:val="20"/>
        </w:rPr>
        <w:t xml:space="preserve"> with respect to a Defaulting Lender, no Lender shall be responsible for any other Lender’s failure to make Loans as required hereby.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2.13, each Revolving Borrowing and Term Borrowing shall be comprised entirely of ABR Loans or Eurodollar Loans as the Borrowers may request in accordance herewith. Each Swingline Loan shall be an ABR Loan. Each Revolving Borrowing in an Alternative Currency shall be a Eurodollar Loan. Each Lender at its option may make any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Borrowers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Eurodollar Borrowing, such Borrowing shall be in an aggregate amount that is an integral multiple of the Borrowing Multiple and not less than the Borrowing Minimum; </w:t>
      </w:r>
      <w:r>
        <w:rPr>
          <w:rFonts w:ascii="Times New Roman" w:hAnsi="Times New Roman"/>
          <w:sz w:val="20"/>
          <w:u w:val="single"/>
        </w:rPr>
        <w:t>provided</w:t>
      </w:r>
      <w:r>
        <w:rPr>
          <w:rFonts w:ascii="Times New Roman" w:hAnsi="Times New Roman"/>
          <w:sz w:val="20"/>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Multiple and not less than the Borrowing Minimum.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ten Eurodollar Borrowings outstanding. Notwithstanding anything to the contrary herein, an ABR Revolving Borrowing (including a Borrowing of Swingline Loans) may be in an aggregate amount equal to the entire unused balance of the aggregate Revolving Commitments (and/or the Swingline Commitments, as applicable) or that is required to finance the reimbursement of a LC Disbursement as contemplated by </w:t>
      </w:r>
      <w:r>
        <w:rPr>
          <w:rFonts w:ascii="Times New Roman" w:hAnsi="Times New Roman"/>
          <w:sz w:val="20"/>
          <w:u w:val="single"/>
        </w:rPr>
        <w:t>Section 2.04(f)</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request a Revolving Borrowing or Term Borrowing, the applicable Borrower shall deliver by hand delivery, facsimile or other electronic transmission to the Administrative Agent a written Borrowing Request signed by the applicable Borrower substantially in the form of </w:t>
      </w:r>
      <w:r>
        <w:rPr>
          <w:rFonts w:ascii="Times New Roman" w:hAnsi="Times New Roman"/>
          <w:sz w:val="20"/>
          <w:u w:val="single"/>
        </w:rPr>
        <w:t>Exhibit T</w:t>
      </w:r>
      <w:r>
        <w:rPr>
          <w:rFonts w:ascii="Times New Roman" w:hAnsi="Times New Roman"/>
          <w:sz w:val="20"/>
        </w:rPr>
        <w:t xml:space="preserve"> (a) in the case of a Eurodollar Borrowing in dollars, not later than 2:00 p.m., New York City time, three (3) Business Days before the date of the proposed Borrowing (or, in the case of any Eurodollar Borrowing in dollars to be made on the Effective Date or in the sole discretion of the Administrative Agent, one (1) Business Day), (b) in the case of a Eurodollar Borrowing in an Alternative Currency other than Yen, not later than 2:00 p.m., New York City time, four (4) Business Days before the date of the proposed Borrowing (or any shorter period agreed by the Administrative Agent and the Revolving Lenders in their sole discretion), (c) in the case of a Eurodollar Borrowing in Yen, not later than 2:00 p.m., New York City time, five (5) Business Days before the date of the proposed Borrowing (or any shorter period agreed by the Administrative Agent and the Revolving Lenders in their sole discretion) or (d) in the case of an ABR Borrowing, not later than 11:00 a.m., New York City time, on the date of the proposed Borrowing. Each such written Borrowing Request shall specify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 specifying the Class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or a Eurodollar Borrowing;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Eurodollar Borrowing, the initial Interest Period to be applicable thereto, which shall be a period contemplated by the definition of the term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(vi) in the case of a Borrowing of Revolving Loans, the currency of such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(vii) the location and number of the applicable Borrower’s account or accounts to which funds are to be disbursed, which shall comply with the requirements of </w:t>
      </w:r>
      <w:r>
        <w:rPr>
          <w:rFonts w:ascii="Times New Roman" w:hAnsi="Times New Roman"/>
          <w:sz w:val="20"/>
          <w:u w:val="single"/>
        </w:rPr>
        <w:t>Section 2.05</w:t>
      </w:r>
      <w:r>
        <w:rPr>
          <w:rFonts w:ascii="Times New Roman" w:hAnsi="Times New Roman"/>
          <w:sz w:val="20"/>
        </w:rPr>
        <w:t xml:space="preserve">, or, in the case of any ABR Revolving Borrowing or Swingline Loan requested to finance the reimbursement of an LC Disbursement as provided in </w:t>
      </w:r>
      <w:r>
        <w:rPr>
          <w:rFonts w:ascii="Times New Roman" w:hAnsi="Times New Roman"/>
          <w:sz w:val="20"/>
          <w:u w:val="single"/>
        </w:rPr>
        <w:t>Section 2.04(f)</w:t>
      </w:r>
      <w:r>
        <w:rPr>
          <w:rFonts w:ascii="Times New Roman" w:hAnsi="Times New Roman"/>
          <w:sz w:val="20"/>
        </w:rPr>
        <w:t xml:space="preserve">, the identity of the Issuing Bank that made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(viii) that as of the date of such Borrowing, with respect to any other Borrowing after the Effective Date (other than a Certain Funds Utilization), the conditions set forth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4.02(b)</w:t>
      </w:r>
      <w:r>
        <w:rPr>
          <w:rFonts w:ascii="Times New Roman" w:hAnsi="Times New Roman"/>
          <w:sz w:val="20"/>
        </w:rPr>
        <w:t xml:space="preserve"> are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(ix) that as of the date of such Borrowing, only in respect of a Certain Funds Utilization, the conditions set forth in clauses (i) and (k) of </w:t>
      </w:r>
      <w:r>
        <w:rPr>
          <w:rFonts w:ascii="Times New Roman" w:hAnsi="Times New Roman"/>
          <w:sz w:val="20"/>
          <w:u w:val="single"/>
        </w:rPr>
        <w:t>Section 4.01</w:t>
      </w:r>
      <w:r>
        <w:rPr>
          <w:rFonts w:ascii="Times New Roman" w:hAnsi="Times New Roman"/>
          <w:sz w:val="20"/>
        </w:rPr>
        <w:t xml:space="preserve">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no election as to the Type of Borrowing is specified as to any Borrowing, then the requested Borrowing shall be a Eurodollar Borrowing. If no Interest Period is specified with respect to any requested Eurodollar Borrowing, then the applicable Borrower shall be deemed to have selected an Interest Period of one month’s duration. Promptly following receipt of a Borrowing Request in accordance with this </w:t>
      </w:r>
      <w:r>
        <w:rPr>
          <w:rFonts w:ascii="Times New Roman" w:hAnsi="Times New Roman"/>
          <w:sz w:val="20"/>
          <w:u w:val="single"/>
        </w:rPr>
        <w:t>Section 2.03</w:t>
      </w:r>
      <w:r>
        <w:rPr>
          <w:rFonts w:ascii="Times New Roman" w:hAnsi="Times New Roman"/>
          <w:sz w:val="20"/>
        </w:rPr>
        <w:t xml:space="preserve">, the Administrative Agent shall advise each Lender of the applicable Class of the details thereof and of the amount of such Lender’s Loan to be made as part of the requested Borrowing. </w:t>
      </w:r>
    </w:p>
    <w:p>
      <w:pPr>
        <w:pStyle w:val="TextBody"/>
        <w:bidi w:val="0"/>
        <w:spacing w:before="36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terms and conditions set forth herein (including </w:t>
      </w:r>
      <w:r>
        <w:rPr>
          <w:rFonts w:ascii="Times New Roman" w:hAnsi="Times New Roman"/>
          <w:sz w:val="20"/>
          <w:u w:val="single"/>
        </w:rPr>
        <w:t>Section 2.21</w:t>
      </w:r>
      <w:r>
        <w:rPr>
          <w:rFonts w:ascii="Times New Roman" w:hAnsi="Times New Roman"/>
          <w:sz w:val="20"/>
        </w:rPr>
        <w:t xml:space="preserve">), each Issuing Bank agrees, in reliance upon the agreements of the Revolving Lenders (with respect to Letters of Credit) and the Revolving Borrowers set forth in this </w:t>
      </w:r>
      <w:r>
        <w:rPr>
          <w:rFonts w:ascii="Times New Roman" w:hAnsi="Times New Roman"/>
          <w:sz w:val="20"/>
          <w:u w:val="single"/>
        </w:rPr>
        <w:t>Section 2.04</w:t>
      </w:r>
      <w:r>
        <w:rPr>
          <w:rFonts w:ascii="Times New Roman" w:hAnsi="Times New Roman"/>
          <w:sz w:val="20"/>
        </w:rPr>
        <w:t xml:space="preserve"> and elsewhere in the Loan Documents, to issue Letters of Credit denominated in dollars or an Alternative Currency for the applicable Revolving Borrower’s own account (or for the account of any Subsidiary of Bidco so long as Bidco is an obligor in respect of all Loan Document Obligations arising under or in respect of such Letter of Credit), in a form reasonably acceptable to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Bidco to, or entered into by any Revolving Borrower with, the applicable Issuing Bank relating to any Letter of Credit, including the Existing Letters of Credit,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Amendment, Renewal or Extension; Certain Conditions</w:t>
      </w:r>
      <w:r>
        <w:rPr>
          <w:rFonts w:ascii="Times New Roman" w:hAnsi="Times New Roman"/>
          <w:sz w:val="20"/>
        </w:rPr>
        <w:t xml:space="preserve">. To request the issuance of a Letter of Credit (or the amendment, renewal or extension of an outstanding Letter of Credit), the applicable Revolving Borrower shall deliver in writing by hand delivery or facsimile (or transmit by electronic communication, if arrangements for doing so have been approved by the recipient) to the applicable Issuing Bank and the Administrative Agent (at least four (4)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w:t>
      </w:r>
      <w:r>
        <w:rPr>
          <w:rFonts w:ascii="Times New Roman" w:hAnsi="Times New Roman"/>
          <w:sz w:val="20"/>
          <w:u w:val="single"/>
        </w:rPr>
        <w:t>Section 2.04</w:t>
      </w:r>
      <w:r>
        <w:rPr>
          <w:rFonts w:ascii="Times New Roman" w:hAnsi="Times New Roman"/>
          <w:sz w:val="20"/>
        </w:rPr>
        <w:t xml:space="preserve">), the amount and currency of such Letter of Credit, the name and address of the beneficiary thereof and such other information as shall be necessary to prepare, amend, renew or extend, as the case may be, such Letter of Credit. Each such notice shall be in the form of </w:t>
      </w:r>
      <w:r>
        <w:rPr>
          <w:rFonts w:ascii="Times New Roman" w:hAnsi="Times New Roman"/>
          <w:sz w:val="20"/>
          <w:u w:val="single"/>
        </w:rPr>
        <w:t>Exhibit U</w:t>
      </w:r>
      <w:r>
        <w:rPr>
          <w:rFonts w:ascii="Times New Roman" w:hAnsi="Times New Roman"/>
          <w:sz w:val="20"/>
        </w:rPr>
        <w:t>, appropriately completed (each, a “</w:t>
      </w:r>
      <w:r>
        <w:rPr>
          <w:rFonts w:ascii="Times New Roman" w:hAnsi="Times New Roman"/>
          <w:sz w:val="20"/>
          <w:u w:val="single"/>
        </w:rPr>
        <w:t>Letter of Credit Request</w:t>
      </w:r>
      <w:r>
        <w:rPr>
          <w:rFonts w:ascii="Times New Roman" w:hAnsi="Times New Roman"/>
          <w:sz w:val="20"/>
        </w:rPr>
        <w:t xml:space="preserve">”). If requested by the applicable Issuing Bank, the applicable Revolving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applicable Revolving Borrower shall be deemed to represent and warrant that), after giving effect to such issuance, amendment, renewal or extension, (i) the aggregate Revolving Exposures shall not exceed the aggregate Revolving Commitments, (ii) the aggregate LC Exposure shall not exceed the Letter of Credit Sublimit, and (iii) unless otherwise agreed by such Issuing Bank in its sole discretion, the Applicable Fronting Exposure of such Issuing Bank (or of such Issuing Bank’s applicable affiliate) shall not exceed the LC Commitment of such Issuing Bank.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such Letter of Credit is to be denominated in a currency other than dollars or an Alternative Currency, (iv) except as otherwise agreed by the Administrative Agent and such Issuing Bank, the Letter of Credit is in an initial stated amount less than $100,000, in the case of a commercial Letter of Credit, or $500,000, in the case of a standby Letter of Credit, or (v) with respect to Letters of Credit, any Lender is at that time a Defaulting Lender, if after giving effect to </w:t>
      </w:r>
      <w:r>
        <w:rPr>
          <w:rFonts w:ascii="Times New Roman" w:hAnsi="Times New Roman"/>
          <w:sz w:val="20"/>
          <w:u w:val="single"/>
        </w:rPr>
        <w:t>Section 2.21(a)(iv)</w:t>
      </w:r>
      <w:r>
        <w:rPr>
          <w:rFonts w:ascii="Times New Roman" w:hAnsi="Times New Roman"/>
          <w:sz w:val="20"/>
        </w:rPr>
        <w:t xml:space="preserve">, any Defaulting Lender Fronting Exposure remains outstanding, unless such Issuing Bank has entered into arrangements, including the delivery of cash collateral, reasonably satisfactory to such Issuing Bank with the applicable Revolving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Notwithstanding anything to the contrary herein, Barclays and UBS AG, Stamford Branch and their respective Affiliates shall not be under any obligation to issue bank guarantees or commercial Letters of Credit without their prior written consent. The Existing Letters of Credit shall, as of the Effective Date, be deemed to have been issued as Letters of Credit hereunder and subject to and governed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Each Issuing Bank agrees that it shall not permit any issuance, amendment, renewal or extension of a Letter of Credit to occur unless it shall have given to the Administrative Agent written notice thereof required under paragraph (m)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 Date</w:t>
      </w:r>
      <w:r>
        <w:rPr>
          <w:rFonts w:ascii="Times New Roman" w:hAnsi="Times New Roman"/>
          <w:sz w:val="20"/>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the fifth (5th) Business Day prior to the Revolving Maturity Date; </w:t>
      </w:r>
      <w:r>
        <w:rPr>
          <w:rFonts w:ascii="Times New Roman" w:hAnsi="Times New Roman"/>
          <w:sz w:val="20"/>
          <w:u w:val="single"/>
        </w:rPr>
        <w:t>provided</w:t>
      </w:r>
      <w:r>
        <w:rPr>
          <w:rFonts w:ascii="Times New Roman" w:hAnsi="Times New Roman"/>
          <w:sz w:val="20"/>
        </w:rPr>
        <w:t xml:space="preserve"> that if such expiry date is not a Business Day, such Letter of Credit shall expire at or prior to the close of business on the next succeeding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Letter of Credit may, upon the request of a Revolving Borrower, include a provision whereby such Letter of Credit shall be renewed or extended automatically for additional consecutive periods of one year or less (but not beyond the date that is the fifth (5th) Business Day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Participations in Letters of Credit</w:t>
      </w:r>
      <w:r>
        <w:rPr>
          <w:rFonts w:ascii="Times New Roman" w:hAnsi="Times New Roman"/>
          <w:sz w:val="20"/>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Revolving Borrowers on the date due as provided in paragraph (f) of this </w:t>
      </w:r>
      <w:r>
        <w:rPr>
          <w:rFonts w:ascii="Times New Roman" w:hAnsi="Times New Roman"/>
          <w:sz w:val="20"/>
          <w:u w:val="single"/>
        </w:rPr>
        <w:t>Section 2.04</w:t>
      </w:r>
      <w:r>
        <w:rPr>
          <w:rFonts w:ascii="Times New Roman" w:hAnsi="Times New Roman"/>
          <w:sz w:val="20"/>
        </w:rPr>
        <w:t xml:space="preserve">, or of any reimbursement payment required to be refunded to the Revolving Borrowers for any reason.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Reimbursement of LC Disbursements</w:t>
      </w:r>
      <w:r>
        <w:rPr>
          <w:rFonts w:ascii="Times New Roman" w:hAnsi="Times New Roman"/>
          <w:sz w:val="20"/>
        </w:rPr>
        <w:t>. If an Issuing Bank shall make any LC Disbursement in respect of a Letter of Credit, the Revolving Borrowers shall reimburse such LC Disbursement by paying to the Administrative Agent an amount (in same day funds) equal to such LC Disbursement not later than 1:00 p.m., New York City time, on the Business Day immediately following the day that the applicable Revolving Borrower receives notice of such LC Disbursement (the “</w:t>
      </w:r>
      <w:r>
        <w:rPr>
          <w:rFonts w:ascii="Times New Roman" w:hAnsi="Times New Roman"/>
          <w:sz w:val="20"/>
          <w:u w:val="single"/>
        </w:rPr>
        <w:t>LC Reimbursement Date</w:t>
      </w:r>
      <w:r>
        <w:rPr>
          <w:rFonts w:ascii="Times New Roman" w:hAnsi="Times New Roman"/>
          <w:sz w:val="20"/>
        </w:rPr>
        <w:t xml:space="preserve">”), together with accrued interest or fees thereon in accordance with clause (i) of this </w:t>
      </w:r>
      <w:r>
        <w:rPr>
          <w:rFonts w:ascii="Times New Roman" w:hAnsi="Times New Roman"/>
          <w:sz w:val="20"/>
          <w:u w:val="single"/>
        </w:rPr>
        <w:t>Section 2.04</w:t>
      </w:r>
      <w:r>
        <w:rPr>
          <w:rFonts w:ascii="Times New Roman" w:hAnsi="Times New Roman"/>
          <w:sz w:val="20"/>
        </w:rPr>
        <w:t xml:space="preserve">. Each reimbursement of an LC Disbursement shall be denominated in the currency in which such LC Disbursement was made. Anything contained herein to the contrary notwithstanding, (i) unless the Revolving Borrowers shall have notified the Administrative Agent and the applicable Issuing Bank prior to 1:00 p.m., New York City time, on the date such LC Disbursement is made that the applicable Revolving Borrower intends to reimburse the applicable Issuing Bank for the amount of the LC Disbursement (including any accrued interest or fees thereon) with funds other than the proceeds of Revolving Loans, the applicable Revolving Borrower shall be deemed to have given a timely Borrowing Request to the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w:t>
      </w:r>
      <w:r>
        <w:rPr>
          <w:rFonts w:ascii="Times New Roman" w:hAnsi="Times New Roman"/>
          <w:sz w:val="20"/>
          <w:u w:val="single"/>
        </w:rPr>
        <w:t>Section 4.02</w:t>
      </w:r>
      <w:r>
        <w:rPr>
          <w:rFonts w:ascii="Times New Roman" w:hAnsi="Times New Roman"/>
          <w:sz w:val="20"/>
        </w:rPr>
        <w:t xml:space="preserve">,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 the amount of such LC Disbursement (together with any accrued interest or fees thereon); </w:t>
      </w:r>
      <w:r>
        <w:rPr>
          <w:rFonts w:ascii="Times New Roman" w:hAnsi="Times New Roman"/>
          <w:sz w:val="20"/>
          <w:u w:val="single"/>
        </w:rPr>
        <w:t>provided</w:t>
      </w:r>
      <w:r>
        <w:rPr>
          <w:rFonts w:ascii="Times New Roman" w:hAnsi="Times New Roman"/>
          <w:sz w:val="20"/>
        </w:rPr>
        <w:t xml:space="preserve"> that if for any reason proceeds of Revolving Loans are not received by the applicable Issuing Bank on the LC Reimbursement Date in an amount equal to such LC Disbursement (together with any accrued interest or fees thereon), the Revolving Borrowers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xml:space="preserve">. The Revolving Borrowers’ obligation to reimburse LC Disbursements as provided in paragraph (f) of this </w:t>
      </w:r>
      <w:r>
        <w:rPr>
          <w:rFonts w:ascii="Times New Roman" w:hAnsi="Times New Roman"/>
          <w:sz w:val="20"/>
          <w:u w:val="single"/>
        </w:rPr>
        <w:t>Section 2.04</w:t>
      </w:r>
      <w:r>
        <w:rPr>
          <w:rFonts w:ascii="Times New Roman" w:hAnsi="Times New Roman"/>
          <w:sz w:val="20"/>
        </w:rPr>
        <w:t xml:space="preserve">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Revolving Borrowers or any Lender may have at any time against a beneficiary or any transferee of any Letter of Credit (or any Persons for whom any such transferee may be acting), any Issuing Bank, any Lender or any other Person or, in the case of a Lender, against the Revolving Borrowers, whether in connection herewith, the transactions contemplated herein or any unrelated transaction (including any underlying transaction between Bidco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strictly with the terms of such Letter of Credit (</w:t>
      </w:r>
      <w:r>
        <w:rPr>
          <w:rFonts w:ascii="Times New Roman" w:hAnsi="Times New Roman"/>
          <w:sz w:val="20"/>
          <w:u w:val="single"/>
        </w:rPr>
        <w:t>provided</w:t>
      </w:r>
      <w:r>
        <w:rPr>
          <w:rFonts w:ascii="Times New Roman" w:hAnsi="Times New Roman"/>
          <w:sz w:val="20"/>
        </w:rPr>
        <w:t xml:space="preserve"> that the Revolving Borrowers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Times New Roman" w:hAnsi="Times New Roman"/>
          <w:sz w:val="20"/>
          <w:u w:val="single"/>
        </w:rPr>
        <w:t>Section 2.04</w:t>
      </w:r>
      <w:r>
        <w:rPr>
          <w:rFonts w:ascii="Times New Roman" w:hAnsi="Times New Roman"/>
          <w:sz w:val="20"/>
        </w:rPr>
        <w:t xml:space="preserve">, constitute a legal or equitable discharge of, or provide a right of setoff against, the Revolving Borrowers’ obligations hereunder. As between the Revolving Borrowers and any Issuing Bank, the Revolving Borrowers assume all risks of the acts and omissions of, or misuse of the Letters of Credit issued by such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Revolving Borrowers or any other Person. Notwithstanding the foregoing, none of the above shall be construed to excuse any Issuing Bank from liability to the Revolving Borrowers to the extent of any direct damages (as opposed to special, indirect, consequential, incidental, exemplary or punitive damages, claims in respect of which are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waived by the Revolving Borrowers to the extent permitted by Requirements of Law) suffered by the Revolving Borrowers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Disbursement Procedures</w:t>
      </w:r>
      <w:r>
        <w:rPr>
          <w:rFonts w:ascii="Times New Roman" w:hAnsi="Times New Roman"/>
          <w:sz w:val="20"/>
        </w:rPr>
        <w:t xml:space="preserve">. Each Issuing Bank shall, promptly following its receipt thereof, examine all documents purporting to represent a demand for payment under a Letter of Credit. Each Issuing Bank shall promptly notify the Administrative Agent and the Revolving Borrowers by hand delivery or facsimile of such demand for payment and whether such Issuing Bank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Revolving Borrowers of their obligations to reimburse such Issuing Bank and the Revolving Lenders with respect to any such LC Disbursement in accordance with paragraph (f)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Interim Interest</w:t>
      </w:r>
      <w:r>
        <w:rPr>
          <w:rFonts w:ascii="Times New Roman" w:hAnsi="Times New Roman"/>
          <w:sz w:val="20"/>
        </w:rPr>
        <w:t xml:space="preserve">. If an Issuing Bank shall make any LC Disbursement, then, unless the Revolving Borrowers shall reimburse such LC Disbursement in full on the date such LC Disbursement is made, the unpaid amount thereof shall bear interest, for each day from and including the date such LC Disbursement is made to but excluding the date that the Revolving Borrowers reimburse such LC Disbursement, at the rate per annum then applicable to ABR Revolving Loans or, if such LC Disbursement is not denominated in dollars, at a rate per annum then applicable to Revolving Loans denominated in such currency; </w:t>
      </w:r>
      <w:r>
        <w:rPr>
          <w:rFonts w:ascii="Times New Roman" w:hAnsi="Times New Roman"/>
          <w:sz w:val="20"/>
          <w:u w:val="single"/>
        </w:rPr>
        <w:t>provided</w:t>
      </w:r>
      <w:r>
        <w:rPr>
          <w:rFonts w:ascii="Times New Roman" w:hAnsi="Times New Roman"/>
          <w:sz w:val="20"/>
        </w:rPr>
        <w:t xml:space="preserve"> that, if the Revolving Borrowers fail to reimburse such LC Disbursement when due pursuant to paragraph (f) of this </w:t>
      </w:r>
      <w:r>
        <w:rPr>
          <w:rFonts w:ascii="Times New Roman" w:hAnsi="Times New Roman"/>
          <w:sz w:val="20"/>
          <w:u w:val="single"/>
        </w:rPr>
        <w:t>Section 2.04</w:t>
      </w:r>
      <w:r>
        <w:rPr>
          <w:rFonts w:ascii="Times New Roman" w:hAnsi="Times New Roman"/>
          <w:sz w:val="20"/>
        </w:rPr>
        <w:t xml:space="preserve">, then </w:t>
      </w:r>
      <w:r>
        <w:rPr>
          <w:rFonts w:ascii="Times New Roman" w:hAnsi="Times New Roman"/>
          <w:sz w:val="20"/>
          <w:u w:val="single"/>
        </w:rPr>
        <w:t>Section 2.12(c)</w:t>
      </w:r>
      <w:r>
        <w:rPr>
          <w:rFonts w:ascii="Times New Roman" w:hAnsi="Times New Roman"/>
          <w:sz w:val="20"/>
        </w:rPr>
        <w:t xml:space="preserve"> 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Times New Roman" w:hAnsi="Times New Roman"/>
          <w:sz w:val="20"/>
          <w:u w:val="single"/>
        </w:rPr>
        <w:t>Section 2.04</w:t>
      </w:r>
      <w:r>
        <w:rPr>
          <w:rFonts w:ascii="Times New Roman" w:hAnsi="Times New Roman"/>
          <w:sz w:val="20"/>
        </w:rPr>
        <w:t xml:space="preserve"> to reimburse such Issuing Bank shall be for the account of such Lender to the extent of such payment and shall be payable on demand or, if no demand has been made, on the date on which the Revolving Borrowers reimburse the applicable LC Disbursement in full.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 of Letters of Credit</w:t>
      </w:r>
      <w:r>
        <w:rPr>
          <w:rFonts w:ascii="Times New Roman" w:hAnsi="Times New Roman"/>
          <w:sz w:val="20"/>
        </w:rPr>
        <w:t xml:space="preserve">.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w:t>
      </w:r>
      <w:r>
        <w:rPr>
          <w:rFonts w:ascii="Times New Roman" w:hAnsi="Times New Roman"/>
          <w:sz w:val="20"/>
          <w:u w:val="single"/>
        </w:rPr>
        <w:t>Section 7.01</w:t>
      </w:r>
      <w:r>
        <w:rPr>
          <w:rFonts w:ascii="Times New Roman" w:hAnsi="Times New Roman"/>
          <w:sz w:val="20"/>
        </w:rPr>
        <w:t xml:space="preserve">, or (iii) any Event of Default under paragraph (a) or (b) of </w:t>
      </w:r>
      <w:r>
        <w:rPr>
          <w:rFonts w:ascii="Times New Roman" w:hAnsi="Times New Roman"/>
          <w:sz w:val="20"/>
          <w:u w:val="single"/>
        </w:rPr>
        <w:t>Section 7.01</w:t>
      </w:r>
      <w:r>
        <w:rPr>
          <w:rFonts w:ascii="Times New Roman" w:hAnsi="Times New Roman"/>
          <w:sz w:val="20"/>
        </w:rPr>
        <w:t xml:space="preserve"> shall occur and be continuing, on the Business Day on which the Revolving Borrowers receive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Revolving Borrowers shall deposit in an account with a depositary bank that is a Lender reasonably satisfactory to the Collateral Agent, in the name of the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 an amount of cash in dollars or an Alternative Currency equal to the portions of the LC Exposure attributable to Letters of Credit, as of such date plus any accrued and unpaid interest thereon. The Revolving Borrowers also shall deposit cash collateral pursuant to this paragraph as and to the extent required by </w:t>
      </w:r>
      <w:r>
        <w:rPr>
          <w:rFonts w:ascii="Times New Roman" w:hAnsi="Times New Roman"/>
          <w:sz w:val="20"/>
          <w:u w:val="single"/>
        </w:rPr>
        <w:t>Section 2.10(b)</w:t>
      </w:r>
      <w:r>
        <w:rPr>
          <w:rFonts w:ascii="Times New Roman" w:hAnsi="Times New Roman"/>
          <w:sz w:val="20"/>
        </w:rPr>
        <w:t xml:space="preserve">. Each such deposit shall be held by the Administrative Agent as collateral for the payment and performance of the obligations of the Revolving Borrowers under this Agreement and the other Loan Documents. At any time that there shall exist a Defaulting Lender, if any Defaulting Lender Fronting Exposure remains outstanding (after giving effect to </w:t>
      </w:r>
      <w:r>
        <w:rPr>
          <w:rFonts w:ascii="Times New Roman" w:hAnsi="Times New Roman"/>
          <w:sz w:val="20"/>
          <w:u w:val="single"/>
        </w:rPr>
        <w:t>Section 2.21(a)(iv))</w:t>
      </w:r>
      <w:r>
        <w:rPr>
          <w:rFonts w:ascii="Times New Roman" w:hAnsi="Times New Roman"/>
          <w:sz w:val="20"/>
        </w:rPr>
        <w:t xml:space="preserve">, then promptly upon the request of the Administrative Agent or the Issuing Bank or the Swingline Lender, the Revolving Borrowers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Revolving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first to reimburse the Issuing Banks for LC Disbursements for which they have not been reimbursed and, to the extent not so applied, the balance shall be held for the satisfaction of the reimbursement obligations of the Revolving Borrowers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Revolving Borrowers under this Agreement. If the Revolving Borrowers are required to provide an amount of cash collateral hereunder as a result of the occurrence of an Event of Default or the existence of a Defaulting Lender, such amount (to the extent not applied as aforesaid) shall be returned to the Revolving Borrowers within three Business Days of request for such return after all Events of Default have been cured or waived or after the termination of Defaulting Lender status, as applicable. If the Revolving Borrowers are required to provide an amount of cash collateral hereunder pursuant to </w:t>
      </w:r>
      <w:r>
        <w:rPr>
          <w:rFonts w:ascii="Times New Roman" w:hAnsi="Times New Roman"/>
          <w:sz w:val="20"/>
          <w:u w:val="single"/>
        </w:rPr>
        <w:t>Section 2.10(b)</w:t>
      </w:r>
      <w:r>
        <w:rPr>
          <w:rFonts w:ascii="Times New Roman" w:hAnsi="Times New Roman"/>
          <w:sz w:val="20"/>
        </w:rPr>
        <w:t xml:space="preserve">, such amount (to the extent not applied as aforesaid) shall be returned to the Revolving Borrowers as and to the extent that, after giving effect to such return, the Revolving Borrowers would remain in compliance with </w:t>
      </w:r>
      <w:r>
        <w:rPr>
          <w:rFonts w:ascii="Times New Roman" w:hAnsi="Times New Roman"/>
          <w:sz w:val="20"/>
          <w:u w:val="single"/>
        </w:rPr>
        <w:t>Section 2.10(b)</w:t>
      </w:r>
      <w:r>
        <w:rPr>
          <w:rFonts w:ascii="Times New Roman" w:hAnsi="Times New Roman"/>
          <w:sz w:val="20"/>
        </w:rPr>
        <w:t xml:space="preserve"> and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Designation of Additional Issuing Banks</w:t>
      </w:r>
      <w:r>
        <w:rPr>
          <w:rFonts w:ascii="Times New Roman" w:hAnsi="Times New Roman"/>
          <w:sz w:val="20"/>
        </w:rPr>
        <w:t xml:space="preserve">. Bidco and the Revolving Borrowers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Bidco and the Revolving Borrowers, executed by the Revolving Borrowers,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Resignation or Termination of an Issuing Bank</w:t>
      </w:r>
      <w:r>
        <w:rPr>
          <w:rFonts w:ascii="Times New Roman" w:hAnsi="Times New Roman"/>
          <w:sz w:val="20"/>
        </w:rPr>
        <w:t xml:space="preserve">. Subject to the appointment and acceptance of a successor Issuing Bank reasonably acceptable to Bidco, any Issuing Bank may resign at any time by giving thirty (30) days’ written notice to the Administrative Agent, the Lenders, Bidco and the Revolving Borrowers. Bidco and the Revolving Borrowers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Revolving Borrowers shall pay all unpaid fees accrued for the account of the resigning or terminated Issuing Bank pursuant to </w:t>
      </w:r>
      <w:r>
        <w:rPr>
          <w:rFonts w:ascii="Times New Roman" w:hAnsi="Times New Roman"/>
          <w:sz w:val="20"/>
          <w:u w:val="single"/>
        </w:rPr>
        <w:t>Section 2.11(b)</w:t>
      </w:r>
      <w:r>
        <w:rPr>
          <w:rFonts w:ascii="Times New Roman" w:hAnsi="Times New Roman"/>
          <w:sz w:val="20"/>
        </w:rPr>
        <w:t xml:space="preserve">.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Issuing Bank Reports to the Administrative Agent</w:t>
      </w:r>
      <w:r>
        <w:rPr>
          <w:rFonts w:ascii="Times New Roman" w:hAnsi="Times New Roman"/>
          <w:sz w:val="20"/>
        </w:rPr>
        <w:t xml:space="preserve">. Unless otherwise agreed by the Administrative Agent, each Issuing Bank shall, in addition to its notification obligations set forth elsewhere in this </w:t>
      </w:r>
      <w:r>
        <w:rPr>
          <w:rFonts w:ascii="Times New Roman" w:hAnsi="Times New Roman"/>
          <w:sz w:val="20"/>
          <w:u w:val="single"/>
        </w:rPr>
        <w:t>Section 2.04</w:t>
      </w:r>
      <w:r>
        <w:rPr>
          <w:rFonts w:ascii="Times New Roman" w:hAnsi="Times New Roman"/>
          <w:sz w:val="20"/>
        </w:rPr>
        <w:t xml:space="preserve">,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Revolving Borrowers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Times New Roman" w:hAnsi="Times New Roman"/>
          <w:sz w:val="20"/>
          <w:u w:val="single"/>
        </w:rPr>
        <w:t>provided</w:t>
      </w:r>
      <w:r>
        <w:rPr>
          <w:rFonts w:ascii="Times New Roman" w:hAnsi="Times New Roman"/>
          <w:sz w:val="20"/>
        </w:rPr>
        <w:t xml:space="preserve"> that no Issuing Bank shall have any liability hereunder to any Person for any failure to deliver the reports contemplated by this paragraph (m)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Applicability of ISP and UCP</w:t>
      </w:r>
      <w:r>
        <w:rPr>
          <w:rFonts w:ascii="Times New Roman" w:hAnsi="Times New Roman"/>
          <w:sz w:val="20"/>
        </w:rPr>
        <w:t xml:space="preserve">. Unless otherwise expressly agreed by the applicable Issuing Bank and the Revolving Borrowers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Revolving Borrowers for, and the applicable Issuing Bank’s rights and remedies against the Revolving Borrowers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 </w:t>
      </w:r>
    </w:p>
    <w:p>
      <w:pPr>
        <w:pStyle w:val="TextBody"/>
        <w:bidi w:val="0"/>
        <w:spacing w:before="36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each Loan to be made by it hereunder on the proposed date thereof by wire transfer of immediately available funds by 12:00 noon (and in the case of ABR Loans, 2:00 p.m.), New York City time, to the Applicable Account of the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w:t>
      </w:r>
      <w:r>
        <w:rPr>
          <w:rFonts w:ascii="Times New Roman" w:hAnsi="Times New Roman"/>
          <w:sz w:val="20"/>
          <w:u w:val="single"/>
        </w:rPr>
        <w:t>Section 2.24</w:t>
      </w:r>
      <w:r>
        <w:rPr>
          <w:rFonts w:ascii="Times New Roman" w:hAnsi="Times New Roman"/>
          <w:sz w:val="20"/>
        </w:rPr>
        <w:t xml:space="preserve">. The Administrative Agent will make such Loans available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Borrowers by promptly crediting the amounts so received, in like funds, to an account of the applicable Borrower designated by the applicable Borrower in the applicable Borrowing Request; </w:t>
      </w:r>
      <w:r>
        <w:rPr>
          <w:rFonts w:ascii="Times New Roman" w:hAnsi="Times New Roman"/>
          <w:sz w:val="20"/>
          <w:u w:val="single"/>
        </w:rPr>
        <w:t>provided</w:t>
      </w:r>
      <w:r>
        <w:rPr>
          <w:rFonts w:ascii="Times New Roman" w:hAnsi="Times New Roman"/>
          <w:sz w:val="20"/>
        </w:rPr>
        <w:t xml:space="preserve"> that ABR Revolving Loans made to finance the reimbursement of a LC Disbursement as provided in </w:t>
      </w:r>
      <w:r>
        <w:rPr>
          <w:rFonts w:ascii="Times New Roman" w:hAnsi="Times New Roman"/>
          <w:sz w:val="20"/>
          <w:u w:val="single"/>
        </w:rPr>
        <w:t>Section 2.04(f)</w:t>
      </w:r>
      <w:r>
        <w:rPr>
          <w:rFonts w:ascii="Times New Roman" w:hAnsi="Times New Roman"/>
          <w:sz w:val="20"/>
        </w:rPr>
        <w:t xml:space="preserve"> shall be remitted by the Administrative Agent to the applicable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w:t>
      </w:r>
      <w:r>
        <w:rPr>
          <w:rFonts w:ascii="Times New Roman" w:hAnsi="Times New Roman"/>
          <w:sz w:val="20"/>
          <w:u w:val="single"/>
        </w:rPr>
        <w:t>Section 2.05</w:t>
      </w:r>
      <w:r>
        <w:rPr>
          <w:rFonts w:ascii="Times New Roman" w:hAnsi="Times New Roman"/>
          <w:sz w:val="20"/>
        </w:rPr>
        <w:t xml:space="preserve"> and may, in reliance on such assumption and in its sole discretion, make available to the Borrowers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Borrowers, and the Borrowers agree to pay such corresponding amount to the Administrative Agent forthwith on demand. If such Lender pays such amount to the Administrative Agent, then such amount shall constitute such Lender’s Loan included in such Borrowing. The Administrative Agent shall also be entitled to recover from such Lender or from the Borrowers interest on such corresponding amount,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applicable to such Borrowing in accordance with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Lenders hereunder to make Term Loans and Revolving Loans, to fund participations in Letters of Credit and Swingline Loans and to make payments pursuant to </w:t>
      </w:r>
      <w:r>
        <w:rPr>
          <w:rFonts w:ascii="Times New Roman" w:hAnsi="Times New Roman"/>
          <w:sz w:val="20"/>
          <w:u w:val="single"/>
        </w:rPr>
        <w:t>Section 9.03(c)</w:t>
      </w:r>
      <w:r>
        <w:rPr>
          <w:rFonts w:ascii="Times New Roman" w:hAnsi="Times New Roman"/>
          <w:sz w:val="20"/>
        </w:rPr>
        <w:t xml:space="preserve"> and </w:t>
      </w:r>
      <w:r>
        <w:rPr>
          <w:rFonts w:ascii="Times New Roman" w:hAnsi="Times New Roman"/>
          <w:sz w:val="20"/>
          <w:u w:val="single"/>
        </w:rPr>
        <w:t>Section 9.03(d)</w:t>
      </w:r>
      <w:r>
        <w:rPr>
          <w:rFonts w:ascii="Times New Roman" w:hAnsi="Times New Roman"/>
          <w:sz w:val="20"/>
        </w:rPr>
        <w:t xml:space="preserve"> are several and not joint. The failure of any Lender to make any Loan, to fund any such participation or to make any payment under </w:t>
      </w:r>
      <w:r>
        <w:rPr>
          <w:rFonts w:ascii="Times New Roman" w:hAnsi="Times New Roman"/>
          <w:sz w:val="20"/>
          <w:u w:val="single"/>
        </w:rPr>
        <w:t>Section 9.03(c)</w:t>
      </w:r>
      <w:r>
        <w:rPr>
          <w:rFonts w:ascii="Times New Roman" w:hAnsi="Times New Roman"/>
          <w:sz w:val="20"/>
        </w:rPr>
        <w:t xml:space="preserve"> and/or </w:t>
      </w:r>
      <w:r>
        <w:rPr>
          <w:rFonts w:ascii="Times New Roman" w:hAnsi="Times New Roman"/>
          <w:sz w:val="20"/>
          <w:u w:val="single"/>
        </w:rPr>
        <w:t>Section 9.03(d)</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sz w:val="20"/>
          <w:u w:val="single"/>
        </w:rPr>
        <w:t>Section 9.03(c)</w:t>
      </w:r>
      <w:r>
        <w:rPr>
          <w:rFonts w:ascii="Times New Roman" w:hAnsi="Times New Roman"/>
          <w:sz w:val="20"/>
        </w:rPr>
        <w:t xml:space="preserve"> and/or </w:t>
      </w:r>
      <w:r>
        <w:rPr>
          <w:rFonts w:ascii="Times New Roman" w:hAnsi="Times New Roman"/>
          <w:sz w:val="20"/>
          <w:u w:val="single"/>
        </w:rPr>
        <w:t>Section 9.03(d)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Borrowing initially shall be of the Type specified in the applicable Borrowing Request or designated by </w:t>
      </w:r>
      <w:r>
        <w:rPr>
          <w:rFonts w:ascii="Times New Roman" w:hAnsi="Times New Roman"/>
          <w:sz w:val="20"/>
          <w:u w:val="single"/>
        </w:rPr>
        <w:t>Section 2.03</w:t>
      </w:r>
      <w:r>
        <w:rPr>
          <w:rFonts w:ascii="Times New Roman" w:hAnsi="Times New Roman"/>
          <w:sz w:val="20"/>
        </w:rPr>
        <w:t xml:space="preserve"> and, in the case of a Eurodollar Borrowing, shall have an initial Interest Period as specified in such Borrowing Request or designated by </w:t>
      </w:r>
      <w:r>
        <w:rPr>
          <w:rFonts w:ascii="Times New Roman" w:hAnsi="Times New Roman"/>
          <w:sz w:val="20"/>
          <w:u w:val="single"/>
        </w:rPr>
        <w:t>Section 2.03</w:t>
      </w:r>
      <w:r>
        <w:rPr>
          <w:rFonts w:ascii="Times New Roman" w:hAnsi="Times New Roman"/>
          <w:sz w:val="20"/>
        </w:rPr>
        <w:t xml:space="preserve">. Thereafter, the Borrowers may elect to convert such Borrowing to a different Type or to continue such Borrowing and, in the case of a Eurodollar Borrowing, may elect Interest Periods therefor, all as provided in this </w:t>
      </w:r>
      <w:r>
        <w:rPr>
          <w:rFonts w:ascii="Times New Roman" w:hAnsi="Times New Roman"/>
          <w:sz w:val="20"/>
          <w:u w:val="single"/>
        </w:rPr>
        <w:t>Section 2.06</w:t>
      </w:r>
      <w:r>
        <w:rPr>
          <w:rFonts w:ascii="Times New Roman" w:hAnsi="Times New Roman"/>
          <w:sz w:val="20"/>
        </w:rPr>
        <w:t xml:space="preserve">. The Borrowers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w:t>
      </w:r>
      <w:r>
        <w:rPr>
          <w:rFonts w:ascii="Times New Roman" w:hAnsi="Times New Roman"/>
          <w:sz w:val="20"/>
          <w:u w:val="single"/>
        </w:rPr>
        <w:t>Section 2.06</w:t>
      </w:r>
      <w:r>
        <w:rPr>
          <w:rFonts w:ascii="Times New Roman" w:hAnsi="Times New Roman"/>
          <w:sz w:val="20"/>
        </w:rPr>
        <w:t xml:space="preserve">, the Borrowers shall deliver by hand delivery, facsimile or other electronic transmission to the Administrative Agent a written Interest Election Request signed by a Responsible Officer of a Borrower by the time that a Borrowing Request would be required under </w:t>
      </w:r>
      <w:r>
        <w:rPr>
          <w:rFonts w:ascii="Times New Roman" w:hAnsi="Times New Roman"/>
          <w:sz w:val="20"/>
          <w:u w:val="single"/>
        </w:rPr>
        <w:t>Section 2.03</w:t>
      </w:r>
      <w:r>
        <w:rPr>
          <w:rFonts w:ascii="Times New Roman" w:hAnsi="Times New Roman"/>
          <w:sz w:val="20"/>
        </w:rPr>
        <w:t xml:space="preserve"> if a Borrower were requesting a Borrowing of the Type resulting from such election to be made on the effective date of such election. Each such Interest Election Request shall be irrevocable and shall be confirmed promptly by hand delivery, facsimile or other electronic transmission to the Administrative Agent of a written Interest Election Request signed by a Responsible Officer of a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written Interest Election Request shall specify the following information in compliance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Eurodollar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to be a Eurodollar Borrowing, the currency and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Eurodollar Borrowing but does not specify an Interest Period, then the applicable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in accordance with this </w:t>
      </w:r>
      <w:r>
        <w:rPr>
          <w:rFonts w:ascii="Times New Roman" w:hAnsi="Times New Roman"/>
          <w:sz w:val="20"/>
          <w:u w:val="single"/>
        </w:rPr>
        <w:t>Section 2.06</w:t>
      </w:r>
      <w:r>
        <w:rPr>
          <w:rFonts w:ascii="Times New Roman" w:hAnsi="Times New Roman"/>
          <w:sz w:val="20"/>
        </w:rPr>
        <w:t xml:space="preserve">, the Administrative Agent shall advise each Lender of the applicable Class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a Borrower fails to deliver a timely Interest Election Request with respect to a Eurodollar Borrowing prior to the end of the Interest Period applicable thereto, then, unless such Borrowing is repaid as provided herein, then the applicable Borrower shall be deemed to have selected an Interest Period of one month’s duration. Notwithstanding any contrary provision hereof, if an Event of Default has occurred and is continuing and the Administrative Agent, at the request of the Required Lenders, so notifies the Borrowers, then, so long as an Event of Default is continuing (i) no outstanding Borrowing may be converted to or continued as a Eurodollar Borrowing and (ii) unless repaid, each Eurodollar Borrowing denominated in dollars shall be converted to an ABR Borrowing at the end of the Interest Period applicable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Unless previously terminated, (i) the Initial Term Commitments shall terminate at 11:59 p.m., New York City time on the Initial Term Commitment Expiration Date (</w:t>
      </w:r>
      <w:r>
        <w:rPr>
          <w:rFonts w:ascii="Times New Roman" w:hAnsi="Times New Roman"/>
          <w:sz w:val="20"/>
          <w:u w:val="single"/>
        </w:rPr>
        <w:t>provided</w:t>
      </w:r>
      <w:r>
        <w:rPr>
          <w:rFonts w:ascii="Times New Roman" w:hAnsi="Times New Roman"/>
          <w:sz w:val="20"/>
        </w:rPr>
        <w:t xml:space="preserve"> that in connection with each drawing of Initial Term Loans in accordance with </w:t>
      </w:r>
      <w:r>
        <w:rPr>
          <w:rFonts w:ascii="Times New Roman" w:hAnsi="Times New Roman"/>
          <w:sz w:val="20"/>
          <w:u w:val="single"/>
        </w:rPr>
        <w:t>Section 2.01(a)</w:t>
      </w:r>
      <w:r>
        <w:rPr>
          <w:rFonts w:ascii="Times New Roman" w:hAnsi="Times New Roman"/>
          <w:sz w:val="20"/>
        </w:rPr>
        <w:t xml:space="preserve">, the Initial Term Commitment of each Lender shall be reduced on a dollar for dollar basis by the amount of Initial Term Loans made by such Lender on the date of such drawing;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to the extent that Bidco elects prior to the Target Debt Refinancing Outside Date that any portion of the Potential Rollover Instruments shall remain outstanding in accordance with the definition of “Target Debt Refinancing Indebtedness”, the Initial Term Commitments shall be reduced on a dollar for dollar basis by an aggregate amount equal to the Rolled Over Amounts (with the Initial Term Commitments being reduced among the Lenders on a ratable basis))</w:t>
      </w:r>
      <w:r>
        <w:rPr>
          <w:rFonts w:ascii="Times New Roman" w:hAnsi="Times New Roman"/>
          <w:strike/>
          <w:color w:val="FF0000"/>
          <w:sz w:val="20"/>
        </w:rPr>
        <w:t xml:space="preserve"> and</w:t>
      </w:r>
      <w:r>
        <w:rPr>
          <w:rFonts w:ascii="Times New Roman" w:hAnsi="Times New Roman"/>
          <w:b/>
          <w:color w:val="0000FF"/>
          <w:sz w:val="20"/>
          <w:u w:val="single"/>
          <w:bdr w:val="double" w:sz="2" w:space="1" w:color="000000"/>
        </w:rPr>
        <w:t>,</w:t>
      </w:r>
      <w:r>
        <w:rPr>
          <w:rFonts w:ascii="Times New Roman" w:hAnsi="Times New Roman"/>
          <w:sz w:val="20"/>
        </w:rPr>
        <w:t xml:space="preserve"> (ii</w:t>
      </w:r>
      <w:r>
        <w:rPr>
          <w:rFonts w:ascii="Times New Roman" w:hAnsi="Times New Roman"/>
          <w:b/>
          <w:sz w:val="20"/>
        </w:rPr>
        <w:t>)</w:t>
      </w:r>
      <w:r>
        <w:rPr>
          <w:rFonts w:ascii="Times New Roman" w:hAnsi="Times New Roman"/>
          <w:color w:val="0000FF"/>
          <w:sz w:val="20"/>
          <w:u w:val="single"/>
          <w:bdr w:val="double" w:sz="2" w:space="1" w:color="000000"/>
        </w:rPr>
        <w:t xml:space="preserve"> the Term Commitments in respect of the Amendment No. 1 Refinancing Term Loans shall terminate on the Amendment No. 1 Effective Date and (iii</w:t>
      </w:r>
      <w:r>
        <w:rPr>
          <w:rFonts w:ascii="Times New Roman" w:hAnsi="Times New Roman"/>
          <w:sz w:val="20"/>
        </w:rPr>
        <w:t xml:space="preserve">) the Revolving Commitments shall terminate on the Revolving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Borrowers may at any time terminate, or from time to time reduce, the Commitments of any Class; </w:t>
      </w:r>
      <w:r>
        <w:rPr>
          <w:rFonts w:ascii="Times New Roman" w:hAnsi="Times New Roman"/>
          <w:sz w:val="20"/>
          <w:u w:val="single"/>
        </w:rPr>
        <w:t>provided</w:t>
      </w:r>
      <w:r>
        <w:rPr>
          <w:rFonts w:ascii="Times New Roman" w:hAnsi="Times New Roman"/>
          <w:sz w:val="20"/>
        </w:rPr>
        <w:t xml:space="preserve"> that (i) each reduction of the Commitments of any Class shall be in an amount that is an integral multiple of $500,000 and not less than $1,000,000 unless such amount represents all of the remaining Commitments of such Class and (ii) the Borrowers shall not terminate or reduce the Revolving Commitments of any Class if, after giving effect to any concurrent prepayment of the Revolving Loans or Swingline Loans of any Class in accordance with </w:t>
      </w:r>
      <w:r>
        <w:rPr>
          <w:rFonts w:ascii="Times New Roman" w:hAnsi="Times New Roman"/>
          <w:sz w:val="20"/>
          <w:u w:val="single"/>
        </w:rPr>
        <w:t>Section 2.10</w:t>
      </w:r>
      <w:r>
        <w:rPr>
          <w:rFonts w:ascii="Times New Roman" w:hAnsi="Times New Roman"/>
          <w:sz w:val="20"/>
        </w:rPr>
        <w:t xml:space="preserve">, the aggregate Revolving Exposures of such Class would exceed the aggregate Revolving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Borrowers shall notify the Administrative Agent of any election to terminate or reduce the Commitments under paragraph (b) of this </w:t>
      </w:r>
      <w:r>
        <w:rPr>
          <w:rFonts w:ascii="Times New Roman" w:hAnsi="Times New Roman"/>
          <w:sz w:val="20"/>
          <w:u w:val="single"/>
        </w:rPr>
        <w:t>Section 2.07</w:t>
      </w:r>
      <w:r>
        <w:rPr>
          <w:rFonts w:ascii="Times New Roman" w:hAnsi="Times New Roman"/>
          <w:sz w:val="20"/>
        </w:rPr>
        <w:t xml:space="preserve"> 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Borrowers pursuant to this </w:t>
      </w:r>
      <w:r>
        <w:rPr>
          <w:rFonts w:ascii="Times New Roman" w:hAnsi="Times New Roman"/>
          <w:sz w:val="20"/>
          <w:u w:val="single"/>
        </w:rPr>
        <w:t>Section 2.07</w:t>
      </w:r>
      <w:r>
        <w:rPr>
          <w:rFonts w:ascii="Times New Roman" w:hAnsi="Times New Roman"/>
          <w:sz w:val="20"/>
        </w:rPr>
        <w:t xml:space="preserve">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of any Class delivered by the Borrowers may state that such notice is conditioned upon the effectiveness of other credit facilities or the receipt of the proceeds from the issuance of other Indebtedness or the occurrence of some other identifiable event or condition, in which case such notice may be revoked or extended by the Borrowers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 </w:t>
      </w:r>
    </w:p>
    <w:p>
      <w:pPr>
        <w:pStyle w:val="TextBody"/>
        <w:bidi w:val="0"/>
        <w:spacing w:before="36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hereby unconditionally promise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w:t>
      </w:r>
      <w:r>
        <w:rPr>
          <w:rFonts w:ascii="Times New Roman" w:hAnsi="Times New Roman"/>
          <w:sz w:val="20"/>
          <w:u w:val="single"/>
        </w:rPr>
        <w:t>Section 2.09</w:t>
      </w:r>
      <w:r>
        <w:rPr>
          <w:rFonts w:ascii="Times New Roman" w:hAnsi="Times New Roman"/>
          <w:sz w:val="20"/>
        </w:rPr>
        <w:t xml:space="preserve">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 w:hAnsi="Times New Roman"/>
          <w:sz w:val="20"/>
          <w:u w:val="single"/>
        </w:rPr>
        <w:t>provided</w:t>
      </w:r>
      <w:r>
        <w:rPr>
          <w:rFonts w:ascii="Times New Roman" w:hAnsi="Times New Roman"/>
          <w:sz w:val="20"/>
        </w:rPr>
        <w:t xml:space="preserve"> that on each date that a Revolving Borrowing is made, the Revolving Borrowers shall repay all Swingline Loans that were outstanding on the date such Borrowing was requested.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in connection with maintenance of the Register in accordance with </w:t>
      </w:r>
      <w:r>
        <w:rPr>
          <w:rFonts w:ascii="Times New Roman" w:hAnsi="Times New Roman"/>
          <w:sz w:val="20"/>
          <w:u w:val="single"/>
        </w:rPr>
        <w:t>Section 9.04(b)(iv)</w:t>
      </w:r>
      <w:r>
        <w:rPr>
          <w:rFonts w:ascii="Times New Roman" w:hAnsi="Times New Roman"/>
          <w:sz w:val="20"/>
        </w:rPr>
        <w:t xml:space="preserve"> maintain accounts in which it shall record (i) the amount of each Loan made hereunder, the Class and Type thereof and the Interest Period applicable thereto, (ii) the amount of any principal, premium, interest or fees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(d) The entries made in the accounts maintained pursuant to paragraph (b) or (c) of this </w:t>
      </w:r>
      <w:r>
        <w:rPr>
          <w:rFonts w:ascii="Times New Roman" w:hAnsi="Times New Roman"/>
          <w:sz w:val="20"/>
          <w:u w:val="single"/>
        </w:rPr>
        <w:t>Section 2.08</w:t>
      </w:r>
      <w:r>
        <w:rPr>
          <w:rFonts w:ascii="Times New Roman" w:hAnsi="Times New Roman"/>
          <w:sz w:val="20"/>
        </w:rPr>
        <w:t xml:space="preserve">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Borrowers to pay any amounts due hereunder in accordance with the terms of this Agreement. In the event of any inconsistency between the entries made pursuant to paragraphs (b) and (c) of this </w:t>
      </w:r>
      <w:r>
        <w:rPr>
          <w:rFonts w:ascii="Times New Roman" w:hAnsi="Times New Roman"/>
          <w:sz w:val="20"/>
          <w:u w:val="single"/>
        </w:rPr>
        <w:t>Section 2.08</w:t>
      </w:r>
      <w:r>
        <w:rPr>
          <w:rFonts w:ascii="Times New Roman" w:hAnsi="Times New Roman"/>
          <w:sz w:val="20"/>
        </w:rPr>
        <w:t xml:space="preserve">, the accounts maintained by the Administrative Agent pursuant to paragraph (c) of this </w:t>
      </w:r>
      <w:r>
        <w:rPr>
          <w:rFonts w:ascii="Times New Roman" w:hAnsi="Times New Roman"/>
          <w:sz w:val="20"/>
          <w:u w:val="single"/>
        </w:rPr>
        <w:t>Section 2.08</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(e) Any Lender may request through the Administrative Agent that Loans of any Class made by it be evidenced by a Note. In such event, the Borrowers shall execute and deliver to such Lender a Note payable to such Lender (or, if requested by such Lender, to such Lender and its registered assigns). </w:t>
      </w:r>
    </w:p>
    <w:p>
      <w:pPr>
        <w:pStyle w:val="TextBody"/>
        <w:bidi w:val="0"/>
        <w:spacing w:before="36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Amortization of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pursuant to paragraph (c) of this Section 2.09 and increases in connection with fungible increases to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to reflect the equivalent amortization for such fungible increase, the Term Borrowers shall repay Borrowings of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on the last day of each March, June, September and December (commencing on </w:t>
      </w:r>
      <w:r>
        <w:rPr>
          <w:rFonts w:ascii="Times New Roman" w:hAnsi="Times New Roman"/>
          <w:strike/>
          <w:color w:val="FF0000"/>
          <w:sz w:val="20"/>
        </w:rPr>
        <w:t>June 30</w:t>
      </w:r>
      <w:r>
        <w:rPr>
          <w:rFonts w:ascii="Times New Roman" w:hAnsi="Times New Roman"/>
          <w:color w:val="0000FF"/>
          <w:sz w:val="20"/>
          <w:u w:val="single"/>
          <w:bdr w:val="double" w:sz="2" w:space="1" w:color="000000"/>
        </w:rPr>
        <w:t>March 31</w:t>
      </w:r>
      <w:r>
        <w:rPr>
          <w:rFonts w:ascii="Times New Roman" w:hAnsi="Times New Roman"/>
          <w:sz w:val="20"/>
        </w:rPr>
        <w:t xml:space="preserve">, </w:t>
      </w:r>
      <w:r>
        <w:rPr>
          <w:rFonts w:ascii="Times New Roman" w:hAnsi="Times New Roman"/>
          <w:strike/>
          <w:color w:val="FF0000"/>
          <w:sz w:val="20"/>
        </w:rPr>
        <w:t>2020</w:t>
      </w:r>
      <w:r>
        <w:rPr>
          <w:rFonts w:ascii="Times New Roman" w:hAnsi="Times New Roman"/>
          <w:color w:val="0000FF"/>
          <w:sz w:val="20"/>
          <w:u w:val="single"/>
          <w:bdr w:val="double" w:sz="2" w:space="1" w:color="000000"/>
        </w:rPr>
        <w:t>2021</w:t>
      </w:r>
      <w:r>
        <w:rPr>
          <w:rFonts w:ascii="Times New Roman" w:hAnsi="Times New Roman"/>
          <w:sz w:val="20"/>
        </w:rPr>
        <w:t xml:space="preserve">) in each case in an amount equal to </w:t>
      </w:r>
      <w:r>
        <w:rPr>
          <w:rFonts w:ascii="Times New Roman" w:hAnsi="Times New Roman"/>
          <w:strike/>
          <w:color w:val="FF0000"/>
          <w:sz w:val="20"/>
        </w:rPr>
        <w:t>0.25% of the principal amount of Initial Term Loans</w:t>
      </w:r>
      <w:r>
        <w:rPr>
          <w:rFonts w:ascii="Times New Roman" w:hAnsi="Times New Roman"/>
          <w:color w:val="0000FF"/>
          <w:sz w:val="20"/>
          <w:u w:val="single"/>
          <w:bdr w:val="double" w:sz="2" w:space="1" w:color="000000"/>
        </w:rPr>
        <w:t>$4,375,000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any such date is not a Business Day, such payment shall be due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previously paid, all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shall be due and payable on the Term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Any prepayment of a Term Borrowing of any Class (i) pursuant to </w:t>
      </w:r>
      <w:r>
        <w:rPr>
          <w:rFonts w:ascii="Times New Roman" w:hAnsi="Times New Roman"/>
          <w:sz w:val="20"/>
          <w:u w:val="single"/>
        </w:rPr>
        <w:t>Section 2.10(a)(i)</w:t>
      </w:r>
      <w:r>
        <w:rPr>
          <w:rFonts w:ascii="Times New Roman" w:hAnsi="Times New Roman"/>
          <w:sz w:val="20"/>
        </w:rPr>
        <w:t xml:space="preserve"> shall be applied to reduce the subsequent scheduled and outstanding repayments of the Term Borrowings of such Class to be made pursuant to this </w:t>
      </w:r>
      <w:r>
        <w:rPr>
          <w:rFonts w:ascii="Times New Roman" w:hAnsi="Times New Roman"/>
          <w:sz w:val="20"/>
          <w:u w:val="single"/>
        </w:rPr>
        <w:t>Section 2.09</w:t>
      </w:r>
      <w:r>
        <w:rPr>
          <w:rFonts w:ascii="Times New Roman" w:hAnsi="Times New Roman"/>
          <w:sz w:val="20"/>
        </w:rPr>
        <w:t xml:space="preserve"> as directed by Bidco or the Term Borrowers (and absent such direction, in direct order of maturity) and (ii)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shall be applied to reduce the subsequent scheduled and outstanding repayments of the Term Borrowings of such Class to be made pursuant to this </w:t>
      </w:r>
      <w:r>
        <w:rPr>
          <w:rFonts w:ascii="Times New Roman" w:hAnsi="Times New Roman"/>
          <w:sz w:val="20"/>
          <w:u w:val="single"/>
        </w:rPr>
        <w:t>Section 2.09</w:t>
      </w:r>
      <w:r>
        <w:rPr>
          <w:rFonts w:ascii="Times New Roman" w:hAnsi="Times New Roman"/>
          <w:sz w:val="20"/>
        </w:rPr>
        <w:t xml:space="preserve">, or, except as otherwise provided in any Refinancing Amendment or Loan Modification Agreement, pursuant to the corresponding section of such Refinancing Amendment or Loan Modification Agreement, as applicable, as directed by Bidco or the Term Borrowers (and absent such direction, in direct order of maturity). </w:t>
      </w:r>
    </w:p>
    <w:p>
      <w:pPr>
        <w:pStyle w:val="TextBody"/>
        <w:bidi w:val="0"/>
        <w:spacing w:before="240" w:after="0"/>
        <w:jc w:val="left"/>
        <w:rPr>
          <w:rFonts w:ascii="Times New Roman" w:hAnsi="Times New Roman"/>
          <w:sz w:val="20"/>
        </w:rPr>
      </w:pPr>
      <w:r>
        <w:rPr>
          <w:rFonts w:ascii="Times New Roman" w:hAnsi="Times New Roman"/>
          <w:sz w:val="20"/>
        </w:rPr>
        <w:t xml:space="preserve">(d) Prior to any repayment of any Term Borrowings of any Class hereunder, Bidco or the Term Borrowers shall select the Borrowing or Borrowings of the applicable Class to be repaid and shall notify the Administrative Agent by hand delivery or facsimile of such election not later than 2:00 p.m., New York City time, one (1) Business Day before the scheduled date of such repayment. In the absence of a designation by Bidco or the Term Borrowers as described in the preceding sentence, the Administrative Agent shall make such designation in its reasonable discretion with a view, but no obligation, to minimize breakage costs owing under </w:t>
      </w:r>
      <w:r>
        <w:rPr>
          <w:rFonts w:ascii="Times New Roman" w:hAnsi="Times New Roman"/>
          <w:sz w:val="20"/>
          <w:u w:val="single"/>
        </w:rPr>
        <w:t>Section 2.15</w:t>
      </w:r>
      <w:r>
        <w:rPr>
          <w:rFonts w:ascii="Times New Roman" w:hAnsi="Times New Roman"/>
          <w:sz w:val="20"/>
        </w:rPr>
        <w:t xml:space="preserve"> and shall be applied in direct order of maturity. Each repayment of a Borrowing shall be applied ratably to the Loans included in the repaid Borrowing. Repayments of Term Borrowings shall be accompanied by accrued interest on the amount repaid. </w:t>
      </w:r>
    </w:p>
    <w:p>
      <w:pPr>
        <w:pStyle w:val="TextBody"/>
        <w:bidi w:val="0"/>
        <w:spacing w:before="36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Borrowers shall have the right at any time and from time to time to prepay any Borrowing in whole or in part, without premium or penalty; </w:t>
      </w:r>
      <w:r>
        <w:rPr>
          <w:rFonts w:ascii="Times New Roman" w:hAnsi="Times New Roman"/>
          <w:sz w:val="20"/>
          <w:u w:val="single"/>
        </w:rPr>
        <w:t>provided</w:t>
      </w:r>
      <w:r>
        <w:rPr>
          <w:rFonts w:ascii="Times New Roman" w:hAnsi="Times New Roman"/>
          <w:sz w:val="20"/>
        </w:rPr>
        <w:t xml:space="preserve"> that in the event that, prior to the date that is </w:t>
      </w:r>
      <w:r>
        <w:rPr>
          <w:rFonts w:ascii="Times New Roman" w:hAnsi="Times New Roman"/>
          <w:strike/>
          <w:color w:val="FF0000"/>
          <w:sz w:val="20"/>
        </w:rPr>
        <w:t>12</w:t>
      </w:r>
      <w:r>
        <w:rPr>
          <w:rFonts w:ascii="Times New Roman" w:hAnsi="Times New Roman"/>
          <w:color w:val="0000FF"/>
          <w:sz w:val="20"/>
          <w:u w:val="single"/>
          <w:bdr w:val="double" w:sz="2" w:space="1" w:color="000000"/>
        </w:rPr>
        <w:t>six (6)</w:t>
      </w:r>
      <w:r>
        <w:rPr>
          <w:rFonts w:ascii="Times New Roman" w:hAnsi="Times New Roman"/>
          <w:sz w:val="20"/>
        </w:rPr>
        <w:t xml:space="preserve"> months after the </w:t>
      </w:r>
      <w:r>
        <w:rPr>
          <w:rFonts w:ascii="Times New Roman" w:hAnsi="Times New Roman"/>
          <w:color w:val="0000FF"/>
          <w:sz w:val="20"/>
          <w:u w:val="single"/>
          <w:bdr w:val="double" w:sz="2" w:space="1" w:color="000000"/>
        </w:rPr>
        <w:t>Amendment No. 1</w:t>
      </w:r>
      <w:r>
        <w:rPr>
          <w:rFonts w:ascii="Times New Roman" w:hAnsi="Times New Roman"/>
          <w:sz w:val="20"/>
        </w:rPr>
        <w:t xml:space="preserve"> Effective Date, the Borrowers enter into any Repricing Transaction, the Borrowers shall pay to the Administrative Agent, for the ratable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of each of the applicable Term Lenders, (I) in the case of clause (a) of the definition of “Repricing Transaction”, a prepayment premium of 1.00% of the principal amount of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being prepaid in connection with such Repricing Transaction or (II) in the case of clause (b) of the definition of “Repricing Transaction”, an amount equal to 1.00% of the aggregate amount of the applicable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outstanding immediately prior to such amendment that are subject to an effective pricing reduction pursuant to such Repricing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any Loan Document to the contrary, so long as no Default or Event of Default has occurred and is continuing, Holdings, any Intermediate Parent, Bidco or any of their respective Subsidiaries may offer to prepay all or a portion of the outstanding Term Loans on the following basis: </w:t>
      </w:r>
    </w:p>
    <w:p>
      <w:pPr>
        <w:pStyle w:val="TextBody"/>
        <w:bidi w:val="0"/>
        <w:spacing w:before="120" w:after="0"/>
        <w:jc w:val="left"/>
        <w:rPr>
          <w:rFonts w:ascii="Times New Roman" w:hAnsi="Times New Roman"/>
          <w:sz w:val="20"/>
        </w:rPr>
      </w:pPr>
      <w:r>
        <w:rPr>
          <w:rFonts w:ascii="Times New Roman" w:hAnsi="Times New Roman"/>
          <w:sz w:val="20"/>
        </w:rPr>
        <w:t>(A) Holdings, any Intermediate Parent, Bidco or any of their respective Subsidiaries shall have the right to make a voluntary prepayment of Term Loans at a discount to par (such prepayment, the “</w:t>
      </w:r>
      <w:r>
        <w:rPr>
          <w:rFonts w:ascii="Times New Roman" w:hAnsi="Times New Roman"/>
          <w:sz w:val="20"/>
          <w:u w:val="single"/>
        </w:rPr>
        <w:t>Discounted Term Loan Prepayment</w:t>
      </w:r>
      <w:r>
        <w:rPr>
          <w:rFonts w:ascii="Times New Roman" w:hAnsi="Times New Roman"/>
          <w:sz w:val="20"/>
        </w:rPr>
        <w:t xml:space="preserve">”) pursuant to a Borrower Offer of Specified Discount Prepayment, Borrower Solicitation of Discount Range Prepayment Offers or Borrower Solicitation of Discounted Prepayment Offers, in each case made in accordance with this </w:t>
      </w:r>
      <w:r>
        <w:rPr>
          <w:rFonts w:ascii="Times New Roman" w:hAnsi="Times New Roman"/>
          <w:sz w:val="20"/>
          <w:u w:val="single"/>
        </w:rPr>
        <w:t>Section 2.10(a)(ii)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Holdings, any Intermediate Parent, Bidco or any of their respective Subsidiaries shall not make any Borrowing of Revolving Loans or Swingline Loans to fund any Discounted Term Loan Prepayment and (y) Holdings, any Intermediate Parent, Bidco or any of their respective Subsidiaries shall not initiate any action under this </w:t>
      </w:r>
      <w:r>
        <w:rPr>
          <w:rFonts w:ascii="Times New Roman" w:hAnsi="Times New Roman"/>
          <w:sz w:val="20"/>
          <w:u w:val="single"/>
        </w:rPr>
        <w:t>Section 2.10(a)(ii)</w:t>
      </w:r>
      <w:r>
        <w:rPr>
          <w:rFonts w:ascii="Times New Roman" w:hAnsi="Times New Roman"/>
          <w:sz w:val="20"/>
        </w:rPr>
        <w:t xml:space="preserve"> in order to make a Discounted Term Loan Prepayment unless (I) at least ten (10) Business Days shall have passed since the consummation of the most recent Discounted Term Loan Prepayment as a result of a prepayment made by Holdings, any Intermediate Parent, Bidco or any of their respective Subsidiaries on the applicable Discounted Prepayment Effective Date; or (II) at least three (3) Business Days shall have passed since the date Holdings, any Intermediate Parent, Bidco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any Intermediate Parent’s, Bidco or any of their respective Subsidiaries’ election not to accept any Solicited Discounted Prepayment Offers and (z) each Lender participating in any Discounted Term Loan Prepayment acknowledges and agrees that in connection with such Discounted Term Loan Prepayment, (1) the Borrowers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hAnsi="Times New Roman"/>
          <w:sz w:val="20"/>
          <w:u w:val="single"/>
        </w:rPr>
        <w:t>Excluded Information</w:t>
      </w:r>
      <w:r>
        <w:rPr>
          <w:rFonts w:ascii="Times New Roman" w:hAnsi="Times New Roman"/>
          <w:sz w:val="20"/>
        </w:rPr>
        <w:t xml:space="preserve">”), (2) such Lender has independently and, without reliance on Holdings, any of its subsidiaries, the 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Excluded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 Loan that is prepaid will be automatically and irrevocably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(1) Subject to the proviso to subsection (A) above, Holdings, any Intermediate Parent, Bidco or any of their respective Subsidiaries may from time to time offer to make a Discounted Term Loan Prepayment by providing the Auction Agent with three (3) Business Days’ notice in the form of a Specified Discount Prepayment Notice; provided that (I) any such offer shall be made available, at the sole discretion of Holdings, any Intermediate Parent, Bidco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hAnsi="Times New Roman"/>
          <w:sz w:val="20"/>
          <w:u w:val="single"/>
        </w:rPr>
        <w:t>Specified Discount Prepayment Amount</w:t>
      </w:r>
      <w:r>
        <w:rPr>
          <w:rFonts w:ascii="Times New Roman" w:hAnsi="Times New Roman"/>
          <w:sz w:val="20"/>
        </w:rPr>
        <w:t>”) with respect to each applicable tranche, the tranche or tranches of Term Loans subject to such offer and the specific percentage discount to par (the “</w:t>
      </w:r>
      <w:r>
        <w:rPr>
          <w:rFonts w:ascii="Times New Roman" w:hAnsi="Times New Roman"/>
          <w:sz w:val="20"/>
          <w:u w:val="single"/>
        </w:rPr>
        <w:t>Specified Discount</w:t>
      </w:r>
      <w:r>
        <w:rPr>
          <w:rFonts w:ascii="Times New Roman" w:hAnsi="Times New Roman"/>
          <w:sz w:val="20"/>
        </w:rPr>
        <w:t xml:space="preserve">”)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Specified Discount Prepayment Response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hAnsi="Times New Roman"/>
          <w:sz w:val="20"/>
          <w:u w:val="single"/>
        </w:rPr>
        <w:t>Discount Prepayment Accepting Lender</w:t>
      </w:r>
      <w:r>
        <w:rPr>
          <w:rFonts w:ascii="Times New Roman" w:hAnsi="Times New Roman"/>
          <w:sz w:val="20"/>
        </w:rPr>
        <w:t xml:space="preserve">”),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w:t>
      </w:r>
    </w:p>
    <w:p>
      <w:pPr>
        <w:pStyle w:val="TextBody"/>
        <w:bidi w:val="0"/>
        <w:spacing w:before="120" w:after="0"/>
        <w:jc w:val="left"/>
        <w:rPr>
          <w:rFonts w:ascii="Times New Roman" w:hAnsi="Times New Roman"/>
          <w:sz w:val="20"/>
        </w:rPr>
      </w:pPr>
      <w:r>
        <w:rPr>
          <w:rFonts w:ascii="Times New Roman" w:hAnsi="Times New Roman"/>
          <w:sz w:val="20"/>
        </w:rPr>
        <w:t xml:space="preserve">(3) If there is at least one Discount Prepayment Accepting Lender, Holdings, any Intermediate Parent, Bidco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hAnsi="Times New Roman"/>
          <w:sz w:val="20"/>
          <w:u w:val="single"/>
        </w:rPr>
        <w:t>provided</w:t>
      </w:r>
      <w:r>
        <w:rPr>
          <w:rFonts w:ascii="Times New Roman" w:hAnsi="Times New Roman"/>
          <w:sz w:val="20"/>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Intermediate Parent, Bidco or any of their respective Subsidiaries and subject to rounding requirements of the Auction Agent made in its reasonable discretion) will calculate such proration (the “</w:t>
      </w:r>
      <w:r>
        <w:rPr>
          <w:rFonts w:ascii="Times New Roman" w:hAnsi="Times New Roman"/>
          <w:sz w:val="20"/>
          <w:u w:val="single"/>
        </w:rPr>
        <w:t>Specified Discount Proration</w:t>
      </w:r>
      <w:r>
        <w:rPr>
          <w:rFonts w:ascii="Times New Roman" w:hAnsi="Times New Roman"/>
          <w:sz w:val="20"/>
        </w:rPr>
        <w:t xml:space="preserve">”). The Auction Agent shall promptly, and in any case within three (3) Business Days following the Specified Discount Prepayment Response Date, notify (I) Holdings, any Intermediate Parent, Bidco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Holdings, any Intermediate Parent, Bidco or any of their respective Subsidiaries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(C) (1) Subject to the proviso to subsection (A) above, Holdings, any Intermediate Parent, Bidco or any of their respective Subsidiaries may from time to time solicit Discount Range Prepayment Offers by providing the Auction Agent with three (3) Business Days’ notice in the form of a Discount Range Prepayment Notice; provided that (I) any such solicitation shall be extended, at the sole discretion of Holdings, any Intermediate Parent, Bidco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hAnsi="Times New Roman"/>
          <w:sz w:val="20"/>
          <w:u w:val="single"/>
        </w:rPr>
        <w:t>Discount Range Prepayment Amount</w:t>
      </w:r>
      <w:r>
        <w:rPr>
          <w:rFonts w:ascii="Times New Roman" w:hAnsi="Times New Roman"/>
          <w:sz w:val="20"/>
        </w:rPr>
        <w:t>”), the tranche or tranches of Term Loans subject to such offer and the maximum and minimum percentage discounts to par (the “</w:t>
      </w:r>
      <w:r>
        <w:rPr>
          <w:rFonts w:ascii="Times New Roman" w:hAnsi="Times New Roman"/>
          <w:sz w:val="20"/>
          <w:u w:val="single"/>
        </w:rPr>
        <w:t>Discount Range</w:t>
      </w:r>
      <w:r>
        <w:rPr>
          <w:rFonts w:ascii="Times New Roman" w:hAnsi="Times New Roman"/>
          <w:sz w:val="20"/>
        </w:rPr>
        <w:t xml:space="preserve">”) of the principal amount of such Term Loans with respect to each relevant tranche of Term Loans willing to be prepaid by Holdings, any Intermediate Parent, Bidco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Discount Range Prepayment Amount shall be in an aggregate amount not less than $1,000,000 and whole increments of $500,000 in excess thereof and (IV) each such solicitation by Holdings, any Intermediate Parent, Bidco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Discount Range Prepayment Response Date</w:t>
      </w:r>
      <w:r>
        <w:rPr>
          <w:rFonts w:ascii="Times New Roman" w:hAnsi="Times New Roman"/>
          <w:sz w:val="20"/>
        </w:rPr>
        <w:t>”). Each relevant Term Lender’s Discount Range Prepayment Offer shall be irrevocable and shall specify a discount to par within the Discount Range (the “</w:t>
      </w:r>
      <w:r>
        <w:rPr>
          <w:rFonts w:ascii="Times New Roman" w:hAnsi="Times New Roman"/>
          <w:sz w:val="20"/>
          <w:u w:val="single"/>
        </w:rPr>
        <w:t>Submitted Discount</w:t>
      </w:r>
      <w:r>
        <w:rPr>
          <w:rFonts w:ascii="Times New Roman" w:hAnsi="Times New Roman"/>
          <w:sz w:val="20"/>
        </w:rPr>
        <w:t xml:space="preserve">”) at which such Term Lender is willing to allow prepayment of any or all of its then outstanding Term Loans of the applicable tranche or tranches and the maximum aggregate principal amount and tranches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Lender’s Term Loans (the “</w:t>
      </w:r>
      <w:r>
        <w:rPr>
          <w:rFonts w:ascii="Times New Roman" w:hAnsi="Times New Roman"/>
          <w:sz w:val="20"/>
          <w:u w:val="single"/>
        </w:rPr>
        <w:t>Submitted Amount</w:t>
      </w:r>
      <w:r>
        <w:rPr>
          <w:rFonts w:ascii="Times New Roman" w:hAnsi="Times New Roman"/>
          <w:sz w:val="20"/>
        </w:rPr>
        <w:t xml:space="preserve">”)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w:t>
      </w:r>
    </w:p>
    <w:p>
      <w:pPr>
        <w:pStyle w:val="TextBody"/>
        <w:bidi w:val="0"/>
        <w:spacing w:before="120" w:after="0"/>
        <w:jc w:val="left"/>
        <w:rPr>
          <w:rFonts w:ascii="Times New Roman" w:hAnsi="Times New Roman"/>
          <w:sz w:val="20"/>
        </w:rPr>
      </w:pPr>
      <w:r>
        <w:rPr>
          <w:rFonts w:ascii="Times New Roman" w:hAnsi="Times New Roman"/>
          <w:sz w:val="20"/>
        </w:rPr>
        <w:t>(2) The Auction Agent shall review all Discount Range Prepayment Offers received on or before the applicable Discount Range Prepayment Response Date and shall determine (in consultation with Holdings, any Intermediate Parent, Bidco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Bidco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hAnsi="Times New Roman"/>
          <w:sz w:val="20"/>
          <w:u w:val="single"/>
        </w:rPr>
        <w:t>Applicable Discount</w:t>
      </w:r>
      <w:r>
        <w:rPr>
          <w:rFonts w:ascii="Times New Roman" w:hAnsi="Times New Roman"/>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hAnsi="Times New Roman"/>
          <w:sz w:val="20"/>
          <w:u w:val="single"/>
        </w:rPr>
        <w:t>Participating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If there is at least one Participating Lender, Holdings, any Intermediate Parent, Bidco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hAnsi="Times New Roman"/>
          <w:sz w:val="20"/>
          <w:u w:val="single"/>
        </w:rPr>
        <w:t>provided</w:t>
      </w:r>
      <w:r>
        <w:rPr>
          <w:rFonts w:ascii="Times New Roman" w:hAnsi="Times New Roman"/>
          <w:sz w:val="20"/>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hAnsi="Times New Roman"/>
          <w:sz w:val="20"/>
          <w:u w:val="single"/>
        </w:rPr>
        <w:t>Identified Participating Lenders</w:t>
      </w:r>
      <w:r>
        <w:rPr>
          <w:rFonts w:ascii="Times New Roman" w:hAnsi="Times New Roman"/>
          <w:sz w:val="20"/>
        </w:rPr>
        <w:t>”) shall be made pro-rata among the Identified Participating Lenders in accordance with the Submitted Amount of each such Identified Participating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 w:hAnsi="Times New Roman"/>
          <w:sz w:val="20"/>
          <w:u w:val="single"/>
        </w:rPr>
        <w:t>Discount Range Proration</w:t>
      </w:r>
      <w:r>
        <w:rPr>
          <w:rFonts w:ascii="Times New Roman" w:hAnsi="Times New Roman"/>
          <w:sz w:val="20"/>
        </w:rPr>
        <w:t xml:space="preserve">”). The Auction Agent shall promptly, and in any case within five (5) Business Days following the Discount Range Prepayment Response Date, notify (I) Holdings, any Intermediate Parent, Bidco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prepaid at the Applicable Discount on such date, and if applicable, each Identified Participating Lender of the Discount Range Proration.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the Borrowers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(D) (1) Subject to the proviso to subsection (A) above, Holdings, any Intermediate Parent, Bidco or any of their respective Subsidiaries may from time to time solicit Solicited Discounted Prepayment Offers by providing the Auction Agent with three (3) Business Days’ notice in the form of a Solicited Discounted Prepayment Notice; </w:t>
      </w:r>
      <w:r>
        <w:rPr>
          <w:rFonts w:ascii="Times New Roman" w:hAnsi="Times New Roman"/>
          <w:sz w:val="20"/>
          <w:u w:val="single"/>
        </w:rPr>
        <w:t>provided</w:t>
      </w:r>
      <w:r>
        <w:rPr>
          <w:rFonts w:ascii="Times New Roman" w:hAnsi="Times New Roman"/>
          <w:sz w:val="20"/>
        </w:rPr>
        <w:t xml:space="preserve"> that (I) any such solicitation shall be extended, at the sole discretion of Holdings, any Intermediate Parent, Bidco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hAnsi="Times New Roman"/>
          <w:sz w:val="20"/>
          <w:u w:val="single"/>
        </w:rPr>
        <w:t>Solicited Discounted Prepayment Amount</w:t>
      </w:r>
      <w:r>
        <w:rPr>
          <w:rFonts w:ascii="Times New Roman" w:hAnsi="Times New Roman"/>
          <w:sz w:val="20"/>
        </w:rPr>
        <w:t xml:space="preserve">”) and the tranche or tranches of Term Loans Holdings, any Intermediate Parent, Bidco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Solicited Discounted Prepayment Amount shall be in an aggregate amount not less than $1,000,000 and whole increments of $500,000 in excess thereof and (IV) each such solicitation by Holdings, any Intermediate Parent, Bidco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Solicited Discounted Prepayment Response Date</w:t>
      </w:r>
      <w:r>
        <w:rPr>
          <w:rFonts w:ascii="Times New Roman" w:hAnsi="Times New Roman"/>
          <w:sz w:val="20"/>
        </w:rPr>
        <w:t>”). Each Term Lender’s Solicited Discounted Prepayment Offer shall (x) be irrevocable, (y) remain outstanding until the Acceptance Date, and (z) specify both a discount to par (the “</w:t>
      </w:r>
      <w:r>
        <w:rPr>
          <w:rFonts w:ascii="Times New Roman" w:hAnsi="Times New Roman"/>
          <w:sz w:val="20"/>
          <w:u w:val="single"/>
        </w:rPr>
        <w:t>Offered Discount</w:t>
      </w:r>
      <w:r>
        <w:rPr>
          <w:rFonts w:ascii="Times New Roman" w:hAnsi="Times New Roman"/>
          <w:sz w:val="20"/>
        </w:rPr>
        <w:t>”) such Term Lender is willing to allow to be applied to the prepayment of its then outstanding Term Loan and the maximum aggregate principal amount and tranches of such Term Loans (the “</w:t>
      </w:r>
      <w:r>
        <w:rPr>
          <w:rFonts w:ascii="Times New Roman" w:hAnsi="Times New Roman"/>
          <w:sz w:val="20"/>
          <w:u w:val="single"/>
        </w:rPr>
        <w:t>Offered Amount</w:t>
      </w:r>
      <w:r>
        <w:rPr>
          <w:rFonts w:ascii="Times New Roman" w:hAnsi="Times New Roman"/>
          <w:sz w:val="20"/>
        </w:rPr>
        <w:t xml:space="preserve">”)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 </w:t>
      </w:r>
    </w:p>
    <w:p>
      <w:pPr>
        <w:pStyle w:val="TextBody"/>
        <w:bidi w:val="0"/>
        <w:spacing w:before="120" w:after="0"/>
        <w:jc w:val="left"/>
        <w:rPr>
          <w:rFonts w:ascii="Times New Roman" w:hAnsi="Times New Roman"/>
          <w:sz w:val="20"/>
        </w:rPr>
      </w:pPr>
      <w:r>
        <w:rPr>
          <w:rFonts w:ascii="Times New Roman" w:hAnsi="Times New Roman"/>
          <w:sz w:val="20"/>
        </w:rPr>
        <w:t xml:space="preserve">(2) The Auction Agent shall promptly provide Holdings, any Intermediate Parent, Bidco or any of their respective Subsidiaries with a copy of all Solicited Discounted Prepayment Offers received on or before the Solicited Discounted Prepayment Response Date. Holdings, any Intermediate Parent, Bidco, or any of their respective Subsidiaries shall review all such Solicited Discounted Prepayment Offers and select the largest of the Offered Discounts specified by the relevant responding Term Lenders in the Solicited Discounted Prepayment Offers that is acceptable to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Intermediate Parent, Bidco or any of their respective Subsidiaries (the “</w:t>
      </w:r>
      <w:r>
        <w:rPr>
          <w:rFonts w:ascii="Times New Roman" w:hAnsi="Times New Roman"/>
          <w:sz w:val="20"/>
          <w:u w:val="single"/>
        </w:rPr>
        <w:t>Acceptable Discount</w:t>
      </w:r>
      <w:r>
        <w:rPr>
          <w:rFonts w:ascii="Times New Roman" w:hAnsi="Times New Roman"/>
          <w:sz w:val="20"/>
        </w:rPr>
        <w:t>”), if any. If Holdings, any Intermediate Parent, Bidco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Bidco or any of their respective Subsidiaries from the Auction Agent of a copy of all Solicited Discounted Prepayment Offers pursuant to the first sentence of this subsection (2) (the “</w:t>
      </w:r>
      <w:r>
        <w:rPr>
          <w:rFonts w:ascii="Times New Roman" w:hAnsi="Times New Roman"/>
          <w:sz w:val="20"/>
          <w:u w:val="single"/>
        </w:rPr>
        <w:t>Acceptance Date</w:t>
      </w:r>
      <w:r>
        <w:rPr>
          <w:rFonts w:ascii="Times New Roman" w:hAnsi="Times New Roman"/>
          <w:sz w:val="20"/>
        </w:rPr>
        <w:t xml:space="preserve">”), Holdings, any Intermediate Parent, Bidco or any of their respective Subsidiaries shall submit an Acceptance and Prepayment Notice to the Auction Agent setting forth the Acceptable Discount. If the Auction Agent shall fail to receive an Acceptance and Prepayment Notice from Holdings, any Intermediate Parent, Bidco or any of their respective Subsidiaries by the Acceptance Date, Holdings, any Intermediate Parent, Bidco or any of their respective Subsidiaries shall be deemed to have rejected all Solicited Discounted Prepayment Offers. </w:t>
      </w:r>
    </w:p>
    <w:p>
      <w:pPr>
        <w:pStyle w:val="TextBody"/>
        <w:bidi w:val="0"/>
        <w:spacing w:before="120" w:after="0"/>
        <w:jc w:val="left"/>
        <w:rPr>
          <w:rFonts w:ascii="Times New Roman" w:hAnsi="Times New Roman"/>
          <w:sz w:val="20"/>
        </w:rPr>
      </w:pPr>
      <w:r>
        <w:rPr>
          <w:rFonts w:ascii="Times New Roman" w:hAnsi="Times New Roman"/>
          <w:sz w:val="20"/>
        </w:rPr>
        <w:t>(3) 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hAnsi="Times New Roman"/>
          <w:sz w:val="20"/>
          <w:u w:val="single"/>
        </w:rPr>
        <w:t>Discounted Prepayment Determination Date</w:t>
      </w:r>
      <w:r>
        <w:rPr>
          <w:rFonts w:ascii="Times New Roman" w:hAnsi="Times New Roman"/>
          <w:sz w:val="20"/>
        </w:rPr>
        <w:t>”), the Auction Agent will determine (in consultation with Holdings, any Intermediate Parent, Bidco or any of their respective Subsidiaries and subject to rounding requirements of the Auction Agent made in its sole reasonable discretion) the aggregate principal amount and the tranches of Term Loans (the “</w:t>
      </w:r>
      <w:r>
        <w:rPr>
          <w:rFonts w:ascii="Times New Roman" w:hAnsi="Times New Roman"/>
          <w:sz w:val="20"/>
          <w:u w:val="single"/>
        </w:rPr>
        <w:t>Acceptable Prepayment Amount</w:t>
      </w:r>
      <w:r>
        <w:rPr>
          <w:rFonts w:ascii="Times New Roman" w:hAnsi="Times New Roman"/>
          <w:sz w:val="20"/>
        </w:rPr>
        <w:t xml:space="preserve">”) to be prepaid by Holdings, any Intermediate Parent, Bidco or any of their respective Subsidiaries at the Acceptable Discount in accordance with this </w:t>
      </w:r>
      <w:r>
        <w:rPr>
          <w:rFonts w:ascii="Times New Roman" w:hAnsi="Times New Roman"/>
          <w:sz w:val="20"/>
          <w:u w:val="single"/>
        </w:rPr>
        <w:t>Section 2.10(a)(ii)(D)</w:t>
      </w:r>
      <w:r>
        <w:rPr>
          <w:rFonts w:ascii="Times New Roman" w:hAnsi="Times New Roman"/>
          <w:sz w:val="20"/>
        </w:rPr>
        <w:t>. If Holdings, any Intermediate Parent, Bidco or any of their respective Subsidiaries elects to accept any Acceptable Discount, then Holdings, any Intermediate Parent, Bidco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hAnsi="Times New Roman"/>
          <w:sz w:val="20"/>
          <w:u w:val="single"/>
        </w:rPr>
        <w:t>Qualifying Lender</w:t>
      </w:r>
      <w:r>
        <w:rPr>
          <w:rFonts w:ascii="Times New Roman" w:hAnsi="Times New Roman"/>
          <w:sz w:val="20"/>
        </w:rPr>
        <w:t xml:space="preserve">”). Holdings, any Intermediate Parent, Bidco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hAnsi="Times New Roman"/>
          <w:sz w:val="20"/>
          <w:u w:val="single"/>
        </w:rPr>
        <w:t>provided</w:t>
      </w:r>
      <w:r>
        <w:rPr>
          <w:rFonts w:ascii="Times New Roman" w:hAnsi="Times New Roman"/>
          <w:sz w:val="20"/>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hAnsi="Times New Roman"/>
          <w:sz w:val="20"/>
          <w:u w:val="single"/>
        </w:rPr>
        <w:t>Identified Qualifying Lenders</w:t>
      </w:r>
      <w:r>
        <w:rPr>
          <w:rFonts w:ascii="Times New Roman" w:hAnsi="Times New Roman"/>
          <w:sz w:val="20"/>
        </w:rPr>
        <w:t>”) shall be made pro-rata among the Identified Qualifying Lenders in accordance with the Offered Amount of each such Identified Qualifying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 w:hAnsi="Times New Roman"/>
          <w:sz w:val="20"/>
          <w:u w:val="single"/>
        </w:rPr>
        <w:t>Solicited Discount Proration</w:t>
      </w:r>
      <w:r>
        <w:rPr>
          <w:rFonts w:ascii="Times New Roman" w:hAnsi="Times New Roman"/>
          <w:sz w:val="20"/>
        </w:rPr>
        <w:t xml:space="preserve">”). On or prior to the Discounted Prepayment Determination Date, the Auction Agent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promptly notify (I) Holdings, any Intermediate Parent, Bidco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Borrowers and Lenders shall be conclusive and binding for all purposes absent manifest error. The payment amount specified in such notice to the Borrowers shall be due and payable by the Borrowers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Discounted Term Loan Prepayment, Holdings, any Intermediate Parent, Bidco or any of its Subsidiaries and the Lenders acknowledge and agree that the Auction Agent may require as a condition to any Discounted Term Loan Prepayment, the payment of reasonable and customary fees and expenses from Holdings, any Intermediate Parent, the Borrowers or any of their respective Subsidiaries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(F) If any Term Loan is prepaid in accordance with paragraphs (B) through (D) above, Holdings, any Intermediate Parent, Bidco or any of their respective Subsidiaries shall prepay such Term Loans on the Discounted Prepayment Effective Date. Holdings, any Intermediate Parent, the Borrowers or any of their respective Subsidiaries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 w:hAnsi="Times New Roman"/>
          <w:sz w:val="20"/>
          <w:u w:val="single"/>
        </w:rPr>
        <w:t>Section 2.10(a)(ii)</w:t>
      </w:r>
      <w:r>
        <w:rPr>
          <w:rFonts w:ascii="Times New Roman" w:hAnsi="Times New Roman"/>
          <w:sz w:val="20"/>
        </w:rPr>
        <w:t xml:space="preserve">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w:t>
      </w:r>
    </w:p>
    <w:p>
      <w:pPr>
        <w:pStyle w:val="TextBody"/>
        <w:bidi w:val="0"/>
        <w:spacing w:before="120" w:after="0"/>
        <w:jc w:val="left"/>
        <w:rPr>
          <w:rFonts w:ascii="Times New Roman" w:hAnsi="Times New Roman"/>
          <w:sz w:val="20"/>
        </w:rPr>
      </w:pPr>
      <w:r>
        <w:rPr>
          <w:rFonts w:ascii="Times New Roman" w:hAnsi="Times New Roman"/>
          <w:sz w:val="20"/>
        </w:rPr>
        <w:t xml:space="preserve">(G) To the extent not expressly provided for herein, each Discounted Term Loan Prepayment shall be consummated pursuant to procedures consistent with the provisions in this </w:t>
      </w:r>
      <w:r>
        <w:rPr>
          <w:rFonts w:ascii="Times New Roman" w:hAnsi="Times New Roman"/>
          <w:sz w:val="20"/>
          <w:u w:val="single"/>
        </w:rPr>
        <w:t>Section 2.10(a)(ii)</w:t>
      </w:r>
      <w:r>
        <w:rPr>
          <w:rFonts w:ascii="Times New Roman" w:hAnsi="Times New Roman"/>
          <w:sz w:val="20"/>
        </w:rPr>
        <w:t xml:space="preserve">, established by the Auction Agent acting in its reasonable discretion and as reasonably agreed by Holdings, any Intermediate Parent, Bidco or any of their respective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in any Loan Document to the contrary, for purposes of this </w:t>
      </w:r>
      <w:r>
        <w:rPr>
          <w:rFonts w:ascii="Times New Roman" w:hAnsi="Times New Roman"/>
          <w:sz w:val="20"/>
          <w:u w:val="single"/>
        </w:rPr>
        <w:t>Section 2.10(a)(ii)</w:t>
      </w:r>
      <w:r>
        <w:rPr>
          <w:rFonts w:ascii="Times New Roman" w:hAnsi="Times New Roman"/>
          <w:sz w:val="20"/>
        </w:rPr>
        <w:t xml:space="preserve">, each notice or other communication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or otherwise provided to the Auction Agent (or its delegate) shall be deemed to have been given upon Auction Agent’s (or its delegate’s) actual receipt during normal business hours of such notice or communication; </w:t>
      </w:r>
      <w:r>
        <w:rPr>
          <w:rFonts w:ascii="Times New Roman" w:hAnsi="Times New Roman"/>
          <w:sz w:val="20"/>
          <w:u w:val="single"/>
        </w:rPr>
        <w:t>provided</w:t>
      </w:r>
      <w:r>
        <w:rPr>
          <w:rFonts w:ascii="Times New Roman" w:hAnsi="Times New Roman"/>
          <w:sz w:val="20"/>
        </w:rPr>
        <w:t xml:space="preserve"> that any notice or communication actually received outside of normal business hours shall be deemed to have been given as of the opening of business on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(I) Each of Holdings, any Intermediate Parent, Bidco or any of their respective Subsidiaries and the Lenders acknowledges and agrees that the Auction Agent may perform any and all of its duties under this </w:t>
      </w:r>
      <w:r>
        <w:rPr>
          <w:rFonts w:ascii="Times New Roman" w:hAnsi="Times New Roman"/>
          <w:sz w:val="20"/>
          <w:u w:val="single"/>
        </w:rPr>
        <w:t>Section 2.10(a)(ii)</w:t>
      </w:r>
      <w:r>
        <w:rPr>
          <w:rFonts w:ascii="Times New Roman" w:hAnsi="Times New Roman"/>
          <w:sz w:val="20"/>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hAnsi="Times New Roman"/>
          <w:sz w:val="20"/>
          <w:u w:val="single"/>
        </w:rPr>
        <w:t>Section 2.10(a)(ii)</w:t>
      </w:r>
      <w:r>
        <w:rPr>
          <w:rFonts w:ascii="Times New Roman" w:hAnsi="Times New Roman"/>
          <w:sz w:val="20"/>
        </w:rPr>
        <w:t xml:space="preserve"> as well as activities of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(J) Holdings, any Intermediate Parent, Bidco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Borrowers to make any prepayment to a Term Lender, as applicable, pursuant to this </w:t>
      </w:r>
      <w:r>
        <w:rPr>
          <w:rFonts w:ascii="Times New Roman" w:hAnsi="Times New Roman"/>
          <w:sz w:val="20"/>
          <w:u w:val="single"/>
        </w:rPr>
        <w:t>Section 2.10(a)(ii)</w:t>
      </w:r>
      <w:r>
        <w:rPr>
          <w:rFonts w:ascii="Times New Roman" w:hAnsi="Times New Roman"/>
          <w:sz w:val="20"/>
        </w:rPr>
        <w:t xml:space="preserve"> shall not constitute a Default or Event of Default under </w:t>
      </w:r>
      <w:r>
        <w:rPr>
          <w:rFonts w:ascii="Times New Roman" w:hAnsi="Times New Roman"/>
          <w:sz w:val="20"/>
          <w:u w:val="single"/>
        </w:rPr>
        <w:t>Section 7.01</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and on each occasion that (i) the aggregate Revolving Exposures of any Class exceed the aggregate Revolving Commitments of such Class, Bidco or the Revolving Borrowers shall prepay Revolving Borrowings or Swingline Loans of such Class (or, if no such Borrowings are outstanding, deposit cash collateral in an account with a depositary bank that is a Lender reasonably satisfactory to the Collateral Agent pursuant to </w:t>
      </w:r>
      <w:r>
        <w:rPr>
          <w:rFonts w:ascii="Times New Roman" w:hAnsi="Times New Roman"/>
          <w:sz w:val="20"/>
          <w:u w:val="single"/>
        </w:rPr>
        <w:t>Section 2.04(j))</w:t>
      </w:r>
      <w:r>
        <w:rPr>
          <w:rFonts w:ascii="Times New Roman" w:hAnsi="Times New Roman"/>
          <w:sz w:val="20"/>
        </w:rPr>
        <w:t xml:space="preserve"> in an aggregate amount necessary to eliminate such excess or (ii) any Net Proceeds are received by or on behalf of Bidco or any of the Restricted Subsidiaries in respect of any Prepayment Event described in clause (b) of the definition thereof, Bidco or the Term Borrowers shall, on the date of such Prepayment Event, prepay Term Loans in an aggregate amount equal to 100% of such Net Proceeds; </w:t>
      </w:r>
      <w:r>
        <w:rPr>
          <w:rFonts w:ascii="Times New Roman" w:hAnsi="Times New Roman"/>
          <w:sz w:val="20"/>
          <w:u w:val="single"/>
        </w:rPr>
        <w:t>provided</w:t>
      </w:r>
      <w:r>
        <w:rPr>
          <w:rFonts w:ascii="Times New Roman" w:hAnsi="Times New Roman"/>
          <w:sz w:val="20"/>
        </w:rPr>
        <w:t xml:space="preserve"> that if the prepayment arising from such Prepayment Event occurs prior to the date that is </w:t>
      </w:r>
      <w:r>
        <w:rPr>
          <w:rFonts w:ascii="Times New Roman" w:hAnsi="Times New Roman"/>
          <w:strike/>
          <w:color w:val="FF0000"/>
          <w:sz w:val="20"/>
        </w:rPr>
        <w:t>12</w:t>
      </w:r>
      <w:r>
        <w:rPr>
          <w:rFonts w:ascii="Times New Roman" w:hAnsi="Times New Roman"/>
          <w:color w:val="0000FF"/>
          <w:sz w:val="20"/>
          <w:u w:val="single"/>
          <w:bdr w:val="double" w:sz="2" w:space="1" w:color="000000"/>
        </w:rPr>
        <w:t>six (6)</w:t>
      </w:r>
      <w:r>
        <w:rPr>
          <w:rFonts w:ascii="Times New Roman" w:hAnsi="Times New Roman"/>
          <w:sz w:val="20"/>
        </w:rPr>
        <w:t xml:space="preserve"> months following the </w:t>
      </w:r>
      <w:r>
        <w:rPr>
          <w:rFonts w:ascii="Times New Roman" w:hAnsi="Times New Roman"/>
          <w:color w:val="0000FF"/>
          <w:sz w:val="20"/>
          <w:u w:val="single"/>
          <w:bdr w:val="double" w:sz="2" w:space="1" w:color="000000"/>
        </w:rPr>
        <w:t>Amendment No. 1</w:t>
      </w:r>
      <w:r>
        <w:rPr>
          <w:rFonts w:ascii="Times New Roman" w:hAnsi="Times New Roman"/>
          <w:sz w:val="20"/>
        </w:rPr>
        <w:t xml:space="preserve"> Effective Date and is in connection with a Repricing Transaction, Bidco or the Term Borrowers shall pay to the Administrative Agent, for the ratable account of each of the applicable Term Lenders, a prepayment premium of 1.00% of the principal amount of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w:t>
      </w:r>
      <w:r>
        <w:rPr>
          <w:rFonts w:ascii="Times New Roman" w:hAnsi="Times New Roman"/>
          <w:b/>
          <w:color w:val="0000FF"/>
          <w:sz w:val="20"/>
          <w:u w:val="single"/>
          <w:bdr w:val="double" w:sz="2" w:space="1" w:color="000000"/>
        </w:rPr>
        <w:t>1</w:t>
      </w:r>
      <w:r>
        <w:rPr>
          <w:rFonts w:ascii="Times New Roman" w:hAnsi="Times New Roman"/>
          <w:color w:val="0000FF"/>
          <w:sz w:val="20"/>
          <w:u w:val="single"/>
          <w:bdr w:val="double" w:sz="2" w:space="1" w:color="000000"/>
        </w:rPr>
        <w:t xml:space="preserve"> Refinancing</w:t>
      </w:r>
      <w:r>
        <w:rPr>
          <w:rFonts w:ascii="Times New Roman" w:hAnsi="Times New Roman"/>
          <w:sz w:val="20"/>
        </w:rPr>
        <w:t xml:space="preserve"> Term Loans being prepaid in connection with such Repricing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may use a portion of such Net Proceeds to prepay or repurchase any other Indebtedness that is secured by the Collateral on a pari passu basis with the Secured Obligations to the extent such other Indebtedness and the Liens securing the same are not prohibited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provisions of </w:t>
      </w:r>
      <w:r>
        <w:rPr>
          <w:rFonts w:ascii="Times New Roman" w:hAnsi="Times New Roman"/>
          <w:sz w:val="20"/>
          <w:u w:val="single"/>
        </w:rPr>
        <w:t>Section 6.04(b)</w:t>
      </w:r>
      <w:r>
        <w:rPr>
          <w:rFonts w:ascii="Times New Roman" w:hAnsi="Times New Roman"/>
          <w:sz w:val="20"/>
        </w:rPr>
        <w:t xml:space="preserve">, in the event and on each occasion that any Net Proceeds are received by or on behalf of Bidco or any of the Restricted Subsidiaries in respect of any Prepayment Event described in clause (a) of the definition thereof, Bidco or the Term Borrowers shall, within five (5) Business Days after such Net Proceeds are received, prepay Term Loans in an aggregate amount equal to 100% of such Net Proceeds; </w:t>
      </w:r>
      <w:r>
        <w:rPr>
          <w:rFonts w:ascii="Times New Roman" w:hAnsi="Times New Roman"/>
          <w:sz w:val="20"/>
          <w:u w:val="single"/>
        </w:rPr>
        <w:t>provided</w:t>
      </w:r>
      <w:r>
        <w:rPr>
          <w:rFonts w:ascii="Times New Roman" w:hAnsi="Times New Roman"/>
          <w:sz w:val="20"/>
        </w:rPr>
        <w:t xml:space="preserve"> that Bidco and the Borrowers may use a portion of such Net Proceeds to prepay or repurchase any other Indebtedness that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end of each fiscal year of Bidco, commencing with the fiscal year ending December 31, 2020, Bidco or the Borrowers shall prepay Term Loans in an aggregate amount equal to the excess of (x) the ECF Percentage of Excess Cash Flow for such fiscal year over (y) the greater of (i) $75,000,000 and (ii) 10% of Consolidated EBITDA for the most recently ended Test Period as of such date, calculated on a Pro Forma Basis; </w:t>
      </w:r>
      <w:r>
        <w:rPr>
          <w:rFonts w:ascii="Times New Roman" w:hAnsi="Times New Roman"/>
          <w:sz w:val="20"/>
          <w:u w:val="single"/>
        </w:rPr>
        <w:t>provided</w:t>
      </w:r>
      <w:r>
        <w:rPr>
          <w:rFonts w:ascii="Times New Roman" w:hAnsi="Times New Roman"/>
          <w:sz w:val="20"/>
        </w:rPr>
        <w:t xml:space="preserve"> that such amount shall, at the option of Bidco, be reduced on a dollar-for-dollar basis for such fiscal year by: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prepayments and repurchases of (A) Term Loans (and to the extent the Revolving Commitments are reduced in a corresponding amount pursuant to </w:t>
      </w:r>
      <w:r>
        <w:rPr>
          <w:rFonts w:ascii="Times New Roman" w:hAnsi="Times New Roman"/>
          <w:sz w:val="20"/>
          <w:u w:val="single"/>
        </w:rPr>
        <w:t>Section 2.07</w:t>
      </w:r>
      <w:r>
        <w:rPr>
          <w:rFonts w:ascii="Times New Roman" w:hAnsi="Times New Roman"/>
          <w:sz w:val="20"/>
        </w:rPr>
        <w:t xml:space="preserve">, Revolving Loans) made pursuant to </w:t>
      </w:r>
      <w:r>
        <w:rPr>
          <w:rFonts w:ascii="Times New Roman" w:hAnsi="Times New Roman"/>
          <w:sz w:val="20"/>
          <w:u w:val="single"/>
        </w:rPr>
        <w:t>Section 2.10(a)</w:t>
      </w:r>
      <w:r>
        <w:rPr>
          <w:rFonts w:ascii="Times New Roman" w:hAnsi="Times New Roman"/>
          <w:sz w:val="20"/>
        </w:rPr>
        <w:t xml:space="preserve"> (or otherwise in a manner not prohibited by </w:t>
      </w:r>
      <w:r>
        <w:rPr>
          <w:rFonts w:ascii="Times New Roman" w:hAnsi="Times New Roman"/>
          <w:sz w:val="20"/>
          <w:u w:val="single"/>
        </w:rPr>
        <w:t>Section 9.04(g))</w:t>
      </w:r>
      <w:r>
        <w:rPr>
          <w:rFonts w:ascii="Times New Roman" w:hAnsi="Times New Roman"/>
          <w:sz w:val="20"/>
        </w:rPr>
        <w:t xml:space="preserve"> and (B) other Consolidated Senior Secured First Lien Indebtedness, in each case during such fiscal year (without duplication of amounts deducted pursuant to this clause (i) in prior fiscal years), or after such fiscal year and on or prior to the 90th day after the end of such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such reduction as a result of prepayments pursuant to </w:t>
      </w:r>
      <w:r>
        <w:rPr>
          <w:rFonts w:ascii="Times New Roman" w:hAnsi="Times New Roman"/>
          <w:sz w:val="20"/>
          <w:u w:val="single"/>
        </w:rPr>
        <w:t>Section 2.10(a)(ii)</w:t>
      </w:r>
      <w:r>
        <w:rPr>
          <w:rFonts w:ascii="Times New Roman" w:hAnsi="Times New Roman"/>
          <w:sz w:val="20"/>
        </w:rPr>
        <w:t xml:space="preserve"> or </w:t>
      </w:r>
      <w:r>
        <w:rPr>
          <w:rFonts w:ascii="Times New Roman" w:hAnsi="Times New Roman"/>
          <w:sz w:val="20"/>
          <w:u w:val="single"/>
        </w:rPr>
        <w:t>Section 9.04(g)</w:t>
      </w:r>
      <w:r>
        <w:rPr>
          <w:rFonts w:ascii="Times New Roman" w:hAnsi="Times New Roman"/>
          <w:sz w:val="20"/>
        </w:rPr>
        <w:t xml:space="preserve"> shall be limited to the actual amount of such cash prepayment, (2) in the case of the prepayment of any revolving commitments, there is a corresponding reduction in commitments and (3) such reduction shall exclude all such prepayments funded with the proceeds of other long-term Indebtedness (other than the Revolving Loans); and </w:t>
      </w:r>
    </w:p>
    <w:p>
      <w:pPr>
        <w:pStyle w:val="TextBody"/>
        <w:bidi w:val="0"/>
        <w:spacing w:before="120" w:after="0"/>
        <w:jc w:val="left"/>
        <w:rPr>
          <w:rFonts w:ascii="Times New Roman" w:hAnsi="Times New Roman"/>
          <w:sz w:val="20"/>
        </w:rPr>
      </w:pPr>
      <w:r>
        <w:rPr>
          <w:rFonts w:ascii="Times New Roman" w:hAnsi="Times New Roman"/>
          <w:sz w:val="20"/>
        </w:rPr>
        <w:t xml:space="preserve">(ii) in each case without duplication of any such reduction from the definition of “Excess Cash Flow” by such amounts, by the aggregate amount of clauses (b)(ii), (vi), (vii), (viii), (ix), (x), (xi), (xii), (xiii) and (xiv) of the definition of “Excess Cash Flow” for such fiscal year and on or prior to the 90th day after the end of such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reduction shall exclude all such payments funded with the proceeds of other long-term Indebtedness (other than the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foregoing to the contrary, at Bidco’s option, (1) the Senior Secured First Lien Net Leverage Ratio in the definition of “ECF Percentage” shall be recalculated to give Pro Forma Effect to any amount referred to in proviso clauses (i) and (ii) above that is paid or otherwise realized or accounted for after the end of the applicable fiscal year but prior to the making of the Excess Cash Flow payment required for such fiscal year and (2) any payments and cash uses under clauses (i) and (ii) above that have not been applied to reduce the payments which may be due from time to time pursuant to this </w:t>
      </w:r>
      <w:r>
        <w:rPr>
          <w:rFonts w:ascii="Times New Roman" w:hAnsi="Times New Roman"/>
          <w:sz w:val="20"/>
          <w:u w:val="single"/>
        </w:rPr>
        <w:t>Section 2.10(d)</w:t>
      </w:r>
      <w:r>
        <w:rPr>
          <w:rFonts w:ascii="Times New Roman" w:hAnsi="Times New Roman"/>
          <w:sz w:val="20"/>
        </w:rPr>
        <w:t xml:space="preserve"> shall be carried over to subsequent periods, and may reduce the payments due from time to time pursuant to this </w:t>
      </w:r>
      <w:r>
        <w:rPr>
          <w:rFonts w:ascii="Times New Roman" w:hAnsi="Times New Roman"/>
          <w:sz w:val="20"/>
          <w:u w:val="single"/>
        </w:rPr>
        <w:t>Section 2.10(d)</w:t>
      </w:r>
      <w:r>
        <w:rPr>
          <w:rFonts w:ascii="Times New Roman" w:hAnsi="Times New Roman"/>
          <w:sz w:val="20"/>
        </w:rPr>
        <w:t xml:space="preserve"> during such subsequent periods (until such time as such payments and cash uses are so applied to reduce such payments which may be due from time to time). Each prepayment pursuant to this </w:t>
      </w:r>
      <w:r>
        <w:rPr>
          <w:rFonts w:ascii="Times New Roman" w:hAnsi="Times New Roman"/>
          <w:sz w:val="20"/>
          <w:u w:val="single"/>
        </w:rPr>
        <w:t>Section 2.10(d)</w:t>
      </w:r>
      <w:r>
        <w:rPr>
          <w:rFonts w:ascii="Times New Roman" w:hAnsi="Times New Roman"/>
          <w:sz w:val="20"/>
        </w:rPr>
        <w:t xml:space="preserve"> shall be made on or before the date that is ten (10) days after the date on which financial statements are required to be delivered pursuant to </w:t>
      </w:r>
      <w:r>
        <w:rPr>
          <w:rFonts w:ascii="Times New Roman" w:hAnsi="Times New Roman"/>
          <w:sz w:val="20"/>
          <w:u w:val="single"/>
        </w:rPr>
        <w:t>Section 5.01</w:t>
      </w:r>
      <w:r>
        <w:rPr>
          <w:rFonts w:ascii="Times New Roman" w:hAnsi="Times New Roman"/>
          <w:sz w:val="20"/>
        </w:rPr>
        <w:t xml:space="preserve"> with respect to the fiscal year for which Excess Cash Flow is being calculated.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Prior to any optional prepayment of Borrowings pursuant to </w:t>
      </w:r>
      <w:r>
        <w:rPr>
          <w:rFonts w:ascii="Times New Roman" w:hAnsi="Times New Roman"/>
          <w:sz w:val="20"/>
          <w:u w:val="single"/>
        </w:rPr>
        <w:t>Section 2.10(a)(i)</w:t>
      </w:r>
      <w:r>
        <w:rPr>
          <w:rFonts w:ascii="Times New Roman" w:hAnsi="Times New Roman"/>
          <w:sz w:val="20"/>
        </w:rPr>
        <w:t xml:space="preserve">, Bidco or the Borrowers shall select the Borrowing or Borrowings to be prepaid and shall specify such selection in the notice of such prepayment pursuant to paragraph (f) of this </w:t>
      </w:r>
      <w:r>
        <w:rPr>
          <w:rFonts w:ascii="Times New Roman" w:hAnsi="Times New Roman"/>
          <w:sz w:val="20"/>
          <w:u w:val="single"/>
        </w:rPr>
        <w:t>Section 2.10</w:t>
      </w:r>
      <w:r>
        <w:rPr>
          <w:rFonts w:ascii="Times New Roman" w:hAnsi="Times New Roman"/>
          <w:sz w:val="20"/>
        </w:rPr>
        <w:t xml:space="preserve">. In the event of any mandatory prepayment of Term Borrowings made at a time when Term Borrowings of more than one Class remain outstanding, Bidco or the Borrowers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Times New Roman" w:hAnsi="Times New Roman"/>
          <w:sz w:val="20"/>
          <w:u w:val="single"/>
        </w:rPr>
        <w:t>provided</w:t>
      </w:r>
      <w:r>
        <w:rPr>
          <w:rFonts w:ascii="Times New Roman" w:hAnsi="Times New Roman"/>
          <w:sz w:val="20"/>
        </w:rPr>
        <w:t xml:space="preserve"> that any Term Lender may elect, by notice to the Administrative Agent by facsimile at least two (2) Business Days (or in the case of prepayments of any Term Loans that are ABR Loans, one (1) Business Day) prior to the prepayment date, to decline all or any portion of any prepayment of its Term Loans of any such Class pursuant to this </w:t>
      </w:r>
      <w:r>
        <w:rPr>
          <w:rFonts w:ascii="Times New Roman" w:hAnsi="Times New Roman"/>
          <w:sz w:val="20"/>
          <w:u w:val="single"/>
        </w:rPr>
        <w:t>Section 2.10</w:t>
      </w:r>
      <w:r>
        <w:rPr>
          <w:rFonts w:ascii="Times New Roman" w:hAnsi="Times New Roman"/>
          <w:sz w:val="20"/>
        </w:rPr>
        <w:t xml:space="preserve"> (other than an optional prepayment pursuant to paragraph (a)(i) of this </w:t>
      </w:r>
      <w:r>
        <w:rPr>
          <w:rFonts w:ascii="Times New Roman" w:hAnsi="Times New Roman"/>
          <w:sz w:val="20"/>
          <w:u w:val="single"/>
        </w:rPr>
        <w:t>Section 2.10</w:t>
      </w:r>
      <w:r>
        <w:rPr>
          <w:rFonts w:ascii="Times New Roman" w:hAnsi="Times New Roman"/>
          <w:sz w:val="20"/>
        </w:rPr>
        <w:t xml:space="preserve"> or a mandatory prepayment as a result of the Prepayment Event set forth in clause (b) of the definition thereof, which may not be declined), in which case the aggregate amount of the prepayment that would have been applied to prepay Term Loans of any such Class but was so declined (and not used pursuant to the immediately following sentence) shall be retained by Bidco (such amounts, “</w:t>
      </w:r>
      <w:r>
        <w:rPr>
          <w:rFonts w:ascii="Times New Roman" w:hAnsi="Times New Roman"/>
          <w:sz w:val="20"/>
          <w:u w:val="single"/>
        </w:rPr>
        <w:t>Retained Declined Proceeds</w:t>
      </w:r>
      <w:r>
        <w:rPr>
          <w:rFonts w:ascii="Times New Roman" w:hAnsi="Times New Roman"/>
          <w:sz w:val="20"/>
        </w:rPr>
        <w:t xml:space="preserve">”). Optional prepayments of Term Borrowings shall be allocated among the Classes of Term Borrowings as directed by Bidco or the Borrowers. In the absence of a designation by Bidco or the Borrowers as described in the preceding provisions of this paragraph of the Type of Borrowing of any Class, the Administrative Agent shall make such designation in its reasonable discretion with a view, but no obligation, to minimize breakage costs owing under </w:t>
      </w:r>
      <w:r>
        <w:rPr>
          <w:rFonts w:ascii="Times New Roman" w:hAnsi="Times New Roman"/>
          <w:sz w:val="20"/>
          <w:u w:val="single"/>
        </w:rPr>
        <w:t>Section 2.15</w:t>
      </w:r>
      <w:r>
        <w:rPr>
          <w:rFonts w:ascii="Times New Roman" w:hAnsi="Times New Roman"/>
          <w:sz w:val="20"/>
        </w:rPr>
        <w:t xml:space="preserve"> and shall be applied in direct order of maturity; </w:t>
      </w:r>
      <w:r>
        <w:rPr>
          <w:rFonts w:ascii="Times New Roman" w:hAnsi="Times New Roman"/>
          <w:sz w:val="20"/>
          <w:u w:val="single"/>
        </w:rPr>
        <w:t>provided</w:t>
      </w:r>
      <w:r>
        <w:rPr>
          <w:rFonts w:ascii="Times New Roman" w:hAnsi="Times New Roman"/>
          <w:sz w:val="20"/>
        </w:rPr>
        <w:t xml:space="preserve"> that, in connection with any mandatory prepayments by Bidco or the Borrowers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such prepayments shall be applied on a pro rata basis to the then outstanding Term Loans being prepaid irrespective of whether such outstanding Term Loans are ABR Loans or Eurodollar Loans. </w:t>
      </w:r>
    </w:p>
    <w:p>
      <w:pPr>
        <w:pStyle w:val="TextBody"/>
        <w:bidi w:val="0"/>
        <w:spacing w:before="240" w:after="0"/>
        <w:jc w:val="left"/>
        <w:rPr>
          <w:rFonts w:ascii="Times New Roman" w:hAnsi="Times New Roman"/>
          <w:sz w:val="20"/>
        </w:rPr>
      </w:pPr>
      <w:r>
        <w:rPr>
          <w:rFonts w:ascii="Times New Roman" w:hAnsi="Times New Roman"/>
          <w:sz w:val="20"/>
        </w:rPr>
        <w:t xml:space="preserve">(f) Bidco or the Borrowers shall notify the Administrative Agent (and, in the case of prepayment of a Swingline Loan, the Swingline Lender) of any prepayment hereunder by hand delivery, facsimile or other electronic transmission of a written Prepayment Notice signed by Bidco or a Borrower substantially in the form of </w:t>
      </w:r>
      <w:r>
        <w:rPr>
          <w:rFonts w:ascii="Times New Roman" w:hAnsi="Times New Roman"/>
          <w:sz w:val="20"/>
          <w:u w:val="single"/>
        </w:rPr>
        <w:t>Exhibit X</w:t>
      </w:r>
      <w:r>
        <w:rPr>
          <w:rFonts w:ascii="Times New Roman" w:hAnsi="Times New Roman"/>
          <w:sz w:val="20"/>
        </w:rPr>
        <w:t xml:space="preserve"> (i) in the case of prepayment of a Eurodollar Borrowing, not later than 11:00 a.m., New York City time, three (3) Business Days before the date of prepayment (or, in the sole discretion of the Administrative Agent, one (1) Business Day) or (ii) in the case of prepayment of an ABR Borrowing, not later than 11:00 a.m., New York City time, one (1) 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hAnsi="Times New Roman"/>
          <w:sz w:val="20"/>
          <w:u w:val="single"/>
        </w:rPr>
        <w:t>provided</w:t>
      </w:r>
      <w:r>
        <w:rPr>
          <w:rFonts w:ascii="Times New Roman" w:hAnsi="Times New Roman"/>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extended by Bidco or the Borrowers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hAnsi="Times New Roman"/>
          <w:sz w:val="20"/>
          <w:u w:val="single"/>
        </w:rPr>
        <w:t>Section 2.02</w:t>
      </w:r>
      <w:r>
        <w:rPr>
          <w:rFonts w:ascii="Times New Roman" w:hAnsi="Times New Roman"/>
          <w:sz w:val="2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 w:hAnsi="Times New Roman"/>
          <w:sz w:val="20"/>
          <w:u w:val="single"/>
        </w:rPr>
        <w:t>Section 2.12</w:t>
      </w:r>
      <w:r>
        <w:rPr>
          <w:rFonts w:ascii="Times New Roman" w:hAnsi="Times New Roman"/>
          <w:sz w:val="20"/>
        </w:rPr>
        <w:t xml:space="preserve">, and subject to </w:t>
      </w:r>
      <w:r>
        <w:rPr>
          <w:rFonts w:ascii="Times New Roman" w:hAnsi="Times New Roman"/>
          <w:sz w:val="20"/>
          <w:u w:val="single"/>
        </w:rPr>
        <w:t>Section 2.10(a)(i)</w:t>
      </w:r>
      <w:r>
        <w:rPr>
          <w:rFonts w:ascii="Times New Roman" w:hAnsi="Times New Roman"/>
          <w:sz w:val="20"/>
        </w:rPr>
        <w:t xml:space="preserve">, shall be without premium or penalty. At Bidco’s or the Borrowers’ election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any prepayment pursuant to this </w:t>
      </w:r>
      <w:r>
        <w:rPr>
          <w:rFonts w:ascii="Times New Roman" w:hAnsi="Times New Roman"/>
          <w:sz w:val="20"/>
          <w:u w:val="single"/>
        </w:rPr>
        <w:t>Section 2.10</w:t>
      </w:r>
      <w:r>
        <w:rPr>
          <w:rFonts w:ascii="Times New Roman" w:hAnsi="Times New Roman"/>
          <w:sz w:val="20"/>
        </w:rPr>
        <w:t xml:space="preserve">, such prepayment shall not be applied to any Term Loan or Revolving Loan of a Defaulting Lender (under any of subclauses (a), (b) or (c) of the definition of “Defaulting Lender”) and shall be allocated ratably among the relevant non-Defaulting Lenders.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 other provisions of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to the extent that any of or all the Net Proceeds of any Prepayment Event by or Excess Cash Flow of a Foreign Subsidiary of Bidco giving rise to a prepayment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 “</w:t>
      </w:r>
      <w:r>
        <w:rPr>
          <w:rFonts w:ascii="Times New Roman" w:hAnsi="Times New Roman"/>
          <w:sz w:val="20"/>
          <w:u w:val="single"/>
        </w:rPr>
        <w:t>Foreign Prepayment Event</w:t>
      </w:r>
      <w:r>
        <w:rPr>
          <w:rFonts w:ascii="Times New Roman" w:hAnsi="Times New Roman"/>
          <w:sz w:val="20"/>
        </w:rPr>
        <w:t xml:space="preserve">”) are prohibited or delayed by applicable local law from being repatriated to Bidco, the portion of such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as the case may be, and such amounts may be retained by such Subsidiary, and once Bidco has determined in good faith that such repatriation of any of such affected Net Proceeds or Excess Cash Flow is permitted under the applicable local law, then the amount of such Net Proceeds or Excess Cash Flow will be taken into account as soon as practicable in determining the amount to be applied (net of additional taxes payable or reserved if such amounts were repatriated) to the repayment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as applicable, (B) to the extent that and for so long as Bidco has determined in good faith that repatriation of any of or all the Net Proceeds of any Foreign Prepayment Event or Excess Cash Flow would have a material adverse tax or cost consequence with respect to such Net Proceeds or Excess Cash Flow, the amount of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the case may be, and such amounts may be retained by such Subsidiary; </w:t>
      </w:r>
      <w:r>
        <w:rPr>
          <w:rFonts w:ascii="Times New Roman" w:hAnsi="Times New Roman"/>
          <w:sz w:val="20"/>
          <w:u w:val="single"/>
        </w:rPr>
        <w:t>provided</w:t>
      </w:r>
      <w:r>
        <w:rPr>
          <w:rFonts w:ascii="Times New Roman" w:hAnsi="Times New Roman"/>
          <w:sz w:val="20"/>
        </w:rPr>
        <w:t xml:space="preserve"> that when Bidco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taken into account as soon as practicable in determining the amount to be applied (net of additional taxes payable or reserved against if such amounts were repatriated) to the repayment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applicable, and (C) to the extent that and for so long as Bidco has determined in good faith that repatriation of any of or all the Net Proceeds of any Foreign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the case may be, and such amounts may be retained by such Subsidiary. </w:t>
      </w:r>
    </w:p>
    <w:p>
      <w:pPr>
        <w:pStyle w:val="TextBody"/>
        <w:bidi w:val="0"/>
        <w:spacing w:before="36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agree to pay to the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Borrowers agree to pay (i) 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shall accrue at (x) a rate equal to 0.125% per annum or (y) a lesser rate per annum agreed to by any Issuing Bank (with respect to any Letter of Credit issued by such Issuing Bank), in each case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(c) The Borrowers agree to pay to the Administrative Agent, for its own account, fees payable in the amounts and at the times separately agreed upon between the Borrowers and the Administrative Agent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Borrowers agree to pay to the Administrative Agent in dollars for the account of each Term Lender a ticking fee, which shall accrue at the rate of the Ticking Fee Percentage per annum, on an amount equal to the amount of the Initial Term Commitment of such Term Lender as of the Effective Date, during the period from and including the Allocation Date to but excluding the Effective Date. Accrued ticking fees shall be payable on the Effective Date. All ticking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and subject to </w:t>
      </w:r>
      <w:r>
        <w:rPr>
          <w:rFonts w:ascii="Times New Roman" w:hAnsi="Times New Roman"/>
          <w:sz w:val="20"/>
          <w:u w:val="single"/>
        </w:rPr>
        <w:t>Section 2.21</w:t>
      </w:r>
      <w:r>
        <w:rPr>
          <w:rFonts w:ascii="Times New Roman" w:hAnsi="Times New Roman"/>
          <w:sz w:val="20"/>
        </w:rPr>
        <w:t xml:space="preserve">, the Borrowers shall not be obligated to pay any amounts to any Defaulting Lender pursuant to this </w:t>
      </w:r>
      <w:r>
        <w:rPr>
          <w:rFonts w:ascii="Times New Roman" w:hAnsi="Times New Roman"/>
          <w:sz w:val="20"/>
          <w:u w:val="single"/>
        </w:rPr>
        <w:t>Section 2.11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comprising each ABR Borrowing (including each Swingline Loan) shall bear interest at the Alternate Base Rate plus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Eurodollar Borrowing shall bear interest at the Adjusted LIBO Rate for the Interest Period in effect for such Borrowing plus the Applicable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foregoing, if upon the occurrence and during the continuance of any Specified Event of Default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Times New Roman" w:hAnsi="Times New Roman"/>
          <w:sz w:val="20"/>
          <w:u w:val="single"/>
        </w:rPr>
        <w:t>Section 2.12</w:t>
      </w:r>
      <w:r>
        <w:rPr>
          <w:rFonts w:ascii="Times New Roman" w:hAnsi="Times New Roman"/>
          <w:sz w:val="20"/>
        </w:rPr>
        <w:t xml:space="preserve"> or (ii) in the case of any other amount, 2.00% per annum plus the rate applicable to ABR Revolving Loans as provided in paragraph (a) of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amount shall be payable pursuant to this </w:t>
      </w:r>
      <w:r>
        <w:rPr>
          <w:rFonts w:ascii="Times New Roman" w:hAnsi="Times New Roman"/>
          <w:sz w:val="20"/>
          <w:u w:val="single"/>
        </w:rPr>
        <w:t>Section 2.12(c)</w:t>
      </w:r>
      <w:r>
        <w:rPr>
          <w:rFonts w:ascii="Times New Roman" w:hAnsi="Times New Roman"/>
          <w:sz w:val="20"/>
        </w:rPr>
        <w:t xml:space="preserve"> to a Defaulting Lender so long as such Lender shall be a Defaulting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amounts shall accrue pursuant to this </w:t>
      </w:r>
      <w:r>
        <w:rPr>
          <w:rFonts w:ascii="Times New Roman" w:hAnsi="Times New Roman"/>
          <w:sz w:val="20"/>
          <w:u w:val="single"/>
        </w:rPr>
        <w:t>Section 2.12(c)</w:t>
      </w:r>
      <w:r>
        <w:rPr>
          <w:rFonts w:ascii="Times New Roman" w:hAnsi="Times New Roman"/>
          <w:sz w:val="20"/>
        </w:rPr>
        <w:t xml:space="preserve"> on any overdue amount, reimbursement obligation in respect of any LC Disbursement or other amount payable to a Defaulting Lender so long as such Lender shall be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(d) Accrued interest on each Loan shall be payable in arrears on each Interest Payment Date for such Loan, </w:t>
      </w:r>
      <w:r>
        <w:rPr>
          <w:rFonts w:ascii="Times New Roman" w:hAnsi="Times New Roman"/>
          <w:sz w:val="20"/>
          <w:u w:val="single"/>
        </w:rPr>
        <w:t>provided</w:t>
      </w:r>
      <w:r>
        <w:rPr>
          <w:rFonts w:ascii="Times New Roman" w:hAnsi="Times New Roman"/>
          <w:sz w:val="20"/>
        </w:rPr>
        <w:t xml:space="preserve"> that (i) interest accrued pursuant to paragraph (c) of this </w:t>
      </w:r>
      <w:r>
        <w:rPr>
          <w:rFonts w:ascii="Times New Roman" w:hAnsi="Times New Roman"/>
          <w:sz w:val="20"/>
          <w:u w:val="single"/>
        </w:rPr>
        <w:t>Section 2.12</w:t>
      </w:r>
      <w:r>
        <w:rPr>
          <w:rFonts w:ascii="Times New Roman" w:hAnsi="Times New Roman"/>
          <w:sz w:val="20"/>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(iii) in the event of any conversion of any Eurodollar Loan prior to the end of the current Interest Period therefor, accrued interest on such Loan shall be payable on the effective date of such conversion and (iv) upon the termination of the Revolving Commitments, accrued interest on the Revolving Loans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 </w:t>
      </w:r>
    </w:p>
    <w:p>
      <w:pPr>
        <w:pStyle w:val="TextBody"/>
        <w:bidi w:val="0"/>
        <w:spacing w:before="36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Alternate Rate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at least two (2) Business Days prior to the commencement of any Interest Period for a Eurodollar Borrowing: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that adequate and reasonable means do not exist for ascertaining the Adjusted LIBO Rate for such Interest Period; or </w:t>
      </w:r>
    </w:p>
    <w:p>
      <w:pPr>
        <w:pStyle w:val="TextBody"/>
        <w:bidi w:val="0"/>
        <w:spacing w:before="120" w:after="0"/>
        <w:jc w:val="left"/>
        <w:rPr>
          <w:rFonts w:ascii="Times New Roman" w:hAnsi="Times New Roman"/>
          <w:sz w:val="20"/>
        </w:rPr>
      </w:pPr>
      <w:r>
        <w:rPr>
          <w:rFonts w:ascii="Times New Roman" w:hAnsi="Times New Roman"/>
          <w:sz w:val="20"/>
        </w:rPr>
        <w:t>(ii) 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clause (ii) or clause (i) above, “</w:t>
      </w:r>
      <w:r>
        <w:rPr>
          <w:rFonts w:ascii="Times New Roman" w:hAnsi="Times New Roman"/>
          <w:sz w:val="20"/>
          <w:u w:val="single"/>
        </w:rPr>
        <w:t>Impacted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the circumstances giving rise to such notice no longer exist, (x) any Interest Election Request that requests the conversion of any Borrowing to, or continuation of any Borrowing as, a Eurodollar Borrowing shall be ineffective and (y) if any Borrowing Request requests a Eurodollar Borrowing, then such Borrowing shall be made as an ABR Borrowing;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the Borrowers may revoke any Borrowing Request that is pending when such notice is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foregoing, if the Administrative Agent has made such determination described in clause (a)(i) of this </w:t>
      </w:r>
      <w:r>
        <w:rPr>
          <w:rFonts w:ascii="Times New Roman" w:hAnsi="Times New Roman"/>
          <w:sz w:val="20"/>
          <w:u w:val="single"/>
        </w:rPr>
        <w:t>Section 2.13</w:t>
      </w:r>
      <w:r>
        <w:rPr>
          <w:rFonts w:ascii="Times New Roman" w:hAnsi="Times New Roman"/>
          <w:sz w:val="20"/>
        </w:rPr>
        <w:t xml:space="preserve"> or is advised by the Required Lenders of their determination described in clause (a)(ii) of this </w:t>
      </w:r>
      <w:r>
        <w:rPr>
          <w:rFonts w:ascii="Times New Roman" w:hAnsi="Times New Roman"/>
          <w:sz w:val="20"/>
          <w:u w:val="single"/>
        </w:rPr>
        <w:t>Section 2.13</w:t>
      </w:r>
      <w:r>
        <w:rPr>
          <w:rFonts w:ascii="Times New Roman" w:hAnsi="Times New Roman"/>
          <w:sz w:val="20"/>
        </w:rPr>
        <w:t xml:space="preserve">, and in each case such circumstances are unlikely to be temporary, and the Borrowers shall so request, the Administrative Agent, the Required Lenders and the Borrowers shall negotiate in good faith to amend the definition of “LIBO Rate” and other applicable provisions to preserve the original intent thereof in light of such change; </w:t>
      </w:r>
      <w:r>
        <w:rPr>
          <w:rFonts w:ascii="Times New Roman" w:hAnsi="Times New Roman"/>
          <w:sz w:val="20"/>
          <w:u w:val="single"/>
        </w:rPr>
        <w:t>provided</w:t>
      </w:r>
      <w:r>
        <w:rPr>
          <w:rFonts w:ascii="Times New Roman" w:hAnsi="Times New Roman"/>
          <w:sz w:val="20"/>
        </w:rPr>
        <w:t xml:space="preserve"> that, until so amended, such Impacted Loans will be handled as otherwise provided pursuant to the terms of </w:t>
      </w:r>
      <w:r>
        <w:rPr>
          <w:rFonts w:ascii="Times New Roman" w:hAnsi="Times New Roman"/>
          <w:sz w:val="20"/>
          <w:u w:val="single"/>
        </w:rPr>
        <w:t>Section 2.13(a)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any Issuing Bank or the London interbank market any other condition, cost or expense (including Taxes, other than Excluded Taxes or Taxes indemnified under </w:t>
      </w:r>
      <w:r>
        <w:rPr>
          <w:rFonts w:ascii="Times New Roman" w:hAnsi="Times New Roman"/>
          <w:sz w:val="20"/>
          <w:u w:val="single"/>
        </w:rPr>
        <w:t>Section 2.16</w:t>
      </w:r>
      <w:r>
        <w:rPr>
          <w:rFonts w:ascii="Times New Roman" w:hAnsi="Times New Roman"/>
          <w:sz w:val="20"/>
        </w:rPr>
        <w:t xml:space="preserve">) affecting this Agreement or Eurodollar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Borrowers will pay to such Lender or Issuing Bank, as the case may be, such additional amount or amounts as will compensate such Lender or Issuing Bank, as the case may be, for such increased costs actually incurred or reduction actually suffered.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actually suffered. </w:t>
      </w:r>
    </w:p>
    <w:p>
      <w:pPr>
        <w:pStyle w:val="TextBody"/>
        <w:bidi w:val="0"/>
        <w:spacing w:before="240" w:after="0"/>
        <w:jc w:val="left"/>
        <w:rPr>
          <w:rFonts w:ascii="Times New Roman" w:hAnsi="Times New Roman"/>
          <w:sz w:val="20"/>
        </w:rPr>
      </w:pPr>
      <w:r>
        <w:rPr>
          <w:rFonts w:ascii="Times New Roman" w:hAnsi="Times New Roman"/>
          <w:sz w:val="20"/>
        </w:rPr>
        <w:t xml:space="preserve">(c) A certificate of a Lender or an Issuing Bank setting forth the amount or amounts necessary to compensate such Lender or Issuing Bank or its holding company in reasonable detail, as the case may be, as specified in paragraph (a) or (b) of this </w:t>
      </w:r>
      <w:r>
        <w:rPr>
          <w:rFonts w:ascii="Times New Roman" w:hAnsi="Times New Roman"/>
          <w:sz w:val="20"/>
          <w:u w:val="single"/>
        </w:rPr>
        <w:t>Section 2.14</w:t>
      </w:r>
      <w:r>
        <w:rPr>
          <w:rFonts w:ascii="Times New Roman" w:hAnsi="Times New Roman"/>
          <w:sz w:val="20"/>
        </w:rPr>
        <w:t xml:space="preserve"> delivered to the Borrowers shall be conclusive absent manifest error. The Borrowers shall pay such Lender or Issuing Bank, as the case may be, the amount shown as due on any such certificate within 15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Failure or delay on the part of any Lender or Issuing Bank to demand compensation pursuant to this </w:t>
      </w:r>
      <w:r>
        <w:rPr>
          <w:rFonts w:ascii="Times New Roman" w:hAnsi="Times New Roman"/>
          <w:sz w:val="20"/>
          <w:u w:val="single"/>
        </w:rPr>
        <w:t>Section 2.14</w:t>
      </w:r>
      <w:r>
        <w:rPr>
          <w:rFonts w:ascii="Times New Roman" w:hAnsi="Times New Roman"/>
          <w:sz w:val="20"/>
        </w:rPr>
        <w:t xml:space="preserve">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or Issuing Bank pursuant to this </w:t>
      </w:r>
      <w:r>
        <w:rPr>
          <w:rFonts w:ascii="Times New Roman" w:hAnsi="Times New Roman"/>
          <w:sz w:val="20"/>
          <w:u w:val="single"/>
        </w:rPr>
        <w:t>Section 2.14</w:t>
      </w:r>
      <w:r>
        <w:rPr>
          <w:rFonts w:ascii="Times New Roman" w:hAnsi="Times New Roman"/>
          <w:sz w:val="20"/>
        </w:rPr>
        <w:t xml:space="preserve"> for any increased costs incurred or reductions suffered more than 180 days prior to the date that such Lender or Issuing Bank, as the case may be, notifies the Borrowers of the Change in Law giving rise to such increased costs or reductions and of such Lender’s or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other provision of this </w:t>
      </w:r>
      <w:r>
        <w:rPr>
          <w:rFonts w:ascii="Times New Roman" w:hAnsi="Times New Roman"/>
          <w:sz w:val="20"/>
          <w:u w:val="single"/>
        </w:rPr>
        <w:t>Section 2.14</w:t>
      </w:r>
      <w:r>
        <w:rPr>
          <w:rFonts w:ascii="Times New Roman" w:hAnsi="Times New Roman"/>
          <w:sz w:val="20"/>
        </w:rPr>
        <w:t xml:space="preserve">, no Lender or Issuing Bank shall demand compensation for any increased cost or reduction pursuant to this </w:t>
      </w:r>
      <w:r>
        <w:rPr>
          <w:rFonts w:ascii="Times New Roman" w:hAnsi="Times New Roman"/>
          <w:sz w:val="20"/>
          <w:u w:val="single"/>
        </w:rPr>
        <w:t>Section 2.14</w:t>
      </w:r>
      <w:r>
        <w:rPr>
          <w:rFonts w:ascii="Times New Roman" w:hAnsi="Times New Roman"/>
          <w:sz w:val="20"/>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 </w:t>
      </w:r>
    </w:p>
    <w:p>
      <w:pPr>
        <w:pStyle w:val="TextBody"/>
        <w:bidi w:val="0"/>
        <w:spacing w:before="36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Revolving Loan or Term Loan on the date specified in any notice delivered pursuant hereto (regardless of whether such notice may be revoked under </w:t>
      </w:r>
      <w:r>
        <w:rPr>
          <w:rFonts w:ascii="Times New Roman" w:hAnsi="Times New Roman"/>
          <w:sz w:val="20"/>
          <w:u w:val="single"/>
        </w:rPr>
        <w:t>Section 2.10(f)</w:t>
      </w:r>
      <w:r>
        <w:rPr>
          <w:rFonts w:ascii="Times New Roman" w:hAnsi="Times New Roman"/>
          <w:sz w:val="20"/>
        </w:rPr>
        <w:t xml:space="preserve"> and is revoked in accordance therewith) or (d) the assignment of any Eurodollar Loan other than on the last day of the Interest Period applicable thereto as a result of a request by the Borrowers pursuant to </w:t>
      </w:r>
      <w:r>
        <w:rPr>
          <w:rFonts w:ascii="Times New Roman" w:hAnsi="Times New Roman"/>
          <w:sz w:val="20"/>
          <w:u w:val="single"/>
        </w:rPr>
        <w:t>Section 2.18</w:t>
      </w:r>
      <w:r>
        <w:rPr>
          <w:rFonts w:ascii="Times New Roman" w:hAnsi="Times New Roman"/>
          <w:sz w:val="20"/>
        </w:rPr>
        <w:t xml:space="preserve"> or </w:t>
      </w:r>
      <w:r>
        <w:rPr>
          <w:rFonts w:ascii="Times New Roman" w:hAnsi="Times New Roman"/>
          <w:sz w:val="20"/>
          <w:u w:val="single"/>
        </w:rPr>
        <w:t>Section 9.02(c)</w:t>
      </w:r>
      <w:r>
        <w:rPr>
          <w:rFonts w:ascii="Times New Roman" w:hAnsi="Times New Roman"/>
          <w:sz w:val="20"/>
        </w:rPr>
        <w:t xml:space="preserve">, then, in any such event, the Borrowers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Borrowers to the Lenders under this </w:t>
      </w:r>
      <w:r>
        <w:rPr>
          <w:rFonts w:ascii="Times New Roman" w:hAnsi="Times New Roman"/>
          <w:sz w:val="20"/>
          <w:u w:val="single"/>
        </w:rPr>
        <w:t>Section 2.15</w:t>
      </w:r>
      <w:r>
        <w:rPr>
          <w:rFonts w:ascii="Times New Roman" w:hAnsi="Times New Roman"/>
          <w:sz w:val="20"/>
        </w:rPr>
        <w:t xml:space="preserve">, each Lender shall be deemed to have funded each Eurodollar Loan made by it at the Adjusted LIBO Rate for such Loan by a matching deposit or other borrowing in the applicable interbank eurodollar market for a comparable amount and for a comparable period, whether or not such Eurodollar Loan was in fact so funded. A certificate of any Lender setting forth in reasonable detail any amount or amounts that such Lender is entitled to receive pursuant to this </w:t>
      </w:r>
      <w:r>
        <w:rPr>
          <w:rFonts w:ascii="Times New Roman" w:hAnsi="Times New Roman"/>
          <w:sz w:val="20"/>
          <w:u w:val="single"/>
        </w:rPr>
        <w:t>Section 2.15</w:t>
      </w:r>
      <w:r>
        <w:rPr>
          <w:rFonts w:ascii="Times New Roman" w:hAnsi="Times New Roman"/>
          <w:sz w:val="20"/>
        </w:rPr>
        <w:t xml:space="preserve"> and the reasons therefor delivered to the Borrowers shall be prima facie evidence of such amounts. The Borrowers shall pay such Lender the amount shown as due on any such certificate within 15 days after receipt of such demand. Notwithstanding the foregoing, this </w:t>
      </w:r>
      <w:r>
        <w:rPr>
          <w:rFonts w:ascii="Times New Roman" w:hAnsi="Times New Roman"/>
          <w:sz w:val="20"/>
          <w:u w:val="single"/>
        </w:rPr>
        <w:t>Section 2.15</w:t>
      </w:r>
      <w:r>
        <w:rPr>
          <w:rFonts w:ascii="Times New Roman" w:hAnsi="Times New Roman"/>
          <w:sz w:val="20"/>
        </w:rPr>
        <w:t xml:space="preserve"> will not apply to losses, costs or expenses resulting from Taxes. Notwithstanding the foregoing, no Lender shall demand compensation pursuant to this </w:t>
      </w:r>
      <w:r>
        <w:rPr>
          <w:rFonts w:ascii="Times New Roman" w:hAnsi="Times New Roman"/>
          <w:sz w:val="20"/>
          <w:u w:val="single"/>
        </w:rPr>
        <w:t>Section 2.15</w:t>
      </w:r>
      <w:r>
        <w:rPr>
          <w:rFonts w:ascii="Times New Roman" w:hAnsi="Times New Roman"/>
          <w:sz w:val="20"/>
        </w:rPr>
        <w:t xml:space="preserve"> if it shall not at the time be the general policy or practice of such Lender to demand such compensation in similar circumstances under comparable provisions of other credit agreements. Each Lender hereby waives the right to receive compensation under this </w:t>
      </w:r>
      <w:r>
        <w:rPr>
          <w:rFonts w:ascii="Times New Roman" w:hAnsi="Times New Roman"/>
          <w:sz w:val="20"/>
          <w:u w:val="single"/>
        </w:rPr>
        <w:t>Section 2.15</w:t>
      </w:r>
      <w:r>
        <w:rPr>
          <w:rFonts w:ascii="Times New Roman" w:hAnsi="Times New Roman"/>
          <w:sz w:val="20"/>
        </w:rPr>
        <w:t xml:space="preserve"> for any loss, cost or expense incurred as a result of a Repricing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Any and all payments by or on account of any obligation of any Loan Party under any Loan Document shall be made free and clear of and without deduction for any Taxes, except as required by applicable Requirements of Law. If the applicable withholding agent (which may include a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 “</w:t>
      </w:r>
      <w:r>
        <w:rPr>
          <w:rFonts w:ascii="Times New Roman" w:hAnsi="Times New Roman"/>
          <w:sz w:val="20"/>
          <w:u w:val="single"/>
        </w:rPr>
        <w:t>Tax Withholding</w:t>
      </w:r>
      <w:r>
        <w:rPr>
          <w:rFonts w:ascii="Times New Roman" w:hAnsi="Times New Roman"/>
          <w:sz w:val="20"/>
        </w:rPr>
        <w:t xml:space="preserve">”), and if such Taxes are Indemnified Taxes or Other Taxes, then the amount payable by the applicable Loan Party shall be increased as necessary so that after all such required deductions have been made (including such deductions applicable to additional amounts payable under this </w:t>
      </w:r>
      <w:r>
        <w:rPr>
          <w:rFonts w:ascii="Times New Roman" w:hAnsi="Times New Roman"/>
          <w:sz w:val="20"/>
          <w:u w:val="single"/>
        </w:rPr>
        <w:t>Section 2.16</w:t>
      </w:r>
      <w:r>
        <w:rPr>
          <w:rFonts w:ascii="Times New Roman" w:hAnsi="Times New Roman"/>
          <w:sz w:val="20"/>
        </w:rPr>
        <w:t xml:space="preserve">), each Lender (or, in the case of a payment made to the Administrative Agent for its own account, the Administrative Agent) receives an amount equal to the sum it would have received had no such deductions been made.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provisions of paragraph (a) above, the Borrowers shall timely pay to the relevant Governmental Authority in accordance with Requirements of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Without duplication of amounts payable pursuant to clauses (a) and (b), the Borrowers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 Lender, as the case may be (including Indemnified Taxes or Other Taxes imposed or asserted on or attributable to amounts payable under this </w:t>
      </w:r>
      <w:r>
        <w:rPr>
          <w:rFonts w:ascii="Times New Roman" w:hAnsi="Times New Roman"/>
          <w:sz w:val="20"/>
          <w:u w:val="single"/>
        </w:rPr>
        <w:t>Section 2.16</w:t>
      </w:r>
      <w:r>
        <w:rPr>
          <w:rFonts w:ascii="Times New Roman" w:hAnsi="Times New Roman"/>
          <w:sz w:val="20"/>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Borrowers by a Lender,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after any payment of any Taxes by a Loan Party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(i) Each Lender shall, at such times as are reasonably requested by the Borrowers or the Administrative Agent, provide the Borrowers and the Administrative Agent with any properly completed and executed documentation prescribed by any Requirement of Law, or reasonably requested by the Borrowers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Times New Roman" w:hAnsi="Times New Roman"/>
          <w:sz w:val="20"/>
          <w:u w:val="single"/>
        </w:rPr>
        <w:t>Section 2.16(e))</w:t>
      </w:r>
      <w:r>
        <w:rPr>
          <w:rFonts w:ascii="Times New Roman" w:hAnsi="Times New Roman"/>
          <w:sz w:val="20"/>
        </w:rPr>
        <w:t xml:space="preserve">, deliver promptly to the Borrowers and the Administrative Agent updated or other appropriate documentation (including any new documentation reasonably requested by the applicable withholding agent) or promptly notify the Borrowers and the Administrative Agent in writing of its legal ineligibility to do so. Unless the applicable withholding agent has received forms or other documents satisfactory to it indicating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under any Loan Document to or for a Lender are not subject to withholding tax or are subject to Tax at a rate reduced by an applicable tax treaty, the Borrowers, the Administrative Agent or other applicable withholding agent shall withhold amounts required to be withheld by applicable law from such payments at the applicable statutory rate.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Lender that is a United States person (as defined in Section 7701(a)(30) of the Code) shall deliver to the Borrowers and the Administrative Agent on or before the date on which it becomes a party to this Agreement two properly completed and duly signed copies of Internal Revenue Service Form W-9 (or any successor form) certifying that such Lender is exempt from U.S. federal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(B) Each Foreign Lender shall deliver to the Borrowers and the Administrative Agent on or before the date on which it becomes a party to this Agreement (and from time to time thereafter upon the reasonable request of the Borrowers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two properly completed and duly signed copies of Internal Revenue Service Form W-8BEN or W-8BEN-E, as applicable (or any successor forms) claiming eligibility for benefits of an income tax treaty to which the United States of America is a party, </w:t>
      </w:r>
    </w:p>
    <w:p>
      <w:pPr>
        <w:pStyle w:val="TextBody"/>
        <w:bidi w:val="0"/>
        <w:spacing w:before="120" w:after="0"/>
        <w:jc w:val="left"/>
        <w:rPr>
          <w:rFonts w:ascii="Times New Roman" w:hAnsi="Times New Roman"/>
          <w:sz w:val="20"/>
        </w:rPr>
      </w:pPr>
      <w:r>
        <w:rPr>
          <w:rFonts w:ascii="Times New Roman" w:hAnsi="Times New Roman"/>
          <w:sz w:val="20"/>
        </w:rPr>
        <w:t xml:space="preserve">(2) two properly completed and duly signed copies of Internal Revenue Service Form W-8ECI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871(h) or Section 881(c) of the Code, (x) two properly completed and duly signed certificates, substantially in the form of </w:t>
      </w:r>
      <w:r>
        <w:rPr>
          <w:rFonts w:ascii="Times New Roman" w:hAnsi="Times New Roman"/>
          <w:sz w:val="20"/>
          <w:u w:val="single"/>
        </w:rPr>
        <w:t>Exhibit Q</w:t>
      </w:r>
      <w:r>
        <w:rPr>
          <w:rFonts w:ascii="Times New Roman" w:hAnsi="Times New Roman"/>
          <w:sz w:val="20"/>
        </w:rPr>
        <w:t xml:space="preserve"> (any such certificate a “</w:t>
      </w:r>
      <w:r>
        <w:rPr>
          <w:rFonts w:ascii="Times New Roman" w:hAnsi="Times New Roman"/>
          <w:sz w:val="20"/>
          <w:u w:val="single"/>
        </w:rPr>
        <w:t>United States Tax Compliance Certificate</w:t>
      </w:r>
      <w:r>
        <w:rPr>
          <w:rFonts w:ascii="Times New Roman" w:hAnsi="Times New Roman"/>
          <w:sz w:val="20"/>
        </w:rPr>
        <w:t xml:space="preserve">”), as applicable, and (y) two properly completed and duly signed copies of Internal Revenue Service Form W-8BEN or W-8BEN-E, as applicable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applicable United States Tax Compliance Certificate, Form W-9, Form W-8IMY (or other successor forms) or any other required information from each beneficial owner that would be required under this </w:t>
      </w:r>
      <w:r>
        <w:rPr>
          <w:rFonts w:ascii="Times New Roman" w:hAnsi="Times New Roman"/>
          <w:sz w:val="20"/>
          <w:u w:val="single"/>
        </w:rPr>
        <w:t>Section 2.16</w:t>
      </w:r>
      <w:r>
        <w:rPr>
          <w:rFonts w:ascii="Times New Roman" w:hAnsi="Times New Roman"/>
          <w:sz w:val="20"/>
        </w:rPr>
        <w:t xml:space="preserve"> if such beneficial owner were a Lender, as applicable (</w:t>
      </w:r>
      <w:r>
        <w:rPr>
          <w:rFonts w:ascii="Times New Roman" w:hAnsi="Times New Roman"/>
          <w:sz w:val="20"/>
          <w:u w:val="single"/>
        </w:rPr>
        <w:t>provided</w:t>
      </w:r>
      <w:r>
        <w:rPr>
          <w:rFonts w:ascii="Times New Roman" w:hAnsi="Times New Roman"/>
          <w:sz w:val="20"/>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 </w:t>
      </w:r>
    </w:p>
    <w:p>
      <w:pPr>
        <w:pStyle w:val="TextBody"/>
        <w:bidi w:val="0"/>
        <w:spacing w:before="120" w:after="0"/>
        <w:jc w:val="left"/>
        <w:rPr>
          <w:rFonts w:ascii="Times New Roman" w:hAnsi="Times New Roman"/>
          <w:sz w:val="20"/>
        </w:rPr>
      </w:pPr>
      <w:r>
        <w:rPr>
          <w:rFonts w:ascii="Times New Roman" w:hAnsi="Times New Roman"/>
          <w:sz w:val="20"/>
        </w:rPr>
        <w:t xml:space="preserve">(5)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Borrowers and the Administrative Agent to determine the withholding or deduction required to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whether such Lender has or has not complied with such Lender’s obligations under FATCA and, if necessary, to determine the amount to deduct and withhold from such payment. Solely for purposes of this clause (ii),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Each Lender that is a U.K. Non-Bank Lender (excluding for the purposes of this </w:t>
      </w:r>
      <w:r>
        <w:rPr>
          <w:rFonts w:ascii="Times New Roman" w:hAnsi="Times New Roman"/>
          <w:sz w:val="20"/>
          <w:u w:val="single"/>
        </w:rPr>
        <w:t>Section 2.16(e)</w:t>
      </w:r>
      <w:r>
        <w:rPr>
          <w:rFonts w:ascii="Times New Roman" w:hAnsi="Times New Roman"/>
          <w:sz w:val="20"/>
        </w:rPr>
        <w:t xml:space="preserve"> only, clause (b) of the definition of U.K. Non-Bank Lender) shall, on the date on which it becomes a Lender to any U.K. Borrower, provide to that U.K. Borrower a Tax Confirmation. A U.K. Non-Bank Lender which is a Lender to a U.K. Borrower on the date of this Agreement gives a Tax Confirmation to that U.K. Borrower by entering into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and, with respect to any Tax Withholdings in respect of Tax in the U.K.: </w:t>
      </w:r>
    </w:p>
    <w:p>
      <w:pPr>
        <w:pStyle w:val="TextBody"/>
        <w:bidi w:val="0"/>
        <w:spacing w:before="120" w:after="0"/>
        <w:jc w:val="left"/>
        <w:rPr>
          <w:rFonts w:ascii="Times New Roman" w:hAnsi="Times New Roman"/>
          <w:sz w:val="20"/>
        </w:rPr>
      </w:pPr>
      <w:r>
        <w:rPr>
          <w:rFonts w:ascii="Times New Roman" w:hAnsi="Times New Roman"/>
          <w:sz w:val="20"/>
        </w:rPr>
        <w:t xml:space="preserve">(E) a Loan Party shall promptly upon becoming aware that it must make such a Tax Withholding (or that there is any change in the rate or the basis of a Tax Withholding) notify the Administrative Agent accordingly. Similarly, a Lender shall notify the relevant Borrower and the Administrative Agent on becoming so aware in respect of a payment payable to that Lender. If the Administrative Agent or the relevant Borrower receives such notification from a Lender it shall notify the relevant Loan Party; </w:t>
      </w:r>
    </w:p>
    <w:p>
      <w:pPr>
        <w:pStyle w:val="TextBody"/>
        <w:bidi w:val="0"/>
        <w:spacing w:before="120" w:after="0"/>
        <w:jc w:val="left"/>
        <w:rPr>
          <w:rFonts w:ascii="Times New Roman" w:hAnsi="Times New Roman"/>
          <w:sz w:val="20"/>
        </w:rPr>
      </w:pPr>
      <w:r>
        <w:rPr>
          <w:rFonts w:ascii="Times New Roman" w:hAnsi="Times New Roman"/>
          <w:sz w:val="20"/>
        </w:rPr>
        <w:t xml:space="preserve">(F) subject to sub-clause (G) below, the relevant Lender and each relevant Loan Party shall co-operate in completing any procedural formalities necessary for such Loan Party to make payments to such Lender without such a Tax Withholding; </w:t>
      </w:r>
    </w:p>
    <w:p>
      <w:pPr>
        <w:pStyle w:val="TextBody"/>
        <w:bidi w:val="0"/>
        <w:spacing w:before="120" w:after="0"/>
        <w:jc w:val="left"/>
        <w:rPr>
          <w:rFonts w:ascii="Times New Roman" w:hAnsi="Times New Roman"/>
          <w:sz w:val="20"/>
        </w:rPr>
      </w:pPr>
      <w:r>
        <w:rPr>
          <w:rFonts w:ascii="Times New Roman" w:hAnsi="Times New Roman"/>
          <w:sz w:val="20"/>
        </w:rPr>
        <w:t xml:space="preserve">(G) each Lender to a U.K. Borrower that holds a passport under the HMRC DT Treaty Passport scheme and which wishes that scheme to apply in relation to this Agreement shall confirm to the relevant U.K. Borrower and the Administrative Agent, on the date on which it becomes a Lender, its scheme reference number and jurisdiction of tax residence and having done so, to the extent such passport is and remains valid, such Lender shall have no further obligations pursuant to sub-clause (F) above or, with respect to any Tax Witholdings in respect of tax in the U.K., </w:t>
      </w:r>
      <w:r>
        <w:rPr>
          <w:rFonts w:ascii="Times New Roman" w:hAnsi="Times New Roman"/>
          <w:sz w:val="20"/>
          <w:u w:val="single"/>
        </w:rPr>
        <w:t>Section 2.16(e)(i)</w:t>
      </w:r>
      <w:r>
        <w:rPr>
          <w:rFonts w:ascii="Times New Roman" w:hAnsi="Times New Roman"/>
          <w:sz w:val="20"/>
        </w:rPr>
        <w:t xml:space="preserve"> in each case with respect to the relevant U.K. Borrower; and </w:t>
      </w:r>
    </w:p>
    <w:p>
      <w:pPr>
        <w:pStyle w:val="TextBody"/>
        <w:bidi w:val="0"/>
        <w:spacing w:before="120" w:after="0"/>
        <w:jc w:val="left"/>
        <w:rPr>
          <w:rFonts w:ascii="Times New Roman" w:hAnsi="Times New Roman"/>
          <w:sz w:val="20"/>
        </w:rPr>
      </w:pPr>
      <w:r>
        <w:rPr>
          <w:rFonts w:ascii="Times New Roman" w:hAnsi="Times New Roman"/>
          <w:sz w:val="20"/>
        </w:rPr>
        <w:t xml:space="preserve">(H) where a Lender has provided a confirmation pursuant to sub-clause (G) of its scheme reference number and jurisdiction of tax residence, any U.K. Borrower, and any other Loan Party from whom payments under a Loan Document would be subject to a Tax Withholding in respect of Tax in the U.K., shall file a duly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HMRC Form DTTP2 in respect of this Agreement within 30 days of receipt of such details or, if later, within 30 days of becoming a Borrower or Loan Party pursuant to this Agreement and promptly deliver a copy of that filed Form DTTP2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 other provision of this </w:t>
      </w:r>
      <w:r>
        <w:rPr>
          <w:rFonts w:ascii="Times New Roman" w:hAnsi="Times New Roman"/>
          <w:sz w:val="20"/>
          <w:u w:val="single"/>
        </w:rPr>
        <w:t>Section 2.16(e)</w:t>
      </w:r>
      <w:r>
        <w:rPr>
          <w:rFonts w:ascii="Times New Roman" w:hAnsi="Times New Roman"/>
          <w:sz w:val="20"/>
        </w:rPr>
        <w:t xml:space="preserve">, a Lender shall not be required to deliver any form or certification that such Lender is not legally eligible to deliver. </w:t>
      </w:r>
    </w:p>
    <w:p>
      <w:pPr>
        <w:pStyle w:val="TextBody"/>
        <w:bidi w:val="0"/>
        <w:spacing w:before="120" w:after="0"/>
        <w:jc w:val="left"/>
        <w:rPr>
          <w:rFonts w:ascii="Times New Roman" w:hAnsi="Times New Roman"/>
          <w:sz w:val="20"/>
        </w:rPr>
      </w:pPr>
      <w:r>
        <w:rPr>
          <w:rFonts w:ascii="Times New Roman" w:hAnsi="Times New Roman"/>
          <w:sz w:val="20"/>
        </w:rPr>
        <w:t xml:space="preserve">(iv) 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sz w:val="20"/>
          <w:u w:val="single"/>
        </w:rPr>
        <w:t>Section 2.16(e)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If the Borrowers determine in good faith that a reasonable basis exists for contesting any Taxes for which indemnification has been demanded hereunder, the Administrative Agent or the relevant Lender, as applicable, shall use commercially reasonable efforts to cooperate with the Borrowers in a reasonable challenge of such Taxes if so requested by the Borrowers, </w:t>
      </w:r>
      <w:r>
        <w:rPr>
          <w:rFonts w:ascii="Times New Roman" w:hAnsi="Times New Roman"/>
          <w:sz w:val="20"/>
          <w:u w:val="single"/>
        </w:rPr>
        <w:t>provided</w:t>
      </w:r>
      <w:r>
        <w:rPr>
          <w:rFonts w:ascii="Times New Roman" w:hAnsi="Times New Roman"/>
          <w:sz w:val="20"/>
        </w:rPr>
        <w:t xml:space="preserve"> that (a) the Administrative Agent or such Lender determines in its reasonable discretion that it would not be subject to any unreimbursed third party cost or expense or otherwise be prejudiced by cooperating in such challenge, (b) the Borrowers pay all related expenses of the Administrative Agent or such Lender, as applicable and (c) the Borrowers indemnify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Borrowers or with respect to which the Borrowers have paid additional amounts pursuant to this </w:t>
      </w:r>
      <w:r>
        <w:rPr>
          <w:rFonts w:ascii="Times New Roman" w:hAnsi="Times New Roman"/>
          <w:sz w:val="20"/>
          <w:u w:val="single"/>
        </w:rPr>
        <w:t>Section 2.16</w:t>
      </w:r>
      <w:r>
        <w:rPr>
          <w:rFonts w:ascii="Times New Roman" w:hAnsi="Times New Roman"/>
          <w:sz w:val="20"/>
        </w:rPr>
        <w:t xml:space="preserve">, it shall pay over such refund to the Borrowers (but only to the extent of indemnity payments made, or additional amounts paid, by the Borrowers under this </w:t>
      </w:r>
      <w:r>
        <w:rPr>
          <w:rFonts w:ascii="Times New Roman" w:hAnsi="Times New Roman"/>
          <w:sz w:val="20"/>
          <w:u w:val="single"/>
        </w:rPr>
        <w:t>Section 2.16</w:t>
      </w:r>
      <w:r>
        <w:rPr>
          <w:rFonts w:ascii="Times New Roman" w:hAnsi="Times New Roman"/>
          <w:sz w:val="20"/>
        </w:rPr>
        <w:t xml:space="preserve">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Borrowers, upon the request of the Administrative Agent or such Lender, agree promptly to repay the amount paid over to the Borrowers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Borrowers with a copy of any notice of assessment or other evidence of the requirement to repay such refund received from the relevant Governmental Authority (</w:t>
      </w:r>
      <w:r>
        <w:rPr>
          <w:rFonts w:ascii="Times New Roman" w:hAnsi="Times New Roman"/>
          <w:sz w:val="20"/>
          <w:u w:val="single"/>
        </w:rPr>
        <w:t>provided</w:t>
      </w:r>
      <w:r>
        <w:rPr>
          <w:rFonts w:ascii="Times New Roman" w:hAnsi="Times New Roman"/>
          <w:sz w:val="20"/>
        </w:rPr>
        <w:t xml:space="preserve"> that the Administrative Agent or such Lender may delete any information therein that the Administrative Agent or such Lender deems confidential). Notwithstanding anything to the contrary, this </w:t>
      </w:r>
      <w:r>
        <w:rPr>
          <w:rFonts w:ascii="Times New Roman" w:hAnsi="Times New Roman"/>
          <w:sz w:val="20"/>
          <w:u w:val="single"/>
        </w:rPr>
        <w:t>Section 2.16(f)</w:t>
      </w:r>
      <w:r>
        <w:rPr>
          <w:rFonts w:ascii="Times New Roman" w:hAnsi="Times New Roman"/>
          <w:sz w:val="20"/>
        </w:rPr>
        <w:t xml:space="preserve"> shall not be construed to require the Administrative Agent or any Lender to make available its Tax returns (or any other information relating to Taxes which it deems confidential) to any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The agreements in this </w:t>
      </w:r>
      <w:r>
        <w:rPr>
          <w:rFonts w:ascii="Times New Roman" w:hAnsi="Times New Roman"/>
          <w:sz w:val="20"/>
          <w:u w:val="single"/>
        </w:rPr>
        <w:t>Section 2.16</w:t>
      </w:r>
      <w:r>
        <w:rPr>
          <w:rFonts w:ascii="Times New Roman" w:hAnsi="Times New Roman"/>
          <w:sz w:val="20"/>
        </w:rPr>
        <w:t xml:space="preserve"> shall survive the resignation or replacement of the Administrative Agent or any assignment of rights by, or the replacement of, a Lender, the termination of this Agreement and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w:t>
      </w:r>
      <w:r>
        <w:rPr>
          <w:rFonts w:ascii="Times New Roman" w:hAnsi="Times New Roman"/>
          <w:sz w:val="20"/>
          <w:u w:val="single"/>
        </w:rPr>
        <w:t>Section 2.16</w:t>
      </w:r>
      <w:r>
        <w:rPr>
          <w:rFonts w:ascii="Times New Roman" w:hAnsi="Times New Roman"/>
          <w:sz w:val="20"/>
        </w:rPr>
        <w:t xml:space="preserve">, the term “Lender” shall include any Participant, any Issuing Bank and the Swingline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amounts expressed to be payable under a Loan Document by any party to a Lender which (in whole or in part) constitute the consideration for a supply or supplies for VAT purposes shall be deemed to be exclusive of any VAT which is chargeable on such supply or supplies and accordingly, subject to paragraph (i) below if VAT is or becomes chargeable on any supply or supplies made by any Lender to any party in connection with a Loan Document, and such Lender is required to account to the relevant tax authority for the VAT, that party shall pay to the Lender (in addition to and at the same time as paying the consideration for that supply or supplies) an amount equal to the amount of the VAT upon such Lender providing an appropriate VAT invoice to such party. </w:t>
      </w:r>
    </w:p>
    <w:p>
      <w:pPr>
        <w:pStyle w:val="TextBody"/>
        <w:bidi w:val="0"/>
        <w:spacing w:before="120" w:after="0"/>
        <w:jc w:val="left"/>
        <w:rPr>
          <w:rFonts w:ascii="Times New Roman" w:hAnsi="Times New Roman"/>
          <w:sz w:val="20"/>
        </w:rPr>
      </w:pPr>
      <w:r>
        <w:rPr>
          <w:rFonts w:ascii="Times New Roman" w:hAnsi="Times New Roman"/>
          <w:sz w:val="20"/>
        </w:rPr>
        <w:t>(ii) If VAT is or becomes chargeable on any supply made by any Lender (the “</w:t>
      </w:r>
      <w:r>
        <w:rPr>
          <w:rFonts w:ascii="Times New Roman" w:hAnsi="Times New Roman"/>
          <w:sz w:val="20"/>
          <w:u w:val="single"/>
        </w:rPr>
        <w:t>Supplier</w:t>
      </w:r>
      <w:r>
        <w:rPr>
          <w:rFonts w:ascii="Times New Roman" w:hAnsi="Times New Roman"/>
          <w:sz w:val="20"/>
        </w:rPr>
        <w:t>”) to any other Lender (the “</w:t>
      </w:r>
      <w:r>
        <w:rPr>
          <w:rFonts w:ascii="Times New Roman" w:hAnsi="Times New Roman"/>
          <w:sz w:val="20"/>
          <w:u w:val="single"/>
        </w:rPr>
        <w:t>VAT Recipient</w:t>
      </w:r>
      <w:r>
        <w:rPr>
          <w:rFonts w:ascii="Times New Roman" w:hAnsi="Times New Roman"/>
          <w:sz w:val="20"/>
        </w:rPr>
        <w:t>”) under a Loan Document, and any party other than the VAT Recipient (the “</w:t>
      </w:r>
      <w:r>
        <w:rPr>
          <w:rFonts w:ascii="Times New Roman" w:hAnsi="Times New Roman"/>
          <w:sz w:val="20"/>
          <w:u w:val="single"/>
        </w:rPr>
        <w:t>Relevant Party</w:t>
      </w:r>
      <w:r>
        <w:rPr>
          <w:rFonts w:ascii="Times New Roman" w:hAnsi="Times New Roman"/>
          <w:sz w:val="20"/>
        </w:rPr>
        <w:t xml:space="preserve">”) is required by the terms of any Loan Document to pay an amount equal to the consideration for that supply to the Supplier (rather than being required to reimburse or indemnify the VAT Recipient in respect of that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 (where the Supplier is the person required to account to the relevant tax authority for the VAT) the Lender must also pay to the Supplier (at the same time as paying that amount) an additional amount equal to the amount of the VAT. The VAT Recipient must (where this paragraph applies) promptly pay to the Relevant Party an amount equal to any credit or repayment the VAT Recipient receives from the relevant tax authority which the VAT Recipient reasonably determines relates to the VAT chargeable on that supply; and </w:t>
      </w:r>
    </w:p>
    <w:p>
      <w:pPr>
        <w:pStyle w:val="TextBody"/>
        <w:bidi w:val="0"/>
        <w:spacing w:before="120" w:after="0"/>
        <w:jc w:val="left"/>
        <w:rPr>
          <w:rFonts w:ascii="Times New Roman" w:hAnsi="Times New Roman"/>
          <w:sz w:val="20"/>
        </w:rPr>
      </w:pPr>
      <w:r>
        <w:rPr>
          <w:rFonts w:ascii="Times New Roman" w:hAnsi="Times New Roman"/>
          <w:sz w:val="20"/>
        </w:rPr>
        <w:t xml:space="preserve">(B) (where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 </w:t>
      </w:r>
    </w:p>
    <w:p>
      <w:pPr>
        <w:pStyle w:val="TextBody"/>
        <w:bidi w:val="0"/>
        <w:spacing w:before="120" w:after="0"/>
        <w:jc w:val="left"/>
        <w:rPr>
          <w:rFonts w:ascii="Times New Roman" w:hAnsi="Times New Roman"/>
          <w:sz w:val="20"/>
        </w:rPr>
      </w:pPr>
      <w:r>
        <w:rPr>
          <w:rFonts w:ascii="Times New Roman" w:hAnsi="Times New Roman"/>
          <w:sz w:val="20"/>
        </w:rPr>
        <w:t xml:space="preserve">(iii) Where a Loan Document requires any party to reimburse or indemnify a Lender for any costs or expenses, that party shall reimburse or indemnify (as the case may be) the Lender against any VAT incurred by the Lender in respect of the costs or expenses, to the extent that the Lender reasonably determines that neither it nor any group of which it is a member for VAT purposes is entitled to credit or receive repayment in respect of the VAT from the relevant tax authority. </w:t>
      </w:r>
    </w:p>
    <w:p>
      <w:pPr>
        <w:pStyle w:val="TextBody"/>
        <w:bidi w:val="0"/>
        <w:spacing w:before="120" w:after="0"/>
        <w:jc w:val="left"/>
        <w:rPr>
          <w:rFonts w:ascii="Times New Roman" w:hAnsi="Times New Roman"/>
          <w:sz w:val="20"/>
        </w:rPr>
      </w:pPr>
      <w:r>
        <w:rPr>
          <w:rFonts w:ascii="Times New Roman" w:hAnsi="Times New Roman"/>
          <w:sz w:val="20"/>
        </w:rPr>
        <w:t xml:space="preserve">(iv) Any reference in this </w:t>
      </w:r>
      <w:r>
        <w:rPr>
          <w:rFonts w:ascii="Times New Roman" w:hAnsi="Times New Roman"/>
          <w:sz w:val="20"/>
          <w:u w:val="single"/>
        </w:rPr>
        <w:t>Section 2.16</w:t>
      </w:r>
      <w:r>
        <w:rPr>
          <w:rFonts w:ascii="Times New Roman" w:hAnsi="Times New Roman"/>
          <w:sz w:val="20"/>
        </w:rPr>
        <w:t xml:space="preserve"> to any party shall, at any time when such party is treated as a member of a group or unity (or fiscal unity) for VAT purposes, include (where appropriate and unless the context otherwise requires) a reference to the person who is treated a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or is a former member state of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(v) In relation to any supply made by a Lender to any party under a Loan Document, if reasonably requested by such Lender, that party must promptly provide such Lender with details of that formation as is reasonably requested in connection with such porting requirements in relation to such supply.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make each payment required to be made by it under any Loan Document (whether of principal, interest, fees or reimbursement of LC Disbursements, or of amounts payable under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or </w:t>
      </w:r>
      <w:r>
        <w:rPr>
          <w:rFonts w:ascii="Times New Roman" w:hAnsi="Times New Roman"/>
          <w:sz w:val="20"/>
          <w:u w:val="single"/>
        </w:rPr>
        <w:t>2.16</w:t>
      </w:r>
      <w:r>
        <w:rPr>
          <w:rFonts w:ascii="Times New Roman" w:hAnsi="Times New Roman"/>
          <w:sz w:val="20"/>
        </w:rPr>
        <w:t xml:space="preserve">,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All payments by the Borrowers hereunder with respect to principal of and interest on Loans denominated in an Alternative Currency shall be made in such Alternative Currency to such account as may be specified by the Administrative Agent. Except as otherwise provided herein, if any payment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(b) If at any time insufficient funds are received by and available to the Administrative Agent to pay fully all amounts of principal, unreimbursed LC Disbursements, interest and fees then due hereunder, such funds shall be applied (i) </w:t>
      </w:r>
      <w:r>
        <w:rPr>
          <w:rFonts w:ascii="Times New Roman" w:hAnsi="Times New Roman"/>
          <w:sz w:val="20"/>
          <w:u w:val="single"/>
        </w:rPr>
        <w:t>first</w:t>
      </w:r>
      <w:r>
        <w:rPr>
          <w:rFonts w:ascii="Times New Roman" w:hAnsi="Times New Roman"/>
          <w:sz w:val="20"/>
        </w:rPr>
        <w:t>, towards payment of interest and fees then due hereunder, ratably among the parties entitled thereto in accordance with the amounts of interest and fees then due to such parties, and (ii) </w:t>
      </w:r>
      <w:r>
        <w:rPr>
          <w:rFonts w:ascii="Times New Roman" w:hAnsi="Times New Roman"/>
          <w:sz w:val="20"/>
          <w:u w:val="single"/>
        </w:rPr>
        <w:t>second</w:t>
      </w:r>
      <w:r>
        <w:rPr>
          <w:rFonts w:ascii="Times New Roman" w:hAnsi="Times New Roman"/>
          <w:sz w:val="20"/>
        </w:rPr>
        <w:t xml:space="preserve">, towards payment of principal and unreimbursed LC Disbursements then due hereunder, ratably among the parties entitled thereto in accordance with the amounts of principal and unreimbursed LC Disbursements then due to such parties.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Borrowers pursuant to and in accordance with the express terms of this Agreement (including the application of funds arising from the existence of a Defaulting Lender), (B) any payment obtained by a Lender as consideration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shall have received notice from the Borrowers prior to the date on which any payment is due to the Administrative Agent for the account of the Lenders or the Issuing Banks hereunder that the Borrowers will not make such payment, the Administrative Agent may assume that the Borrowers have made such payment on such date in accordance herewith and may, in reliance upon such assumption and in its sole discretion, distribute to the Lenders or Issuing Banks, as the case may be, the amount due. In such event, if the Borrowers have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(e) If any Lender shall fail to make any payment required to be made by it pursuant to </w:t>
      </w:r>
      <w:r>
        <w:rPr>
          <w:rFonts w:ascii="Times New Roman" w:hAnsi="Times New Roman"/>
          <w:sz w:val="20"/>
          <w:u w:val="single"/>
        </w:rPr>
        <w:t>Section 2.04(e)</w:t>
      </w:r>
      <w:r>
        <w:rPr>
          <w:rFonts w:ascii="Times New Roman" w:hAnsi="Times New Roman"/>
          <w:sz w:val="20"/>
        </w:rPr>
        <w:t xml:space="preserve"> or </w:t>
      </w:r>
      <w:r>
        <w:rPr>
          <w:rFonts w:ascii="Times New Roman" w:hAnsi="Times New Roman"/>
          <w:sz w:val="20"/>
          <w:u w:val="single"/>
        </w:rPr>
        <w:t>Section 2.04(f)</w:t>
      </w:r>
      <w:r>
        <w:rPr>
          <w:rFonts w:ascii="Times New Roman" w:hAnsi="Times New Roman"/>
          <w:sz w:val="20"/>
        </w:rPr>
        <w:t xml:space="preserve">, </w:t>
      </w:r>
      <w:r>
        <w:rPr>
          <w:rFonts w:ascii="Times New Roman" w:hAnsi="Times New Roman"/>
          <w:sz w:val="20"/>
          <w:u w:val="single"/>
        </w:rPr>
        <w:t>Section 2.05(a)</w:t>
      </w:r>
      <w:r>
        <w:rPr>
          <w:rFonts w:ascii="Times New Roman" w:hAnsi="Times New Roman"/>
          <w:sz w:val="20"/>
        </w:rPr>
        <w:t xml:space="preserve"> or </w:t>
      </w:r>
      <w:r>
        <w:rPr>
          <w:rFonts w:ascii="Times New Roman" w:hAnsi="Times New Roman"/>
          <w:sz w:val="20"/>
          <w:u w:val="single"/>
        </w:rPr>
        <w:t>Section 2.05(b)</w:t>
      </w:r>
      <w:r>
        <w:rPr>
          <w:rFonts w:ascii="Times New Roman" w:hAnsi="Times New Roman"/>
          <w:sz w:val="20"/>
        </w:rPr>
        <w:t xml:space="preserve">, </w:t>
      </w:r>
      <w:r>
        <w:rPr>
          <w:rFonts w:ascii="Times New Roman" w:hAnsi="Times New Roman"/>
          <w:sz w:val="20"/>
          <w:u w:val="single"/>
        </w:rPr>
        <w:t>Section 2.17(d)</w:t>
      </w:r>
      <w:r>
        <w:rPr>
          <w:rFonts w:ascii="Times New Roman" w:hAnsi="Times New Roman"/>
          <w:sz w:val="20"/>
        </w:rPr>
        <w:t xml:space="preserve">, </w:t>
      </w:r>
      <w:r>
        <w:rPr>
          <w:rFonts w:ascii="Times New Roman" w:hAnsi="Times New Roman"/>
          <w:sz w:val="20"/>
          <w:u w:val="single"/>
        </w:rPr>
        <w:t>Section 9.03(c)</w:t>
      </w:r>
      <w:r>
        <w:rPr>
          <w:rFonts w:ascii="Times New Roman" w:hAnsi="Times New Roman"/>
          <w:sz w:val="20"/>
        </w:rPr>
        <w:t xml:space="preserve"> or </w:t>
      </w:r>
      <w:r>
        <w:rPr>
          <w:rFonts w:ascii="Times New Roman" w:hAnsi="Times New Roman"/>
          <w:sz w:val="20"/>
          <w:u w:val="single"/>
        </w:rPr>
        <w:t>Section 9.03(d)</w:t>
      </w:r>
      <w:r>
        <w:rPr>
          <w:rFonts w:ascii="Times New Roman" w:hAnsi="Times New Roman"/>
          <w:sz w:val="20"/>
        </w:rPr>
        <w:t xml:space="preserve">,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 </w:t>
      </w:r>
    </w:p>
    <w:p>
      <w:pPr>
        <w:pStyle w:val="TextBody"/>
        <w:bidi w:val="0"/>
        <w:spacing w:before="36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w:t>
      </w:r>
      <w:r>
        <w:rPr>
          <w:rFonts w:ascii="Times New Roman" w:hAnsi="Times New Roman"/>
          <w:sz w:val="20"/>
          <w:u w:val="single"/>
        </w:rPr>
        <w:t>Section 2.14</w:t>
      </w:r>
      <w:r>
        <w:rPr>
          <w:rFonts w:ascii="Times New Roman" w:hAnsi="Times New Roman"/>
          <w:sz w:val="20"/>
        </w:rPr>
        <w:t xml:space="preserve">, or if a Borrower is required to pay any additional amount or any indemnity or compensatory amount to any Lender or any Governmental Authority for the account of any Lender pursuant to </w:t>
      </w:r>
      <w:r>
        <w:rPr>
          <w:rFonts w:ascii="Times New Roman" w:hAnsi="Times New Roman"/>
          <w:sz w:val="20"/>
          <w:u w:val="single"/>
        </w:rPr>
        <w:t>Section 2.16</w:t>
      </w:r>
      <w:r>
        <w:rPr>
          <w:rFonts w:ascii="Times New Roman" w:hAnsi="Times New Roman"/>
          <w:sz w:val="20"/>
        </w:rPr>
        <w:t xml:space="preserve"> or any event gives rise to the operation of </w:t>
      </w:r>
      <w:r>
        <w:rPr>
          <w:rFonts w:ascii="Times New Roman" w:hAnsi="Times New Roman"/>
          <w:sz w:val="20"/>
          <w:u w:val="single"/>
        </w:rPr>
        <w:t>Section 2.22</w:t>
      </w:r>
      <w:r>
        <w:rPr>
          <w:rFonts w:ascii="Times New Roman" w:hAnsi="Times New Roman"/>
          <w:sz w:val="20"/>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2.16</w:t>
      </w:r>
      <w:r>
        <w:rPr>
          <w:rFonts w:ascii="Times New Roman" w:hAnsi="Times New Roman"/>
          <w:sz w:val="20"/>
        </w:rPr>
        <w:t xml:space="preserve"> or mitigate the applicability of </w:t>
      </w:r>
      <w:r>
        <w:rPr>
          <w:rFonts w:ascii="Times New Roman" w:hAnsi="Times New Roman"/>
          <w:sz w:val="20"/>
          <w:u w:val="single"/>
        </w:rPr>
        <w:t>Section 2.22</w:t>
      </w:r>
      <w:r>
        <w:rPr>
          <w:rFonts w:ascii="Times New Roman" w:hAnsi="Times New Roman"/>
          <w:sz w:val="20"/>
        </w:rPr>
        <w:t xml:space="preserve">,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w:t>
      </w:r>
      <w:r>
        <w:rPr>
          <w:rFonts w:ascii="Times New Roman" w:hAnsi="Times New Roman"/>
          <w:sz w:val="20"/>
          <w:u w:val="single"/>
        </w:rPr>
        <w:t>Section 2.14</w:t>
      </w:r>
      <w:r>
        <w:rPr>
          <w:rFonts w:ascii="Times New Roman" w:hAnsi="Times New Roman"/>
          <w:sz w:val="20"/>
        </w:rPr>
        <w:t xml:space="preserve"> or gives notice under </w:t>
      </w:r>
      <w:r>
        <w:rPr>
          <w:rFonts w:ascii="Times New Roman" w:hAnsi="Times New Roman"/>
          <w:sz w:val="20"/>
          <w:u w:val="single"/>
        </w:rPr>
        <w:t>Section 2.22</w:t>
      </w:r>
      <w:r>
        <w:rPr>
          <w:rFonts w:ascii="Times New Roman" w:hAnsi="Times New Roman"/>
          <w:sz w:val="20"/>
        </w:rPr>
        <w:t xml:space="preserve">, (ii) a Borrower is required to pay any additional amount or any indemnity or compensatory amount to any Lender or to any Governmental Authority for the account of any Lender pursuant to </w:t>
      </w:r>
      <w:r>
        <w:rPr>
          <w:rFonts w:ascii="Times New Roman" w:hAnsi="Times New Roman"/>
          <w:sz w:val="20"/>
          <w:u w:val="single"/>
        </w:rPr>
        <w:t>Section 2.16</w:t>
      </w:r>
      <w:r>
        <w:rPr>
          <w:rFonts w:ascii="Times New Roman" w:hAnsi="Times New Roman"/>
          <w:sz w:val="20"/>
        </w:rPr>
        <w:t xml:space="preserve">, (iii) any Lender is a Disqualified Lender or (iv) any Lender is a Defaulting Lender,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Borrowers may, at their sole expense and effort, upon notice to such Lender and the Administrative Agent, require such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and the other Loan Documents to an Eligible Assignee that shall assume such obligations (which assignee may be another Lender, if a Lender accepts such assignment and delegation); </w:t>
      </w:r>
      <w:r>
        <w:rPr>
          <w:rFonts w:ascii="Times New Roman" w:hAnsi="Times New Roman"/>
          <w:sz w:val="20"/>
          <w:u w:val="single"/>
        </w:rPr>
        <w:t>provided</w:t>
      </w:r>
      <w:r>
        <w:rPr>
          <w:rFonts w:ascii="Times New Roman" w:hAnsi="Times New Roman"/>
          <w:sz w:val="20"/>
        </w:rPr>
        <w:t xml:space="preserve"> that (A) the Borrowers shall have received the prior written consent of the Administrative Agent to the extent such consent would be required under </w:t>
      </w:r>
      <w:r>
        <w:rPr>
          <w:rFonts w:ascii="Times New Roman" w:hAnsi="Times New Roman"/>
          <w:sz w:val="20"/>
          <w:u w:val="single"/>
        </w:rPr>
        <w:t>Section 9.04(b)</w:t>
      </w:r>
      <w:r>
        <w:rPr>
          <w:rFonts w:ascii="Times New Roman" w:hAnsi="Times New Roman"/>
          <w:sz w:val="20"/>
        </w:rPr>
        <w:t xml:space="preserve">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Borrowers (in the case of all other amounts), (C) the Borrowers or such assignee shall have paid (unless waived) to the Administrative Agent the processing and recordation fee specified in </w:t>
      </w:r>
      <w:r>
        <w:rPr>
          <w:rFonts w:ascii="Times New Roman" w:hAnsi="Times New Roman"/>
          <w:sz w:val="20"/>
          <w:u w:val="single"/>
        </w:rPr>
        <w:t>Section 9.04(b)(ii)</w:t>
      </w:r>
      <w:r>
        <w:rPr>
          <w:rFonts w:ascii="Times New Roman" w:hAnsi="Times New Roman"/>
          <w:sz w:val="20"/>
        </w:rPr>
        <w:t xml:space="preserve"> and (D) in the case of any such assignment resulting from a claim for compensation under </w:t>
      </w:r>
      <w:r>
        <w:rPr>
          <w:rFonts w:ascii="Times New Roman" w:hAnsi="Times New Roman"/>
          <w:sz w:val="20"/>
          <w:u w:val="single"/>
        </w:rPr>
        <w:t>Section 2.14</w:t>
      </w:r>
      <w:r>
        <w:rPr>
          <w:rFonts w:ascii="Times New Roman" w:hAnsi="Times New Roman"/>
          <w:sz w:val="20"/>
        </w:rPr>
        <w:t xml:space="preserve">, or payments required to be made pursuant to </w:t>
      </w:r>
      <w:r>
        <w:rPr>
          <w:rFonts w:ascii="Times New Roman" w:hAnsi="Times New Roman"/>
          <w:sz w:val="20"/>
          <w:u w:val="single"/>
        </w:rPr>
        <w:t>Section 2.16</w:t>
      </w:r>
      <w:r>
        <w:rPr>
          <w:rFonts w:ascii="Times New Roman" w:hAnsi="Times New Roman"/>
          <w:sz w:val="20"/>
        </w:rPr>
        <w:t xml:space="preserve"> or a notice given under </w:t>
      </w:r>
      <w:r>
        <w:rPr>
          <w:rFonts w:ascii="Times New Roman" w:hAnsi="Times New Roman"/>
          <w:sz w:val="20"/>
          <w:u w:val="single"/>
        </w:rPr>
        <w:t>Section 2.22</w:t>
      </w:r>
      <w:r>
        <w:rPr>
          <w:rFonts w:ascii="Times New Roman" w:hAnsi="Times New Roman"/>
          <w:sz w:val="20"/>
        </w:rPr>
        <w:t xml:space="preserve">,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Borrowers to require such assignment and delegation cease to apply. Each party hereto agrees that an assignment required pursuant to this paragraph may be effected pursuant to an Assignment and Assumption executed by the Borrowers, the Administrative Agent and the assignee and that the Lender required to make such assignment need not be a party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Incremental Credit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Borrowers may at any time or from time to time on one or more occasions after the Effective Date request (i) one or more additional Classes of term loans (each, an “</w:t>
      </w:r>
      <w:r>
        <w:rPr>
          <w:rFonts w:ascii="Times New Roman" w:hAnsi="Times New Roman"/>
          <w:sz w:val="20"/>
          <w:u w:val="single"/>
        </w:rPr>
        <w:t>Incremental Term Facility</w:t>
      </w:r>
      <w:r>
        <w:rPr>
          <w:rFonts w:ascii="Times New Roman" w:hAnsi="Times New Roman"/>
          <w:sz w:val="20"/>
        </w:rPr>
        <w:t>”), (ii) one or more additional term loans of the same Class of any existing Class of term loans (each, an “</w:t>
      </w:r>
      <w:r>
        <w:rPr>
          <w:rFonts w:ascii="Times New Roman" w:hAnsi="Times New Roman"/>
          <w:sz w:val="20"/>
          <w:u w:val="single"/>
        </w:rPr>
        <w:t>Incremental Term Increase</w:t>
      </w:r>
      <w:r>
        <w:rPr>
          <w:rFonts w:ascii="Times New Roman" w:hAnsi="Times New Roman"/>
          <w:sz w:val="20"/>
        </w:rPr>
        <w:t>”), (iii) one or more increases in the amount of the Revolving Commitments of any Class (each such increase, an “</w:t>
      </w:r>
      <w:r>
        <w:rPr>
          <w:rFonts w:ascii="Times New Roman" w:hAnsi="Times New Roman"/>
          <w:sz w:val="20"/>
          <w:u w:val="single"/>
        </w:rPr>
        <w:t>Incremental Revolving Commitment Increase</w:t>
      </w:r>
      <w:r>
        <w:rPr>
          <w:rFonts w:ascii="Times New Roman" w:hAnsi="Times New Roman"/>
          <w:sz w:val="20"/>
        </w:rPr>
        <w:t>”) and/or (iv) one or more additional Classes of Revolving Commitments (the “</w:t>
      </w:r>
      <w:r>
        <w:rPr>
          <w:rFonts w:ascii="Times New Roman" w:hAnsi="Times New Roman"/>
          <w:sz w:val="20"/>
          <w:u w:val="single"/>
        </w:rPr>
        <w:t>Additional/Replacement Revolving Commitments</w:t>
      </w:r>
      <w:r>
        <w:rPr>
          <w:rFonts w:ascii="Times New Roman" w:hAnsi="Times New Roman"/>
          <w:sz w:val="20"/>
        </w:rPr>
        <w:t>,” and, together with any Incremental Term Facility, Incremental Term Increase and the Incremental Revolving Commitment Increases, the “</w:t>
      </w:r>
      <w:r>
        <w:rPr>
          <w:rFonts w:ascii="Times New Roman" w:hAnsi="Times New Roman"/>
          <w:sz w:val="20"/>
          <w:u w:val="single"/>
        </w:rPr>
        <w:t>Incremental Facilities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after giving effect to any Incremental Facility Amendment referred to below and at the time that any such Incremental Facility is made or effected, no Event of Default (or, in the case of the incurrence or provision of any Incremental Facility in connection with a Limited Condition Transaction, no Specified Event of Default) shall have occurred and be continuing and (y) in no event shall it be a condition to the effectiveness of, or borrowing under, any Incremental Facility that any representation or warranty of any Loan Party set forth herein be true and correct, except and solely to the extent required by the Additional Lenders providing such Incremental Facility. Notwithstanding anything to the contrary herein, the aggregate principal amount of the Incremental Facilities that can be incurred at any time shall not exceed the Incremental Cap at such time. Each Incremental Facility shall be in a minimum principal amount of $5,000,000 and integral multiples of $1,000,000 in excess thereof (unless the Borrowers and the Administrative Agent otherwise agree); </w:t>
      </w:r>
      <w:r>
        <w:rPr>
          <w:rFonts w:ascii="Times New Roman" w:hAnsi="Times New Roman"/>
          <w:sz w:val="20"/>
          <w:u w:val="single"/>
        </w:rPr>
        <w:t>provided</w:t>
      </w:r>
      <w:r>
        <w:rPr>
          <w:rFonts w:ascii="Times New Roman" w:hAnsi="Times New Roman"/>
          <w:sz w:val="20"/>
        </w:rPr>
        <w:t xml:space="preserve"> that such amount may be less than $5,000,000 if such amount represents all the remaining availability under the aggregate principal amount of Incremental Facilities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(b) (i) The Incremental Term Facilities (a) shall (i) rank equal or junior in right of payment with the </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(ii) if secured, be secured only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securing the Secured Obligations (except in the case of any Designated Alternative Security Debt) and (iii) only be guaranteed by the Loan Parties (except in the case of any Designated Alternative Security Debt), (b) except in the case of any Designated Earlier Maturing Debt, shall not mature earlier than the Term Maturity Date, (c) except in the case of any Designated Earlier Maturing Debt, shall not have a shorter Weighted Average Life to Maturity than the remaining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and prepayment terms and premiums and other terms and conditions as determined by the applicable Borrower and the Additional Term Lenders thereunder; </w:t>
      </w:r>
      <w:r>
        <w:rPr>
          <w:rFonts w:ascii="Times New Roman" w:hAnsi="Times New Roman"/>
          <w:sz w:val="20"/>
          <w:u w:val="single"/>
        </w:rPr>
        <w:t>provided</w:t>
      </w:r>
      <w:r>
        <w:rPr>
          <w:rFonts w:ascii="Times New Roman" w:hAnsi="Times New Roman"/>
          <w:sz w:val="20"/>
        </w:rPr>
        <w:t xml:space="preserve"> that, for any Incremental Term Facility that (x) is broadly syndicated to banks and other institutional investors, (y) is a term loan that ranks equal in right of payment with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and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and (z) is denominated in dollars, in the event that the Effective Yield for any such Incremental Term Facility is greater than the Effective Yield for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by more than 0.50% per annum, then the Effective Yield for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shall be increased to the extent necessary so that the Effective Yield for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is equal to the Effective Yield for such Incremental Term Facility minus 0.50% per annum (</w:t>
      </w:r>
      <w:r>
        <w:rPr>
          <w:rFonts w:ascii="Times New Roman" w:hAnsi="Times New Roman"/>
          <w:sz w:val="20"/>
          <w:u w:val="single"/>
        </w:rPr>
        <w:t>provided</w:t>
      </w:r>
      <w:r>
        <w:rPr>
          <w:rFonts w:ascii="Times New Roman" w:hAnsi="Times New Roman"/>
          <w:sz w:val="20"/>
        </w:rPr>
        <w:t xml:space="preserve"> that the “LIBOR floor” applicable to the outstanding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shall be increased to an amount not to exceed the “LIBOR floor” applicable to such Incremental Term Facility prior to any increase in the Applicable Rate applicable to such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then outstanding) and (e) may otherwise have terms and conditions as agreed between the applicable Borrower and the Additional Term Lenders providing any such Incremental Term Facility. </w:t>
      </w:r>
    </w:p>
    <w:p>
      <w:pPr>
        <w:pStyle w:val="TextBody"/>
        <w:bidi w:val="0"/>
        <w:spacing w:before="120" w:after="0"/>
        <w:jc w:val="left"/>
        <w:rPr>
          <w:rFonts w:ascii="Times New Roman" w:hAnsi="Times New Roman"/>
          <w:sz w:val="20"/>
        </w:rPr>
      </w:pPr>
      <w:r>
        <w:rPr>
          <w:rFonts w:ascii="Times New Roman" w:hAnsi="Times New Roman"/>
          <w:sz w:val="20"/>
        </w:rPr>
        <w:t xml:space="preserve">(ii) The Incremental Term Increases shall be treated the same as the Class of Term Loans being increased (including with respect to maturity date thereof), shall be considered to be part of the Class of Term Loans being increased and shall be on the same terms applicable to </w:t>
      </w:r>
      <w:r>
        <w:rPr>
          <w:rFonts w:ascii="Times New Roman" w:hAnsi="Times New Roman"/>
          <w:strike/>
          <w:color w:val="FF0000"/>
          <w:sz w:val="20"/>
        </w:rPr>
        <w:t>the Initial</w:t>
      </w:r>
      <w:r>
        <w:rPr>
          <w:rFonts w:ascii="Times New Roman" w:hAnsi="Times New Roman"/>
          <w:color w:val="0000FF"/>
          <w:sz w:val="20"/>
          <w:u w:val="single"/>
          <w:bdr w:val="double" w:sz="2" w:space="1" w:color="000000"/>
        </w:rPr>
        <w:t>such</w:t>
      </w:r>
      <w:r>
        <w:rPr>
          <w:rFonts w:ascii="Times New Roman" w:hAnsi="Times New Roman"/>
          <w:sz w:val="20"/>
        </w:rPr>
        <w:t xml:space="preserve"> Term Loans (excluding upfront fees and customary arranger fees); </w:t>
      </w:r>
      <w:r>
        <w:rPr>
          <w:rFonts w:ascii="Times New Roman" w:hAnsi="Times New Roman"/>
          <w:sz w:val="20"/>
          <w:u w:val="single"/>
        </w:rPr>
        <w:t>provided</w:t>
      </w:r>
      <w:r>
        <w:rPr>
          <w:rFonts w:ascii="Times New Roman" w:hAnsi="Times New Roman"/>
          <w:sz w:val="20"/>
        </w:rPr>
        <w:t xml:space="preserve"> that (i) the pricing, interest rate margins, “most favored nation” (if any) provisions and rate floors on the Class of Term Loans being increased may be increased and additional upfront or similar fees may be payable to the lenders providing the Incremental Term Increase (without any requirement to pay such fees to any existing Term Lenders) and (ii) such Incremental Term Increase shall be subject to the “most favored nation” pricing adjustment (if applicable) set forth in the proviso to </w:t>
      </w:r>
      <w:r>
        <w:rPr>
          <w:rFonts w:ascii="Times New Roman" w:hAnsi="Times New Roman"/>
          <w:sz w:val="20"/>
          <w:u w:val="single"/>
        </w:rPr>
        <w:t>Section 2.19(b)(i)</w:t>
      </w:r>
      <w:r>
        <w:rPr>
          <w:rFonts w:ascii="Times New Roman" w:hAnsi="Times New Roman"/>
          <w:sz w:val="20"/>
        </w:rPr>
        <w:t xml:space="preserve"> as if such Incremental Term Increase was an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Times New Roman" w:hAnsi="Times New Roman"/>
          <w:sz w:val="20"/>
          <w:u w:val="single"/>
        </w:rPr>
        <w:t>provided</w:t>
      </w:r>
      <w:r>
        <w:rPr>
          <w:rFonts w:ascii="Times New Roman" w:hAnsi="Times New Roman"/>
          <w:sz w:val="20"/>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(iv) The Additional/Replacement Revolving Commitments (a) shall (i) rank equal or junior in right of payment with the Revolving Loans, (ii) if secured, be secured only by the Collateral securing the Secured Obligations (except in the case of any Designated Alternative Security Debt) and (iii) only be guaranteed by the Loan Parties (except in the case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Alternative Security Debt),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applicable Borrower and Additional Revolving Lenders providing such commitments and (d) may otherwise have terms and conditions as agreed between the applicable Borrower and Additional Revolving Lenders providing any such Additional/Replacement Revolving Commitments. </w:t>
      </w:r>
    </w:p>
    <w:p>
      <w:pPr>
        <w:pStyle w:val="TextBody"/>
        <w:bidi w:val="0"/>
        <w:spacing w:before="240" w:after="0"/>
        <w:jc w:val="left"/>
        <w:rPr>
          <w:rFonts w:ascii="Times New Roman" w:hAnsi="Times New Roman"/>
          <w:sz w:val="20"/>
        </w:rPr>
      </w:pPr>
      <w:r>
        <w:rPr>
          <w:rFonts w:ascii="Times New Roman" w:hAnsi="Times New Roman"/>
          <w:sz w:val="20"/>
        </w:rPr>
        <w:t>(c) Incremental Facilities shall become Commitments and Loans, as applicable, under this Agreement pursuant to an amendment (an “</w:t>
      </w:r>
      <w:r>
        <w:rPr>
          <w:rFonts w:ascii="Times New Roman" w:hAnsi="Times New Roman"/>
          <w:sz w:val="20"/>
          <w:u w:val="single"/>
        </w:rPr>
        <w:t>Incremental Facility Amendment</w:t>
      </w:r>
      <w:r>
        <w:rPr>
          <w:rFonts w:ascii="Times New Roman" w:hAnsi="Times New Roman"/>
          <w:sz w:val="20"/>
        </w:rPr>
        <w:t xml:space="preserve">”) to this Agreement and, as appropriate, the other Loan Documents, executed by the Borrower Representative, each Lender agreeing to provide such Commitment or Loan, if any, each Additional Lender, if any, and the Administrative Agent. Any Incremental Facility Amendment may provide for the issuance of Letters of Credit for the account of the Revolving Borrowers,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hAnsi="Times New Roman"/>
          <w:sz w:val="20"/>
          <w:u w:val="single"/>
        </w:rPr>
        <w:t>provided</w:t>
      </w:r>
      <w:r>
        <w:rPr>
          <w:rFonts w:ascii="Times New Roman" w:hAnsi="Times New Roman"/>
          <w:sz w:val="20"/>
        </w:rPr>
        <w:t xml:space="preserve"> that no Issuing Bank shall be required to act as “issuing bank” and no Swingline Lender shall be required to act as “swingline lender” under any such Incremental Facility Amendment without its written consent. An Incremental Facility may be provided, subject to the prior written consent of the Borrower Representative (not to be unreasonably withheld), by any existing Lender (it being understood that no existing Lender shall have the right to participate in any Incremental Facility or, unless it agrees, be obligated to provide any Incremental Facilities) or by any Additional Lender. Any loan under an Incremental Facility shall be a “Loan” for all purposes of this Agreement and the other Loan Documents. The Incremental Facility Amendment may, subject to </w:t>
      </w:r>
      <w:r>
        <w:rPr>
          <w:rFonts w:ascii="Times New Roman" w:hAnsi="Times New Roman"/>
          <w:sz w:val="20"/>
          <w:u w:val="single"/>
        </w:rPr>
        <w:t>Section 2.19(b)</w:t>
      </w:r>
      <w:r>
        <w:rPr>
          <w:rFonts w:ascii="Times New Roman" w:hAnsi="Times New Roman"/>
          <w:sz w:val="20"/>
        </w:rPr>
        <w:t xml:space="preserve">, without the consent of any other Lenders, effect such amendments to this Agreement and the other Loan Documents as may be necessary, in the reasonable opinion of the Administrative Agent and the Borrower Representative, to effect the provisions of this </w:t>
      </w:r>
      <w:r>
        <w:rPr>
          <w:rFonts w:ascii="Times New Roman" w:hAnsi="Times New Roman"/>
          <w:sz w:val="20"/>
          <w:u w:val="single"/>
        </w:rPr>
        <w:t>Section 2.19</w:t>
      </w:r>
      <w:r>
        <w:rPr>
          <w:rFonts w:ascii="Times New Roman" w:hAnsi="Times New Roman"/>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w:t>
      </w:r>
      <w:r>
        <w:rPr>
          <w:rFonts w:ascii="Times New Roman" w:hAnsi="Times New Roman"/>
          <w:sz w:val="20"/>
          <w:u w:val="single"/>
        </w:rPr>
        <w:t>Section 2.19</w:t>
      </w:r>
      <w:r>
        <w:rPr>
          <w:rFonts w:ascii="Times New Roman" w:hAnsi="Times New Roman"/>
          <w:sz w:val="20"/>
        </w:rPr>
        <w:t xml:space="preserve">. The Borrowers will use the proceeds of the Incremental Term Loans, Incremental Revolving Commitment Increases and Additional/Replacement Revolving Commitments for any purpose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this </w:t>
      </w:r>
      <w:r>
        <w:rPr>
          <w:rFonts w:ascii="Times New Roman" w:hAnsi="Times New Roman"/>
          <w:sz w:val="20"/>
          <w:u w:val="single"/>
        </w:rPr>
        <w:t>Section 2.19</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after the Effective Date, the Borrowers may obtain, from any Lender or any Additional Lender, Credit Agreement Refinancing Indebtedness in respect of (i) all or any portion of the Term Loans then outstanding under this Agreement (which for purposes of this clause (i) will be deemed to include any then outstanding Other Term Loans), (ii) all or any portion of the Revolving Loans (or unused Revolving Commitments) under this Agreement (which for purposes of this clause (ii) will be deemed to include any then outstanding Other Revolving Loans and Other Revolving Commitments) and (iii) all or any portion of Incremental Equivalent Debt, in the form of (x) Other Term Loans or Other Term Commitments or (y) Other Revolving Loans or Other Revolving Commitments, as the case may be, in each case pursuant to a Refinancing Amendment; </w:t>
      </w:r>
      <w:r>
        <w:rPr>
          <w:rFonts w:ascii="Times New Roman" w:hAnsi="Times New Roman"/>
          <w:sz w:val="20"/>
          <w:u w:val="single"/>
        </w:rPr>
        <w:t>provided</w:t>
      </w:r>
      <w:r>
        <w:rPr>
          <w:rFonts w:ascii="Times New Roman" w:hAnsi="Times New Roman"/>
          <w:sz w:val="20"/>
        </w:rPr>
        <w:t xml:space="preserve"> that such Credit Agreement Refinancing Indebtedness (i) will be unsecured or will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(and if secured, subject to the terms of a Customary Intercreditor Agreement), (ii) will have such pricing and optional prepayment terms as may be agreed by the Borrowers and the Lenders thereof, and (iii) the Net Proceeds of such Credit Agreement Refinancing Indebtedness shall be applied, substantially concurrently with the incurrence thereof, to the prepayment of outstanding Term Loans, reduction of Revolving Commitments being so refinanced or the prepayment, satisfaction and discharge or redemption of outstanding Incremental Equivalent Debt, as the case may be. The effectiveness of any Refinancing Amendment shall be subject to the satisfaction on the date thereof of the conditions as agreed between the lenders providing such Credit Agreement Refinancing Indebtedness and the Borrowers and, to the extent reasonably requested by the Administrative Agent, receipt by the Administrative Agent of legal opinions, board resolutions, officers’ certificates and/or reaffirmation agreements consistent with those delivered on the Effective Date under </w:t>
      </w:r>
      <w:r>
        <w:rPr>
          <w:rFonts w:ascii="Times New Roman" w:hAnsi="Times New Roman"/>
          <w:sz w:val="20"/>
          <w:u w:val="single"/>
        </w:rPr>
        <w:t>Section 4.01</w:t>
      </w:r>
      <w:r>
        <w:rPr>
          <w:rFonts w:ascii="Times New Roman" w:hAnsi="Times New Roman"/>
          <w:sz w:val="20"/>
        </w:rPr>
        <w:t xml:space="preserve"> (other than changes to such legal opinions resulting from a change in law, change in fact or change to counsel’s form of opinion reasonably satisfactory to the Administrative Agent). Each Class of Credit Agreement Refinancing Indebtedness incurred under this </w:t>
      </w:r>
      <w:r>
        <w:rPr>
          <w:rFonts w:ascii="Times New Roman" w:hAnsi="Times New Roman"/>
          <w:sz w:val="20"/>
          <w:u w:val="single"/>
        </w:rPr>
        <w:t>Section 2.20</w:t>
      </w:r>
      <w:r>
        <w:rPr>
          <w:rFonts w:ascii="Times New Roman" w:hAnsi="Times New Roman"/>
          <w:sz w:val="20"/>
        </w:rPr>
        <w:t xml:space="preserve"> shall be in an aggregate principal amount that is not less than $5,000,000 and an integral multiple of $1,000,000 in excess thereof (in each case unless the Borrowers and the Administrative Agent otherwise agree). Any Refinancing Amendment may provide for the issuance of Letters of Credit for the account of the Revolving Borrowers, or the provision to the Revolving Borrowers of Swingline Loans, pursuant to any Other Revolving Commitments established thereby, in each case on terms substantially equivalent to the terms applicable to Letters of Credit and Swingline Loans under the Revolving Commitments; </w:t>
      </w:r>
      <w:r>
        <w:rPr>
          <w:rFonts w:ascii="Times New Roman" w:hAnsi="Times New Roman"/>
          <w:sz w:val="20"/>
          <w:u w:val="single"/>
        </w:rPr>
        <w:t>provided</w:t>
      </w:r>
      <w:r>
        <w:rPr>
          <w:rFonts w:ascii="Times New Roman" w:hAnsi="Times New Roman"/>
          <w:sz w:val="20"/>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Borrowers, to effect the provisions of this </w:t>
      </w:r>
      <w:r>
        <w:rPr>
          <w:rFonts w:ascii="Times New Roman" w:hAnsi="Times New Roman"/>
          <w:sz w:val="20"/>
          <w:u w:val="single"/>
        </w:rPr>
        <w:t>Section 2.20</w:t>
      </w:r>
      <w:r>
        <w:rPr>
          <w:rFonts w:ascii="Times New Roman" w:hAnsi="Times New Roman"/>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2.20</w:t>
      </w:r>
      <w:r>
        <w:rPr>
          <w:rFonts w:ascii="Times New Roman" w:hAnsi="Times New Roman"/>
          <w:sz w:val="20"/>
        </w:rPr>
        <w:t xml:space="preserve"> shall supersede any provisions in Section 2.17 or Section 9.02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w:t>
      </w:r>
      <w:r>
        <w:rPr>
          <w:rFonts w:ascii="Times New Roman" w:hAnsi="Times New Roman"/>
          <w:sz w:val="20"/>
          <w:u w:val="single"/>
        </w:rPr>
        <w:t>Section 9.02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Subject to the last sentence of </w:t>
      </w:r>
      <w:r>
        <w:rPr>
          <w:rFonts w:ascii="Times New Roman" w:hAnsi="Times New Roman"/>
          <w:sz w:val="20"/>
          <w:u w:val="single"/>
        </w:rPr>
        <w:t>Section 2.10(f)</w:t>
      </w:r>
      <w:r>
        <w:rPr>
          <w:rFonts w:ascii="Times New Roman" w:hAnsi="Times New Roman"/>
          <w:sz w:val="20"/>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sz w:val="20"/>
          <w:u w:val="single"/>
        </w:rPr>
        <w:t>Article VII</w:t>
      </w:r>
      <w:r>
        <w:rPr>
          <w:rFonts w:ascii="Times New Roman" w:hAnsi="Times New Roman"/>
          <w:sz w:val="20"/>
        </w:rPr>
        <w:t xml:space="preserve"> or otherwise, and including any amounts made available to the Administrative Agent by that Defaulting Lender pursuant to </w:t>
      </w:r>
      <w:r>
        <w:rPr>
          <w:rFonts w:ascii="Times New Roman" w:hAnsi="Times New Roman"/>
          <w:sz w:val="20"/>
          <w:u w:val="single"/>
        </w:rPr>
        <w:t>Section 9.08</w:t>
      </w:r>
      <w:r>
        <w:rPr>
          <w:rFonts w:ascii="Times New Roman" w:hAnsi="Times New Roman"/>
          <w:sz w:val="20"/>
        </w:rPr>
        <w:t xml:space="preserv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that Defaulting Lender to the Administrative Agent hereunder; </w:t>
      </w:r>
      <w:r>
        <w:rPr>
          <w:rFonts w:ascii="Times New Roman" w:hAnsi="Times New Roman"/>
          <w:sz w:val="20"/>
          <w:u w:val="single"/>
        </w:rPr>
        <w:t>second</w:t>
      </w:r>
      <w:r>
        <w:rPr>
          <w:rFonts w:ascii="Times New Roman" w:hAnsi="Times New Roman"/>
          <w:sz w:val="20"/>
        </w:rPr>
        <w:t xml:space="preserve">, in the case of a Revolving Lender, to the payment on a pro rata basis of any amounts owing by that Defaulting Lender to each Issuing Bank and the Swingline Lender hereunder; </w:t>
      </w:r>
      <w:r>
        <w:rPr>
          <w:rFonts w:ascii="Times New Roman" w:hAnsi="Times New Roman"/>
          <w:sz w:val="20"/>
          <w:u w:val="single"/>
        </w:rPr>
        <w:t>third</w:t>
      </w:r>
      <w:r>
        <w:rPr>
          <w:rFonts w:ascii="Times New Roman" w:hAnsi="Times New Roman"/>
          <w:sz w:val="20"/>
        </w:rPr>
        <w:t xml:space="preserve">, as the Borrowers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sz w:val="20"/>
          <w:u w:val="single"/>
        </w:rPr>
        <w:t>fourth</w:t>
      </w:r>
      <w:r>
        <w:rPr>
          <w:rFonts w:ascii="Times New Roman" w:hAnsi="Times New Roman"/>
          <w:sz w:val="20"/>
        </w:rPr>
        <w:t xml:space="preserve">, in the case of a Revolving Lender, if so determined by the Administrative Agent and the Borrowers, to be held in a non-interest bearing deposit account and released in order to satisfy obligations of that Defaulting Lender to fund Loans under this Agreement; </w:t>
      </w:r>
      <w:r>
        <w:rPr>
          <w:rFonts w:ascii="Times New Roman" w:hAnsi="Times New Roman"/>
          <w:sz w:val="20"/>
          <w:u w:val="single"/>
        </w:rPr>
        <w:t>fifth</w:t>
      </w:r>
      <w:r>
        <w:rPr>
          <w:rFonts w:ascii="Times New Roman" w:hAnsi="Times New Roman"/>
          <w:sz w:val="20"/>
        </w:rPr>
        <w:t xml:space="preserve">, to the payment of any amounts owing to the Lenders or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hAnsi="Times New Roman"/>
          <w:sz w:val="20"/>
          <w:u w:val="single"/>
        </w:rPr>
        <w:t>sixth</w:t>
      </w:r>
      <w:r>
        <w:rPr>
          <w:rFonts w:ascii="Times New Roman" w:hAnsi="Times New Roman"/>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hAnsi="Times New Roman"/>
          <w:sz w:val="20"/>
          <w:u w:val="single"/>
        </w:rPr>
        <w:t>seventh</w:t>
      </w:r>
      <w:r>
        <w:rPr>
          <w:rFonts w:ascii="Times New Roman" w:hAnsi="Times New Roman"/>
          <w:sz w:val="20"/>
        </w:rPr>
        <w:t xml:space="preserve">, to that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Times New Roman" w:hAnsi="Times New Roman"/>
          <w:sz w:val="20"/>
          <w:u w:val="single"/>
        </w:rPr>
        <w:t>Section 2.04(j)</w:t>
      </w:r>
      <w:r>
        <w:rPr>
          <w:rFonts w:ascii="Times New Roman" w:hAnsi="Times New Roman"/>
          <w:sz w:val="20"/>
        </w:rPr>
        <w:t xml:space="preserve"> or this </w:t>
      </w:r>
      <w:r>
        <w:rPr>
          <w:rFonts w:ascii="Times New Roman" w:hAnsi="Times New Roman"/>
          <w:sz w:val="20"/>
          <w:u w:val="single"/>
        </w:rPr>
        <w:t>Section 2.21(a)(ii)</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w:t>
      </w:r>
      <w:r>
        <w:rPr>
          <w:rFonts w:ascii="Times New Roman" w:hAnsi="Times New Roman"/>
          <w:sz w:val="20"/>
          <w:u w:val="single"/>
        </w:rPr>
        <w:t>Section 2.04(j)</w:t>
      </w:r>
      <w:r>
        <w:rPr>
          <w:rFonts w:ascii="Times New Roman" w:hAnsi="Times New Roman"/>
          <w:sz w:val="20"/>
        </w:rPr>
        <w:t xml:space="preserve"> shall be deemed paid to and redirected by that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(x) shall not be entitled to receive or accrue any commitment fee pursuant to </w:t>
      </w:r>
      <w:r>
        <w:rPr>
          <w:rFonts w:ascii="Times New Roman" w:hAnsi="Times New Roman"/>
          <w:sz w:val="20"/>
          <w:u w:val="single"/>
        </w:rPr>
        <w:t>Section 2.11(a)</w:t>
      </w:r>
      <w:r>
        <w:rPr>
          <w:rFonts w:ascii="Times New Roman" w:hAnsi="Times New Roman"/>
          <w:sz w:val="20"/>
        </w:rPr>
        <w:t xml:space="preserve"> 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Applicable Percentages to Reduce Fronting Exposure</w:t>
      </w:r>
      <w:r>
        <w:rPr>
          <w:rFonts w:ascii="Times New Roman" w:hAnsi="Times New Roman"/>
          <w:sz w:val="20"/>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Times New Roman" w:hAnsi="Times New Roman"/>
          <w:sz w:val="20"/>
          <w:u w:val="single"/>
        </w:rPr>
        <w:t>Section 2.04</w:t>
      </w:r>
      <w:r>
        <w:rPr>
          <w:rFonts w:ascii="Times New Roman" w:hAnsi="Times New Roman"/>
          <w:sz w:val="20"/>
        </w:rPr>
        <w:t xml:space="preserve">, respectively, and the payments of participation fees pursuant to </w:t>
      </w:r>
      <w:r>
        <w:rPr>
          <w:rFonts w:ascii="Times New Roman" w:hAnsi="Times New Roman"/>
          <w:sz w:val="20"/>
          <w:u w:val="single"/>
        </w:rPr>
        <w:t>Section 2.11(b)</w:t>
      </w:r>
      <w:r>
        <w:rPr>
          <w:rFonts w:ascii="Times New Roman" w:hAnsi="Times New Roman"/>
          <w:sz w:val="20"/>
        </w:rPr>
        <w:t xml:space="preserve">, the “Applicable Percentage” of each non-Defaulting Lender shall be computed without giving effect to the Revolving Commitment of that Defaulting Lender; </w:t>
      </w:r>
      <w:r>
        <w:rPr>
          <w:rFonts w:ascii="Times New Roman" w:hAnsi="Times New Roman"/>
          <w:sz w:val="20"/>
          <w:u w:val="single"/>
        </w:rPr>
        <w:t>provided</w:t>
      </w:r>
      <w:r>
        <w:rPr>
          <w:rFonts w:ascii="Times New Roman" w:hAnsi="Times New Roman"/>
          <w:sz w:val="20"/>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hAnsi="Times New Roman"/>
          <w:sz w:val="20"/>
          <w:u w:val="single"/>
        </w:rPr>
        <w:t>minus</w:t>
      </w:r>
      <w:r>
        <w:rPr>
          <w:rFonts w:ascii="Times New Roman" w:hAnsi="Times New Roman"/>
          <w:sz w:val="20"/>
        </w:rPr>
        <w:t xml:space="preserve"> (2) the aggregate principal amount of the Revolving Loans of that non-Defaulting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Cash Collateral; Repayment of Swingline Loans</w:t>
      </w:r>
      <w:r>
        <w:rPr>
          <w:rFonts w:ascii="Times New Roman" w:hAnsi="Times New Roman"/>
          <w:sz w:val="20"/>
        </w:rPr>
        <w:t xml:space="preserve">. If the reallocation described in clause (iv) above cannot, or can only partially, be effected, the Borrowers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w:t>
      </w:r>
      <w:r>
        <w:rPr>
          <w:rFonts w:ascii="Times New Roman" w:hAnsi="Times New Roman"/>
          <w:sz w:val="20"/>
          <w:u w:val="single"/>
        </w:rPr>
        <w:t>Section 2.04(j)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Borrowers, the Administrative Agent,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w:t>
      </w:r>
      <w:r>
        <w:rPr>
          <w:rFonts w:ascii="Times New Roman" w:hAnsi="Times New Roman"/>
          <w:sz w:val="20"/>
          <w:u w:val="single"/>
        </w:rPr>
        <w:t>Section 2.21(a)(iv)</w:t>
      </w:r>
      <w:r>
        <w:rPr>
          <w:rFonts w:ascii="Times New Roman" w:hAnsi="Times New Roman"/>
          <w:sz w:val="20"/>
        </w:rPr>
        <w:t xml:space="preserve"> or the proviso to the definition thereof), whereupon that Lender will cease to be a Defaulting Lender with respect to such Class;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Borrowers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Illegality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Borrowers through the Administrative Agent, (i) any obligation of such Lender to make or continue Eurodollar Loans or to convert ABR Loans to Eurodollar Loans shall be suspended, and (ii)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 notifies the Administrative Agent and the Borrowers that the circumstances giving rise to such determination no longer exist. Upon receipt of such notice, (x) the Borrowers shall, upon three Business Days’ notice from such Lender (with a copy to the Administrative Agent), prepay or, if applicable, convert all Eurodollar Loans denominated in dollars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Borrowers in writing promptly upon becoming aware that it is no longer illegal for such Lender to determine or charge interest rates based upon the Adjusted LIBO Rate. Upon any such prepayment or conversion, the Borrowers shall also pay accrued interest on the amount so prepaid or converted. </w:t>
      </w:r>
    </w:p>
    <w:p>
      <w:pPr>
        <w:pStyle w:val="TextBody"/>
        <w:bidi w:val="0"/>
        <w:spacing w:before="36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Loan Modification Offers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any time after the Effective Date, the Borrowers may on one or more occasions, by written notice to the Administrative Agent, make one or more offers (each, a “</w:t>
      </w:r>
      <w:r>
        <w:rPr>
          <w:rFonts w:ascii="Times New Roman" w:hAnsi="Times New Roman"/>
          <w:sz w:val="20"/>
          <w:u w:val="single"/>
        </w:rPr>
        <w:t>Loan Modification Offer</w:t>
      </w:r>
      <w:r>
        <w:rPr>
          <w:rFonts w:ascii="Times New Roman" w:hAnsi="Times New Roman"/>
          <w:sz w:val="20"/>
        </w:rPr>
        <w:t>”) to all the Lenders of one or more Classes (each Class subject to such a Loan Modification Offer, an “</w:t>
      </w:r>
      <w:r>
        <w:rPr>
          <w:rFonts w:ascii="Times New Roman" w:hAnsi="Times New Roman"/>
          <w:sz w:val="20"/>
          <w:u w:val="single"/>
        </w:rPr>
        <w:t>Affected Class</w:t>
      </w:r>
      <w:r>
        <w:rPr>
          <w:rFonts w:ascii="Times New Roman" w:hAnsi="Times New Roman"/>
          <w:sz w:val="20"/>
        </w:rPr>
        <w:t>”) to effect one or more Permitted Amendments relating to such Affected Class pursuant to procedures reasonably specified by the Administrative Agent and reasonably acceptable to the Borrowers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hAnsi="Times New Roman"/>
          <w:sz w:val="20"/>
          <w:u w:val="single"/>
        </w:rPr>
        <w:t>Accepting Lenders</w:t>
      </w:r>
      <w:r>
        <w:rPr>
          <w:rFonts w:ascii="Times New Roman" w:hAnsi="Times New Roman"/>
          <w:sz w:val="20"/>
        </w:rPr>
        <w:t xml:space="preserve">”) and, in the case of any Accepting Lender, only with respect to such Lender’s Loans and Commitments of such Affected Class as to which such Lender’s acceptance has been made. </w:t>
      </w:r>
    </w:p>
    <w:p>
      <w:pPr>
        <w:pStyle w:val="TextBody"/>
        <w:bidi w:val="0"/>
        <w:spacing w:before="240" w:after="0"/>
        <w:jc w:val="left"/>
        <w:rPr>
          <w:rFonts w:ascii="Times New Roman" w:hAnsi="Times New Roman"/>
          <w:sz w:val="20"/>
        </w:rPr>
      </w:pPr>
      <w:r>
        <w:rPr>
          <w:rFonts w:ascii="Times New Roman" w:hAnsi="Times New Roman"/>
          <w:sz w:val="20"/>
        </w:rPr>
        <w:t xml:space="preserve">(b) A Permitted Amendment shall be effected pursuant to a Loan Modification Agreement executed and delivered by Holdings, the Borrowers, each applicable Accepting Lender and the Administrative Agent; </w:t>
      </w:r>
      <w:r>
        <w:rPr>
          <w:rFonts w:ascii="Times New Roman" w:hAnsi="Times New Roman"/>
          <w:sz w:val="20"/>
          <w:u w:val="single"/>
        </w:rPr>
        <w:t>provided</w:t>
      </w:r>
      <w:r>
        <w:rPr>
          <w:rFonts w:ascii="Times New Roman" w:hAnsi="Times New Roman"/>
          <w:sz w:val="20"/>
        </w:rPr>
        <w:t xml:space="preserve"> that no Permitted Amendment shall become effective unless Holdings and the Borrowers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 w:hAnsi="Times New Roman"/>
          <w:sz w:val="20"/>
          <w:u w:val="single"/>
        </w:rPr>
        <w:t>Section 2.23</w:t>
      </w:r>
      <w:r>
        <w:rPr>
          <w:rFonts w:ascii="Times New Roman" w:hAnsi="Times New Roman"/>
          <w:sz w:val="20"/>
        </w:rPr>
        <w:t xml:space="preserve">, including any amendments necessary to treat the applicable Loans and/or Commitments of the Accepting Lenders as a new “Class” of loans and/or commitments hereunder. </w:t>
      </w:r>
    </w:p>
    <w:p>
      <w:pPr>
        <w:pStyle w:val="TextBody"/>
        <w:bidi w:val="0"/>
        <w:spacing w:before="240" w:after="0"/>
        <w:jc w:val="left"/>
        <w:rPr>
          <w:rFonts w:ascii="Times New Roman" w:hAnsi="Times New Roman"/>
          <w:sz w:val="20"/>
        </w:rPr>
      </w:pPr>
      <w:r>
        <w:rPr>
          <w:rFonts w:ascii="Times New Roman" w:hAnsi="Times New Roman"/>
          <w:sz w:val="20"/>
        </w:rPr>
        <w:t>(c) If, in connection with any proposed Loan Modification Offer, any Lender declines to consent to such Loan Modification Offer on the terms and by the deadline set forth in such Loan Modification Offer (each such Lender, a “</w:t>
      </w:r>
      <w:r>
        <w:rPr>
          <w:rFonts w:ascii="Times New Roman" w:hAnsi="Times New Roman"/>
          <w:sz w:val="20"/>
          <w:u w:val="single"/>
        </w:rPr>
        <w:t>Non-Accepting Lender</w:t>
      </w:r>
      <w:r>
        <w:rPr>
          <w:rFonts w:ascii="Times New Roman" w:hAnsi="Times New Roman"/>
          <w:sz w:val="20"/>
        </w:rPr>
        <w:t xml:space="preserve">”) then the Borrowers may, on notice to the Administrative Agent and the Non-Accepting Lender, (i) replace such Non-Accepting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in whole or in part by causing such Lender to (and such Lender shall be obligated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Borrowers to find a replacement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Times New Roman" w:hAnsi="Times New Roman"/>
          <w:sz w:val="20"/>
          <w:u w:val="single"/>
        </w:rPr>
        <w:t>Section 2.23(c)</w:t>
      </w:r>
      <w:r>
        <w:rPr>
          <w:rFonts w:ascii="Times New Roman" w:hAnsi="Times New Roman"/>
          <w:sz w:val="20"/>
        </w:rPr>
        <w:t xml:space="preserve">, accrued interest thereon, accrued fees and all other amounts (including any amounts under </w:t>
      </w:r>
      <w:r>
        <w:rPr>
          <w:rFonts w:ascii="Times New Roman" w:hAnsi="Times New Roman"/>
          <w:sz w:val="20"/>
          <w:u w:val="single"/>
        </w:rPr>
        <w:t>Section 2.10(a)(i)</w:t>
      </w:r>
      <w:r>
        <w:rPr>
          <w:rFonts w:ascii="Times New Roman" w:hAnsi="Times New Roman"/>
          <w:sz w:val="20"/>
        </w:rPr>
        <w:t xml:space="preserve">) payable to it hereunder from the Eligible Assignee (to the extent of such outstanding principal and accrued interest and fees) and (c) unless waived, the Borrowers or such Eligible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this </w:t>
      </w:r>
      <w:r>
        <w:rPr>
          <w:rFonts w:ascii="Times New Roman" w:hAnsi="Times New Roman"/>
          <w:sz w:val="20"/>
          <w:u w:val="single"/>
        </w:rPr>
        <w:t>Section 2.23</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(including </w:t>
      </w:r>
      <w:r>
        <w:rPr>
          <w:rFonts w:ascii="Times New Roman" w:hAnsi="Times New Roman"/>
          <w:sz w:val="20"/>
          <w:u w:val="single"/>
        </w:rPr>
        <w:t>Section 2.21)</w:t>
      </w:r>
      <w:r>
        <w:rPr>
          <w:rFonts w:ascii="Times New Roman" w:hAnsi="Times New Roman"/>
          <w:sz w:val="20"/>
        </w:rPr>
        <w:t xml:space="preserve">), in reliance upon the agreements of the other Lenders set forth in this </w:t>
      </w:r>
      <w:r>
        <w:rPr>
          <w:rFonts w:ascii="Times New Roman" w:hAnsi="Times New Roman"/>
          <w:sz w:val="20"/>
          <w:u w:val="single"/>
        </w:rPr>
        <w:t>Section 2.24</w:t>
      </w:r>
      <w:r>
        <w:rPr>
          <w:rFonts w:ascii="Times New Roman" w:hAnsi="Times New Roman"/>
          <w:sz w:val="20"/>
        </w:rPr>
        <w:t xml:space="preserve">, the Swingline Lender agrees to make Swingline Loans to the Revolving Borrowers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Revolving Borrowers may borrow, prepay and re-borrow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(b) To request a Swingline Loan, a Revolving Borrower shall notify the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a Revolving Borrower maintained with the Swingline Lender because such Revolving Borrower is unable to maintain a general deposit account with the Swingline Lender under applicable Requirements of Law, the location and number of such Revolving Borrower’s account to which funds are to be disbursed, which shall comply with </w:t>
      </w:r>
      <w:r>
        <w:rPr>
          <w:rFonts w:ascii="Times New Roman" w:hAnsi="Times New Roman"/>
          <w:sz w:val="20"/>
          <w:u w:val="single"/>
        </w:rPr>
        <w:t>Section 2.05</w:t>
      </w:r>
      <w:r>
        <w:rPr>
          <w:rFonts w:ascii="Times New Roman" w:hAnsi="Times New Roman"/>
          <w:sz w:val="20"/>
        </w:rPr>
        <w:t xml:space="preserve">, or (y) in the case of any ABR Revolving Borrowing or Swingline Loan requested to finance the reimbursement of an LC Disbursement as provided in </w:t>
      </w:r>
      <w:r>
        <w:rPr>
          <w:rFonts w:ascii="Times New Roman" w:hAnsi="Times New Roman"/>
          <w:sz w:val="20"/>
          <w:u w:val="single"/>
        </w:rPr>
        <w:t>Section 2.04(f)</w:t>
      </w:r>
      <w:r>
        <w:rPr>
          <w:rFonts w:ascii="Times New Roman" w:hAnsi="Times New Roman"/>
          <w:sz w:val="20"/>
        </w:rPr>
        <w:t xml:space="preserve">, the identity of the Issuing Bank that made such LC Disbursement. The Swingline Lender shall make each Swingline Loan available to such Revolving Borrower by means of a credit to the general deposit accounts of such Revolving Borrower maintained with the Swingline Lender for the applicable Swingline Loan (or, in the case of a Swingline Loan made to finance the reimbursement of an LC Disbursement as provided in </w:t>
      </w:r>
      <w:r>
        <w:rPr>
          <w:rFonts w:ascii="Times New Roman" w:hAnsi="Times New Roman"/>
          <w:sz w:val="20"/>
          <w:u w:val="single"/>
        </w:rPr>
        <w:t>Section 2.04(f)</w:t>
      </w:r>
      <w:r>
        <w:rPr>
          <w:rFonts w:ascii="Times New Roman" w:hAnsi="Times New Roman"/>
          <w:sz w:val="20"/>
        </w:rPr>
        <w:t xml:space="preserve">, by remittance to the applicable Issuing Bank) by 3:00 p.m., New York City time, on the requested date of such Swingline Loan. No Swingline Lender shall be under any obligation to make a Swingline Loan if any Lender is at that time a Defaulting Lender, if after giving effect to </w:t>
      </w:r>
      <w:r>
        <w:rPr>
          <w:rFonts w:ascii="Times New Roman" w:hAnsi="Times New Roman"/>
          <w:sz w:val="20"/>
          <w:u w:val="single"/>
        </w:rPr>
        <w:t>Section 2.21(a)(iv)</w:t>
      </w:r>
      <w:r>
        <w:rPr>
          <w:rFonts w:ascii="Times New Roman" w:hAnsi="Times New Roman"/>
          <w:sz w:val="20"/>
        </w:rPr>
        <w:t xml:space="preserve">, any Defaulting Lender Fronting Exposure remains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Swingline Lender may by written notice given to the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hAnsi="Times New Roman"/>
          <w:sz w:val="20"/>
          <w:u w:val="single"/>
        </w:rPr>
        <w:t>Section 2.05</w:t>
      </w:r>
      <w:r>
        <w:rPr>
          <w:rFonts w:ascii="Times New Roman" w:hAnsi="Times New Roman"/>
          <w:sz w:val="20"/>
        </w:rPr>
        <w:t xml:space="preserve"> with respect to Loans made by such Lender (with references to 12:00 noon, New York City time, in such Section being deemed to be references to 3:00 p.m., New York City time) (and </w:t>
      </w:r>
      <w:r>
        <w:rPr>
          <w:rFonts w:ascii="Times New Roman" w:hAnsi="Times New Roman"/>
          <w:sz w:val="20"/>
          <w:u w:val="single"/>
        </w:rPr>
        <w:t>Section 2.05</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to the payment obligations of the Revolving Lenders pursuant to this paragraph), and the Administrative Agent shall promptly remit to the Swingline Lender the amounts so received by it from the Revolving Lenders. The Administrative Agent shall notify the Revolving Borrowers of any participations in any Swingline Loan acquired pursuant to this paragraph, and thereafter payments in respect of such Swingline Loan shall be made to the Administrative Agent and not to the Swingline Lender. Any amounts received by the Swingline Lender from a Revolving Borrower (or other Person on behalf of such Revolving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the Swingline Lender or the Administrative Agent, as the case may be, and thereafter to such Revolving Borrower, if and to the extent such payment is required to be refunded to such Revolving Borrower for any reason. The purchase of participations in a Swingline Loan pursuant to this paragraph shall not relieve the Revolving Borrowers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(d) The Revolving Borrowers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and the Borrower Representative, executed by the Borrower Representative,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Revolving Borrowers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of Holdings and Bidco represents and warrants to the Lenders (provided that (x) Holdings’ representations and warranties shall be limited to the Major Representations and (y) in the case of Non-U.S. Loan Parties and Non-U.S. Restricted Subsidiaries, each representation and warranty shall be subject to the Legal Reservations and the Agreed Security Principles) that: </w:t>
      </w:r>
    </w:p>
    <w:p>
      <w:pPr>
        <w:pStyle w:val="TextBody"/>
        <w:bidi w:val="0"/>
        <w:spacing w:before="36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any Intermediate Parent, Bidco and the Restricted Subsidiaries is (a) duly organized or incorporated, validly existing and in good standing (to the extent such concept exists in the relevant jurisdictions)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each case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has been duly authorized, executed and delivered by each of Holdings, Bidco and the Borrowers, and constitutes, and each other Loan Document to which any Loan Party is to be a party, when executed and delivered by such Loan Party, will constitute, a legal, valid and binding obligation of Holdings, Bidco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36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on </w:t>
      </w:r>
      <w:r>
        <w:rPr>
          <w:rFonts w:ascii="Times New Roman" w:hAnsi="Times New Roman"/>
          <w:sz w:val="20"/>
          <w:u w:val="single"/>
        </w:rPr>
        <w:t>Schedule 3.03</w:t>
      </w:r>
      <w:r>
        <w:rPr>
          <w:rFonts w:ascii="Times New Roman" w:hAnsi="Times New Roman"/>
          <w:sz w:val="20"/>
        </w:rPr>
        <w:t xml:space="preserve">, the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or (ii) any Requirements of Law applicable to, Holdings, any Intermediate Parent, Bidco or any Restricted Subsidiary, (c) will not violate or result in a default under any indenture or other agreement or instrument binding upon Holdings, any Intermediate Parent, Bidco or any Restricted Subsidiary or their respective assets, or give rise to a right thereunder to require any payment, repurchase or redemption to be made by Holdings, any Intermediate Parent, Bidco or any Restricted Subsidiary, or give rise to a right of, or result in, termination, cancellation or acceleration of any obligation thereunder and (d) will not result in the creation or imposition of any Lien on any asset of Holdings, any Intermediate Parent, Bidco or any Restricted Subsidiary, except Liens created under the Loan Documents or permitted by </w:t>
      </w:r>
      <w:r>
        <w:rPr>
          <w:rFonts w:ascii="Times New Roman" w:hAnsi="Times New Roman"/>
          <w:sz w:val="20"/>
          <w:u w:val="single"/>
        </w:rPr>
        <w:t>Section 6.02</w:t>
      </w:r>
      <w:r>
        <w:rPr>
          <w:rFonts w:ascii="Times New Roman" w:hAnsi="Times New Roman"/>
          <w:sz w:val="20"/>
        </w:rPr>
        <w:t xml:space="preserve">, except to the extent that the failure to obtain or make such consent, approval, registration, filing or action, or such violation, default or right, or imposition of a Lien, as the case may be, individually or in the aggregate,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Since the Effective Date, there has been no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Holdings, Bidco and the Restricted Subsidiaries has good fee simple, or the equivalent in foreign jurisdictions, title to, or valid leasehold (or license or similar) interests in or other limited property interests in, all its real and personal property material to its business, if any, (i) free and clear of all Liens except for Liens permitted by </w:t>
      </w:r>
      <w:r>
        <w:rPr>
          <w:rFonts w:ascii="Times New Roman" w:hAnsi="Times New Roman"/>
          <w:sz w:val="20"/>
          <w:u w:val="single"/>
        </w:rPr>
        <w:t>Section 6.02</w:t>
      </w:r>
      <w:r>
        <w:rPr>
          <w:rFonts w:ascii="Times New Roman" w:hAnsi="Times New Roman"/>
          <w:sz w:val="20"/>
        </w:rPr>
        <w:t xml:space="preserve">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Holdings, Bidco and the Restricted Subsidiaries has all applicable licenses, consents, approvals, registrations, filings and other governmental authorizations needed to (i) operate any Loan Party’s terrestrial facilities, (ii) launch and operate each satellite network of Bidco and the Restricted Subsidiaries, and (iii) transmit signals to and from its satellite network, in each case, except where the failure to do so would not reasonably be expected to have,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3.06</w:t>
      </w:r>
      <w:r>
        <w:rPr>
          <w:rFonts w:ascii="Times New Roman" w:hAnsi="Times New Roman"/>
          <w:sz w:val="20"/>
        </w:rPr>
        <w:t xml:space="preserve">, there are no actions, suits or proceedings by or before any arbitrator or Governmental Authority pending against or, to the knowledge of Holdings or Bidco, threatened in writing against or affecting Holdings, Bidco or any Restricted Subsidiary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Schedule 3.06</w:t>
      </w:r>
      <w:r>
        <w:rPr>
          <w:rFonts w:ascii="Times New Roman" w:hAnsi="Times New Roman"/>
          <w:sz w:val="20"/>
        </w:rPr>
        <w:t xml:space="preserve">, and except with respect to any other matters that, individually or in the aggregate, would not reasonably be expected to result in a Material Adverse Effect, none of Holdings, any Intermediate Parent, Bidco or any Restricted Subsidiary or their respective facilities or operations (i) is not in compliance with any Environmental Law or any permit, license or other approval required under any Environmental Law, or does not possess all permits, licenses or other approvals required under any Environmental Law, (ii) has, to the knowledge of Holdings or Bidco, become subject to any Environmental Liability or (iii) has received written notice of any claim with respect to any Environmental Liability. </w:t>
      </w:r>
    </w:p>
    <w:p>
      <w:pPr>
        <w:pStyle w:val="TextBody"/>
        <w:bidi w:val="0"/>
        <w:spacing w:before="36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Bidco and the Restricted Subsidiaries is in compliance with all Requirements of Law applicable to it or its property, except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the Loan Parties is required to register as an “investment company” under the Investment Company Act of 1940,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individually or in the aggregate, reasonably be expected to have a Material Adverse Effect, Holdings, Bidco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hAnsi="Times New Roman"/>
          <w:sz w:val="20"/>
          <w:u w:val="single"/>
        </w:rPr>
        <w:t>provided</w:t>
      </w:r>
      <w:r>
        <w:rPr>
          <w:rFonts w:ascii="Times New Roman" w:hAnsi="Times New Roman"/>
          <w:sz w:val="20"/>
        </w:rPr>
        <w:t xml:space="preserve"> that Holdings, Bidco or such Subsidiary, as the case may be, has set aside on its books adequate reserves therefor in accordance with IFRS and applicable local standards. There is no proposed Tax assessment, deficiency or other claim against Holdings, Bidco or any Restricted Subsidiary that would reasonably be expected to, individually or in the aggregate, have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Material Adverse Effect, each Plan sponsored by a Loan Party is in compliance with the applicable provisions of ERISA, the Code and other federal or state laws.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result in a Material Adverse Effect, (i) with respect to any Multiemployer Plan with respect to which a Loan Party is directly obligated to contribute or Plan sponsored by a Loan Party, no ERISA Event has occurred during the six year period prior to the date on which this representation is made or deemed made or is reasonably expected to occur, (ii) with respect to any Multiemployer Plan with respect to which any ERISA Affiliate (other than a Loan Party) is directly obligated to contribute or any Plan (other than any Plan sponsored by a Loan Party), to the knowledge of Holdings and Bidco no ERISA Event has occurred during the six year period prior to the date on which this representation is made or deemed made or is reasonably expected to occur, and (iii) neither any Loan Party nor, to the knowledge of Holdings and Bidco, any ERISA Affiliate has engaged in a transaction that would reasonably be expected to be subject to Section 4069 or 4212(c) of ERISA.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or an application for such a letter is currently being processed by the Internal Revenue Service, (ii) to the knowledge of Holdings and Bidco, no fact or event has occurred that could reasonably be expected to adversely affect the qualified status of any such employee benefit plan, and (iii) there are no pending or, to the knowledge of Holdings and Bidco, threatened (in writing) claims, actions or lawsuits, or action by any Governmental Authority, with respect to any such plan. </w:t>
      </w:r>
    </w:p>
    <w:p>
      <w:pPr>
        <w:pStyle w:val="TextBody"/>
        <w:bidi w:val="0"/>
        <w:spacing w:before="36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(to Bidco’s knowledge), all written factual information and written factual data (other than projections and information of a general economic or industry specific nature) furnished by or on behalf of any of Holdings, Bidco and its Restricted Subsidiaries to the Administrative Agent, any Joint Lead Arranger or any Lender in connection with the Transactions, when taken as a whole after giving effect to all supplements and updates provided thereto, is correct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hAnsi="Times New Roman"/>
          <w:sz w:val="20"/>
          <w:u w:val="single"/>
        </w:rPr>
        <w:t>provided</w:t>
      </w:r>
      <w:r>
        <w:rPr>
          <w:rFonts w:ascii="Times New Roman" w:hAnsi="Times New Roman"/>
          <w:sz w:val="20"/>
        </w:rPr>
        <w:t xml:space="preserve"> that, with respect to the projections, Holdings and Bidco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Bidco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 </w:t>
      </w:r>
    </w:p>
    <w:p>
      <w:pPr>
        <w:pStyle w:val="TextBody"/>
        <w:bidi w:val="0"/>
        <w:spacing w:before="36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w:t>
      </w:r>
      <w:r>
        <w:rPr>
          <w:rFonts w:ascii="Times New Roman" w:hAnsi="Times New Roman"/>
          <w:sz w:val="20"/>
          <w:u w:val="single"/>
        </w:rPr>
        <w:t>Schedule 3.12</w:t>
      </w:r>
      <w:r>
        <w:rPr>
          <w:rFonts w:ascii="Times New Roman" w:hAnsi="Times New Roman"/>
          <w:sz w:val="20"/>
        </w:rPr>
        <w:t xml:space="preserve"> sets forth the name of, and the ownership interest of Holdings and each of its subsidiaries in, each subsidiary of Holdings. </w:t>
      </w:r>
    </w:p>
    <w:p>
      <w:pPr>
        <w:pStyle w:val="TextBody"/>
        <w:bidi w:val="0"/>
        <w:spacing w:before="36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Intellectual Property; Licenses,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reasonably be expected to have a Material Adverse Effect, each of Holdings, any Intermediate Parent, Bidco and the Restricted Subsidiaries owns, licenses or possesses the right to use all Intellectual Property that is reasonably necessary for the operation of its business substantially as currently conducted. To the knowledge of Holdings and Bidco, no Intellectual Property used by Holdings, any Intermediate Parent, Bidco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Bidco, threatened in writing against Holdings, any Intermediate Parent, Bidco or any Restricted Subsidiary, which, individually or in the aggregate, would reasonably be expected to have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Solvency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consummation of each of the Transactions to occur on the Effective Date, after taking into account all applicable rights of indemnity and contribution, (a) the sum of the debt (including contingent liabilities) of Bidco and the Subsidiaries, on a consolidated basis, does not exceed the present fair saleable value of the present assets of Bidco and the Subsidiaries, on a consolidated basis, (b) the capital of Bidco and the Subsidiaries, on a consolidated basis, is not unreasonably small in relation to their business as contemplated on the Effective Date, (c) Bidco and the Subsidiaries, on a consolidated basis, have not incurred and do not intend to incur, or believe that they will incur, debts including current obligations, beyond their ability to pay such debts as they become due (whether at maturity or otherwise) and (d) Bidco and the Subsidiaries, on a consolidated basis, are “solvent” within the meaning given to that term and similar terms under applicable laws relating to fraudulent transfers and conveyances. For purposes of this </w:t>
      </w:r>
      <w:r>
        <w:rPr>
          <w:rFonts w:ascii="Times New Roman" w:hAnsi="Times New Roman"/>
          <w:sz w:val="20"/>
          <w:u w:val="single"/>
        </w:rPr>
        <w:t>Section 3.14</w:t>
      </w:r>
      <w:r>
        <w:rPr>
          <w:rFonts w:ascii="Times New Roman" w:hAnsi="Times New Roman"/>
          <w:sz w:val="20"/>
        </w:rPr>
        <w:t xml:space="preserve">,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pursuant to IAS 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Senior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Document Obligations constitute “Senior Indebtedness” (or any comparable term) under and as defined in the documentation governing any other Subordinated Indebtedness. </w:t>
      </w:r>
    </w:p>
    <w:p>
      <w:pPr>
        <w:pStyle w:val="TextBody"/>
        <w:bidi w:val="0"/>
        <w:spacing w:before="36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Federal Reserve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Holdings, Bidco, any Borrower or any other Restricted Subsidiary is engaged or will engage, principally or as one of its important activities, in the business of purchasing or carrying margin stock (within the meaning of Regulation U of the Board of Governors), or in extending credit for the purpose of purchasing or carrying margin stock. No part of the proceeds of the Loans will be used, directly or indirectly, for any purpose that violates the provisions of Regulations U or X of the Board of Governors. </w:t>
      </w:r>
    </w:p>
    <w:p>
      <w:pPr>
        <w:pStyle w:val="TextBody"/>
        <w:bidi w:val="0"/>
        <w:spacing w:before="36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Borrowers will use the proceeds of: </w:t>
      </w:r>
    </w:p>
    <w:p>
      <w:pPr>
        <w:pStyle w:val="TextBody"/>
        <w:bidi w:val="0"/>
        <w:spacing w:before="240" w:after="0"/>
        <w:jc w:val="left"/>
        <w:rPr>
          <w:rFonts w:ascii="Times New Roman" w:hAnsi="Times New Roman"/>
          <w:sz w:val="20"/>
        </w:rPr>
      </w:pPr>
      <w:r>
        <w:rPr>
          <w:rFonts w:ascii="Times New Roman" w:hAnsi="Times New Roman"/>
          <w:sz w:val="20"/>
        </w:rPr>
        <w:t xml:space="preserve">(a) (i) the Initial Term Loans made on the Effective Date to directly or indirectly finance the Transactions and (ii) the Initial Term Loans made as a Certain Funds Utilization on or after the Effective Date until the Initial Term Commitment Expiration to directly or indirectly finance the Refinancing; </w:t>
      </w:r>
    </w:p>
    <w:p>
      <w:pPr>
        <w:pStyle w:val="TextBody"/>
        <w:bidi w:val="0"/>
        <w:spacing w:before="240" w:after="0"/>
        <w:jc w:val="left"/>
        <w:rPr>
          <w:rFonts w:ascii="Times New Roman" w:hAnsi="Times New Roman"/>
          <w:sz w:val="20"/>
        </w:rPr>
      </w:pPr>
      <w:r>
        <w:rPr>
          <w:rFonts w:ascii="Times New Roman" w:hAnsi="Times New Roman"/>
          <w:sz w:val="20"/>
        </w:rPr>
        <w:t xml:space="preserve">(b) the Revolving Loans and Swingline Loans made, and the Letters of Credit issued, on the Effective Date to (i) fund the Acquisition, the Refinancing, the other transactions contemplated by the Acquisition Documents and the Transaction Costs, (ii) cash collateralize, backstop, replace or provide credit support for any existing letters of credit for the account of the Company and its subsidiaries and (iii) fund any working capital needs; </w:t>
      </w:r>
      <w:r>
        <w:rPr>
          <w:rFonts w:ascii="Times New Roman" w:hAnsi="Times New Roman"/>
          <w:sz w:val="20"/>
          <w:u w:val="single"/>
        </w:rPr>
        <w:t>provided</w:t>
      </w:r>
      <w:r>
        <w:rPr>
          <w:rFonts w:ascii="Times New Roman" w:hAnsi="Times New Roman"/>
          <w:sz w:val="20"/>
        </w:rPr>
        <w:t xml:space="preserve"> that the principal amount of Revolving Loans made on the Effective Date for the purposes described in clause (b)(i) above shall not exceed $50,000,000; and </w:t>
      </w:r>
    </w:p>
    <w:p>
      <w:pPr>
        <w:pStyle w:val="TextBody"/>
        <w:bidi w:val="0"/>
        <w:spacing w:before="240" w:after="0"/>
        <w:jc w:val="left"/>
        <w:rPr>
          <w:rFonts w:ascii="Times New Roman" w:hAnsi="Times New Roman"/>
          <w:sz w:val="20"/>
        </w:rPr>
      </w:pPr>
      <w:r>
        <w:rPr>
          <w:rFonts w:ascii="Times New Roman" w:hAnsi="Times New Roman"/>
          <w:sz w:val="20"/>
        </w:rPr>
        <w:t>(c) the Revolving Loans and Swingline Loans, and Letters of Credit issued, after the Effective Date for working capital and other general corporate purposes (including for capital expenditures, Permitted Acquisitions, Permitted Investments, Restricted Payments and any other transactions not prohibited by the Loan Documents)</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color w:val="0000FF"/>
          <w:sz w:val="20"/>
          <w:u w:val="single"/>
          <w:bdr w:val="double" w:sz="2" w:space="1" w:color="000000"/>
        </w:rPr>
        <w:t>the Amendment No. 1 Refinancing Term Loans to refinance in full the Initial Term Loans outstanding immediately prior to the Amendment No. 1 Effective Date.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Anti-Corruption Laws; Sanctions; 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Holdings, Bidco and the Restricted Subsidiaries is in compliance in all material respects with (i) applicable Sanctions, (ii) Title III of the USA Patriot Act, and (iii) the United States Foreign Corrupt Practices Act of 1977, as amended, the UK Bribery Act or any law or regulation implementing the OECD Convention on Combatting Bribery of Foreign Public Officials (collectively, “</w:t>
      </w:r>
      <w:r>
        <w:rPr>
          <w:rFonts w:ascii="Times New Roman" w:hAnsi="Times New Roman"/>
          <w:sz w:val="20"/>
          <w:u w:val="single"/>
        </w:rPr>
        <w:t>Anti-Corruption Laws</w:t>
      </w:r>
      <w:r>
        <w:rPr>
          <w:rFonts w:ascii="Times New Roman" w:hAnsi="Times New Roman"/>
          <w:sz w:val="20"/>
        </w:rPr>
        <w:t xml:space="preserve">”), in each of (i) through (iii), to the extent applicable to the relevant entity in a jurisdiction in which such entity operates. </w:t>
      </w:r>
    </w:p>
    <w:p>
      <w:pPr>
        <w:pStyle w:val="TextBody"/>
        <w:bidi w:val="0"/>
        <w:spacing w:before="240" w:after="0"/>
        <w:jc w:val="left"/>
        <w:rPr>
          <w:rFonts w:ascii="Times New Roman" w:hAnsi="Times New Roman"/>
          <w:sz w:val="20"/>
        </w:rPr>
      </w:pPr>
      <w:r>
        <w:rPr>
          <w:rFonts w:ascii="Times New Roman" w:hAnsi="Times New Roman"/>
          <w:sz w:val="20"/>
        </w:rPr>
        <w:t xml:space="preserve">(b) None of Holdings, any Intermediate Parent, Bidco, any of the Restricted Subsidiaries or, any director or officer thereof, or to the knowledge of Bidco, any employee thereof, is an individual or entity with whom dealings are prohibited by any Sanctions, nor is Holdings, any Intermediate Parent, Bidco or any Restricted Subsidiary located, organized or resident in a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 and Certain Funds Utilization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each Lender (x) to make Loans and the obligations of each Issuing Bank to issue Letters of Credit hereunder on the Effective Date and (y) to make any Certain Funds Utilization on or following the Effective Date shall be subject to satisfaction of the following conditions (or waiver thereof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its counsel) shall have received from each Certain Funds Loan Party either (i) a counterpart of this Agreement signed on behalf of such party or (ii) otherwise, written evidence satisfactory to the Administrative Agent (which may include facsimile or other electronic transmission of a signed counterpart of this Agreement) that such party has signed a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have received a written opinion (addressed to the Administrative Agent, the Lenders and the Issuing Banks and dated the Effective Date) of (i) Carey Olsen (Guernsey) LLP, as Guernsey law counsel to the Administrative Agent, (ii) Ogier, as Luxembourg law counsel to the Finco Borrower, (iii) Kirkland &amp; Ellis, LLP, as New York law counsel to each Certain Funds Loan Party, (iv) Nauta-Dutilh Avocats Luxembourg S.à r.l., as Luxembourg law counsel to the Administrative Agent and (v) Milbank LLP, as English law counsel to the Administrative Agent, in each case in form and substance reasonably satisfactory to the Administrative Agent. Each applicable party hereby requests such counsel deliver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have received a certificate of each Certain Funds Loan Party, dated the Effective Date, in form and substance reasonably satisfactory to the Administrative Agent, executed by any Responsible Officer of such Certain Funds Loan Party, and (i) including or attaching the documents referred to in </w:t>
      </w:r>
      <w:r>
        <w:rPr>
          <w:rFonts w:ascii="Times New Roman" w:hAnsi="Times New Roman"/>
          <w:sz w:val="20"/>
          <w:u w:val="single"/>
        </w:rPr>
        <w:t>Section 4.01(d)</w:t>
      </w:r>
      <w:r>
        <w:rPr>
          <w:rFonts w:ascii="Times New Roman" w:hAnsi="Times New Roman"/>
          <w:sz w:val="20"/>
        </w:rPr>
        <w:t>, (ii) confirming that, subject to the guarantee limitations set out in this Agreement, borrowing or guaranteeing or securing (as appropriate) the total Commitments hereunder would not cause any borrowing, guarantee, security or other similar limit binding on it to be exceeded and (iii) with respect to the Finco Borrower, attaching (x) a copy of an excerpt from the Luxembourg Companies Register in relation to the Finco Borrower dated no earlier than one (1) Business Day prior to the date of this Agreement and a copy of a certificate of non-registration of judgements (</w:t>
      </w:r>
      <w:r>
        <w:rPr>
          <w:rFonts w:ascii="Times New Roman" w:hAnsi="Times New Roman"/>
          <w:i/>
          <w:sz w:val="20"/>
        </w:rPr>
        <w:t>certificat de non-inscription d’une décision judiciaire</w:t>
      </w:r>
      <w:r>
        <w:rPr>
          <w:rFonts w:ascii="Times New Roman" w:hAnsi="Times New Roman"/>
          <w:sz w:val="20"/>
        </w:rPr>
        <w:t xml:space="preserve">) issued by the Luxembourg Companies Register dated no earlier than one (1) Business Day prior to the date of this Agreement, or (y) in the event the items under (x) above are not available at the date of the certificate, a </w:t>
      </w:r>
      <w:r>
        <w:rPr>
          <w:rFonts w:ascii="Times New Roman" w:hAnsi="Times New Roman"/>
          <w:i/>
          <w:sz w:val="20"/>
        </w:rPr>
        <w:t>certificat de coutume</w:t>
      </w:r>
      <w:r>
        <w:rPr>
          <w:rFonts w:ascii="Times New Roman" w:hAnsi="Times New Roman"/>
          <w:sz w:val="20"/>
        </w:rPr>
        <w:t xml:space="preserve"> (good standing certificate) issued by a Luxembourg public notary.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have received a copy of (i) each Organizational Document of each Certain Funds Loan Party, (ii) signature and (as applicable) incumbency certificates of the Responsible Officers of each Certain Funds Loan Party executing the Loan Documents to which it is a party, and (iii) copies of resolutions of the board of directors or managers, shareholders, partners, and/or similar governing bodies of each Certain Funds Loan Party approving and authorizing the execution, delivery and performance of Loan Documents to which it is a party, certified as of the Effective Date by a secretary, an assistant secretary or a Responsible Officer of such Certain Funds Loan Party as being in full force and effect without modification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Administrative Agent shall have received (or substantially simultaneously with the initial funding of Loans on the Effective Date, shall receive) all fees and other amounts previously agreed in writing by the Joint Lead Arrangers and the Borrowers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Loan Document;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 xml:space="preserve">that </w:t>
      </w:r>
      <w:r>
        <w:rPr>
          <w:rFonts w:ascii="Times New Roman" w:hAnsi="Times New Roman"/>
          <w:sz w:val="20"/>
        </w:rPr>
        <w:t xml:space="preserve">a reference to payment of such fees in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(including by reference to a funds flow statement) shall be deemed to satisfy this paragraph (e). </w:t>
      </w:r>
    </w:p>
    <w:p>
      <w:pPr>
        <w:pStyle w:val="TextBody"/>
        <w:bidi w:val="0"/>
        <w:spacing w:before="240" w:after="0"/>
        <w:jc w:val="left"/>
        <w:rPr>
          <w:rFonts w:ascii="Times New Roman" w:hAnsi="Times New Roman"/>
          <w:sz w:val="20"/>
        </w:rPr>
      </w:pPr>
      <w:r>
        <w:rPr>
          <w:rFonts w:ascii="Times New Roman" w:hAnsi="Times New Roman"/>
          <w:sz w:val="20"/>
        </w:rPr>
        <w:t xml:space="preserve">(f) Subject to Section 5.14, the Administrative Agent (or its counsel) shall have received from the relevant Certain Funds Loan Party, in each case to the extent required on the Effective Date: (w) a counterpart of each Initial Guernsey Collateral Agreement signed on behalf of each Certain Funds Loan Party that is a party thereto, (x) a counterpart of each Initial Luxembourg Collateral Agreement signed on behalf of each Certain Funds Loan Party that is a party thereto, (y) a counterpart of the Collateral Agreement signed on behalf of each Certain Funds Loan Party that is a party thereto and (z) subject to the Agreed Security Principles, (i) a counterpart of the first ranking security governed by Guernsey law granted by the Finco Borrower in favor of the Collateral Agent over any structural intercompany receivables owed to it by Bidco as security for the Secured Obligations, (ii) each counterpart of the first ranking security governed by Guernsey or English law (as applicable) granted by Bidco in favor of the Finco Borrower over its material operating bank accounts (without control over use) as security for Bidco’s obligations under any structural intercompany loans made to it by the Finco Borrower, (iii) a counterpart of the second ranking security governed by Guernsey or English law (as applicable) granted by Bidco in favor of the Collateral Agent over its material operating bank accounts (without control over use) as security for the Secured Obligations, and (iv) a counterpart of the first ranking security governed by Guernsey or English law (as applicable) granted by the Finco Borrower in favor of the Collateral Agent over its rights in respect of the security referred to in clause (z)(ii) above as security for the Secured Obligations, in each case signed on behalf of each Certain Funds Loan Party that is a party thereto (or, in each case, written evidence satisfactory to the Administrative Agent (which may include facsimile or other electronic transmission of a signed counterpart of the relevant document) that such party has signed a counterpart of such document).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(i) a copy of the Announcement, (ii) a copy of the Co-operation Agreement, (iii) a copy of the Scheme Circular, (iv) a copy of the Fee Letter, (v) a copy of the Model and (vi) a copy of the Tax Structure Memorandum.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shall have received a certificate from a Responsible Officer of Bidco certifying that, as of the Effective Date, (i) the Scheme Effective Date has occurred and (ii) the Minimum Equity Requirement shall have been satisfied, or substantially concurrently with, or prior to, the initial funding of Loans on the Effective Date,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(i) (i) There is no Major Event of Default continuing on the date of the proposed Certain Funds Utilization and (ii) it is not unlawful in any applicable </w:t>
      </w:r>
      <w:r>
        <w:rPr>
          <w:rFonts w:ascii="Times New Roman" w:hAnsi="Times New Roman"/>
          <w:strike/>
          <w:color w:val="FF0000"/>
          <w:sz w:val="20"/>
        </w:rPr>
        <w:t>jurisidction</w:t>
      </w:r>
      <w:r>
        <w:rPr>
          <w:rFonts w:ascii="Times New Roman" w:hAnsi="Times New Roman"/>
          <w:color w:val="0000FF"/>
          <w:sz w:val="20"/>
          <w:u w:val="single"/>
          <w:bdr w:val="double" w:sz="2" w:space="1" w:color="000000"/>
        </w:rPr>
        <w:t xml:space="preserve">jurisdiction </w:t>
      </w:r>
      <w:r>
        <w:rPr>
          <w:rFonts w:ascii="Times New Roman" w:hAnsi="Times New Roman"/>
          <w:sz w:val="20"/>
        </w:rPr>
        <w:t xml:space="preserve">for such Lender to make, or to allow to have outstanding, the proposed Certain Funds Utilization.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have received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Solely with respect to any Certain Funds Utilization, the Administrative Agent shall have received a certificate from a Responsible Officer of Bidco certifying that as of the date of such Certain Funds Utilization, the Minimum Equity Requirement shall have been satisfied, or substantially concurrently with, or prior to, the funding of Loans in connection therewith,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(l) The Pari Passu Intercreditor Agreement shall have been duly executed and delivered by all of the Certain Funds Loan Parties stated to be party thereto.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conditions set forth in this </w:t>
      </w:r>
      <w:r>
        <w:rPr>
          <w:rFonts w:ascii="Times New Roman" w:hAnsi="Times New Roman"/>
          <w:sz w:val="20"/>
          <w:u w:val="single"/>
        </w:rPr>
        <w:t>Section 4.01</w:t>
      </w:r>
      <w:r>
        <w:rPr>
          <w:rFonts w:ascii="Times New Roman" w:hAnsi="Times New Roman"/>
          <w:sz w:val="20"/>
        </w:rPr>
        <w:t xml:space="preserve"> have been satisfied, by releasing its signature page hereto or to an Assignment and Assumption, the Administrative Agent and each Lender party hereto shall be deemed to have consented to, approved, accepted or be satisfied with each document or other matter required hereunder to be consented to or approved by, or acceptable or satisfactory to, the Administrative Agent or such Lender, as the case may be. </w:t>
      </w:r>
    </w:p>
    <w:p>
      <w:pPr>
        <w:pStyle w:val="TextBody"/>
        <w:bidi w:val="0"/>
        <w:spacing w:before="36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Effective Date (other than any Certain Funds Utilization, which shall be governed by </w:t>
      </w:r>
      <w:r>
        <w:rPr>
          <w:rFonts w:ascii="Times New Roman" w:hAnsi="Times New Roman"/>
          <w:sz w:val="20"/>
          <w:u w:val="single"/>
        </w:rPr>
        <w:t>Section 4.01</w:t>
      </w:r>
      <w:r>
        <w:rPr>
          <w:rFonts w:ascii="Times New Roman" w:hAnsi="Times New Roman"/>
          <w:sz w:val="20"/>
        </w:rPr>
        <w:t xml:space="preserve"> only), the obligation of each Lender to make a Loan on the occasion of any Borrowing, and of each Issuing Bank to issue, amend, renew or extend any Letter of Credit (other than any initial Borrowing under any Incremental Facility or any Borrowing used to finance a Limited Condition Transaction), is subject to receipt of the request therefor in accordance herewith and to the satisfaction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each Loan Party set forth in the Loan Documents (or in the case of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date of such credit extension or on such earlier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the case may be,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Borrowing, the Administrative Agent shall have received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Borrowing (</w:t>
      </w:r>
      <w:r>
        <w:rPr>
          <w:rFonts w:ascii="Times New Roman" w:hAnsi="Times New Roman"/>
          <w:sz w:val="20"/>
          <w:u w:val="single"/>
        </w:rPr>
        <w:t>provided</w:t>
      </w:r>
      <w:r>
        <w:rPr>
          <w:rFonts w:ascii="Times New Roman" w:hAnsi="Times New Roman"/>
          <w:sz w:val="20"/>
        </w:rPr>
        <w:t xml:space="preserve"> that a conversion or a continuation of a Borrowing shall not constitute a “Borrowing” for purposes of this </w:t>
      </w:r>
      <w:r>
        <w:rPr>
          <w:rFonts w:ascii="Times New Roman" w:hAnsi="Times New Roman"/>
          <w:sz w:val="20"/>
          <w:u w:val="single"/>
        </w:rPr>
        <w:t>Section 4.02</w:t>
      </w:r>
      <w:r>
        <w:rPr>
          <w:rFonts w:ascii="Times New Roman" w:hAnsi="Times New Roman"/>
          <w:sz w:val="20"/>
        </w:rPr>
        <w:t xml:space="preserve">), other than a Borrowing under any Incremental Facility or a Borrowing the proceeds of which are used to finance a Limited Condition Transaction, and each issuance, amendment, renewal or extension of a Letter of Credit shall be deemed to constitute a representation and warranty by Holdings and Bidco on the date thereof as to the matters specified in paragraphs (a) and (b) of this </w:t>
      </w:r>
      <w:r>
        <w:rPr>
          <w:rFonts w:ascii="Times New Roman" w:hAnsi="Times New Roman"/>
          <w:sz w:val="20"/>
          <w:u w:val="single"/>
        </w:rPr>
        <w:t>Section 4.02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u w:val="single"/>
        </w:rPr>
        <w:t>AFFIRMATIVE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and Bidco covenants and agrees with the Lenders that: </w:t>
      </w:r>
    </w:p>
    <w:p>
      <w:pPr>
        <w:pStyle w:val="TextBody"/>
        <w:bidi w:val="0"/>
        <w:spacing w:before="36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or a Borrower will furnish to the Administrative Agent, on behalf of each Lender: </w:t>
      </w:r>
    </w:p>
    <w:p>
      <w:pPr>
        <w:pStyle w:val="TextBody"/>
        <w:bidi w:val="0"/>
        <w:spacing w:before="240" w:after="0"/>
        <w:jc w:val="left"/>
        <w:rPr>
          <w:rFonts w:ascii="Times New Roman" w:hAnsi="Times New Roman"/>
          <w:sz w:val="20"/>
        </w:rPr>
      </w:pPr>
      <w:r>
        <w:rPr>
          <w:rFonts w:ascii="Times New Roman" w:hAnsi="Times New Roman"/>
          <w:sz w:val="20"/>
        </w:rPr>
        <w:t xml:space="preserve">(a) on or before the date that is one hundred and twenty five (125) days after the end of each fiscal year of Bidco (or, in the case of financial statements for the fiscal year ending December 31, 2019, on or before the date that is one hundred and fifty (150) days after the end of such fiscal year), the audited consolidated balance sheet and audited consolidated statements of operations and comprehensive loss and cash flows of Bidco and its Subsidiaries as of the end of and for such year, and related notes thereto,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(other than with respect to, or resulting from, (A) an upcoming maturity date of any Indebtedness occurring within one year from the time such opinion is delivered, (B) any actual failure to satisfy a financial maintenance covenant or any potential inability to satisfy a financial maintenance covenant on a future date or in a future period, (C) a civil or criminal investigative demand, subpoena or other request for information arising from any investigation or inquiry by or on behalf of any Governmental Authority or any claim, complaint, other form of accusation of a potential or actual charge or claim, litigation, investigation, arbitration or any other form of proceeding or inquiry arising from or relating to any of the foregoing or (D) the activities, operations, financial results, assets or liabilities of any Unrestricted Subsidiary) to the effect that such consolidated financial statements present fairly in all material respects the financial condition as of the end of and for such year and results of operations and cash flows of Bidco (and/or its predecessor, as applicable) and its Subsidiaries on a consolidated basis in accordance with IFRS consistently applied; </w:t>
      </w:r>
    </w:p>
    <w:p>
      <w:pPr>
        <w:pStyle w:val="TextBody"/>
        <w:bidi w:val="0"/>
        <w:spacing w:before="240" w:after="0"/>
        <w:jc w:val="left"/>
        <w:rPr>
          <w:rFonts w:ascii="Times New Roman" w:hAnsi="Times New Roman"/>
          <w:sz w:val="20"/>
        </w:rPr>
      </w:pPr>
      <w:r>
        <w:rPr>
          <w:rFonts w:ascii="Times New Roman" w:hAnsi="Times New Roman"/>
          <w:sz w:val="20"/>
        </w:rPr>
        <w:t xml:space="preserve">(b) on or before the date that is sixty (60) days after the end of each of the first three fiscal quarters of each fiscal year of Bidco (or, in the case of financial statements for the fiscal quarters ended September 30, 2019, March 31, 2020, June 30, 2020 and September 30, 2020, on or before the date that is ninety (90) days after the end of such fiscal quarter), unaudited consolidated balance sheet and unaudited consolidated statements of operations and comprehensive loss and cash flows of Bidco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Bidco (and/or its predecessor, as applicable) and its Subsidiaries on a consolidated basis in accordance with IFRS consistently applied, subject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(c) 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 later than five Business Days after any delivery of financial statements under paragraph (a) or (b) above, commencing with the financial statements delivered for the first full fiscal quarter after the Effective Date,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solely to the extent the Borrowers would be required to prepay the Term Borrowing pursuant to </w:t>
      </w:r>
      <w:r>
        <w:rPr>
          <w:rFonts w:ascii="Times New Roman" w:hAnsi="Times New Roman"/>
          <w:sz w:val="20"/>
          <w:u w:val="single"/>
        </w:rPr>
        <w:t>Section 2.10(d)</w:t>
      </w:r>
      <w:r>
        <w:rPr>
          <w:rFonts w:ascii="Times New Roman" w:hAnsi="Times New Roman"/>
          <w:sz w:val="20"/>
        </w:rPr>
        <w:t xml:space="preserve">, beginning with the financial statements for the fiscal year of Bidco ending December 31, 2020, of Excess Cash Flow for such fiscal year and (iii) in the case of financial statements delivered under paragraph (a) above, setting forth a reasonably detailed calculation of the Net Proceeds received during the applicable period by or on behalf of Bidco or any of the Restricted Subsidiaries in respect of any event described in clause (a) of the definition of the term “Prepayment Event” and the portion of such Net Proceeds that has been invested or are intended to be reinvested in accordance with the proviso in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Bidco or any Restricted Subsidiary with the SEC or with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(f) promptly following any request therefor, such other information regarding the operations, business affairs and financial condition of Holdings, any Intermediate Parent, Bidco or any Restricted Subsidiary, or compliance with the terms of any Loan Document, as the Administrative Agent on its own behalf or on behalf of any Lender may reasonably request in writing; and </w:t>
      </w:r>
    </w:p>
    <w:p>
      <w:pPr>
        <w:pStyle w:val="TextBody"/>
        <w:bidi w:val="0"/>
        <w:spacing w:before="240" w:after="0"/>
        <w:jc w:val="left"/>
        <w:rPr>
          <w:rFonts w:ascii="Times New Roman" w:hAnsi="Times New Roman"/>
          <w:sz w:val="20"/>
        </w:rPr>
      </w:pPr>
      <w:r>
        <w:rPr>
          <w:rFonts w:ascii="Times New Roman" w:hAnsi="Times New Roman"/>
          <w:sz w:val="20"/>
        </w:rPr>
        <w:t xml:space="preserve">(g) Bidco or a Borrower shall promptly conduct a quarterly conference call that the Lenders may attend to discuss the financial condition and results of operations of Bidco and its Subsidiaries for the most recently ended measurement period for which financial statements have been delivered pursuant to Sections 5.01(a) and (b), at a date and time to be determined by Bidco or a Borrower with reasonable advance notice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above may be satisfied with respect to financial information of Bidco and its Subsidiaries by furnishing (A) the Form 10-K or 10-Q (or the equivalent), as applicable, of Bidco (or a parent company thereof) filed with the SEC within the applicable time periods required by applicable law and regulations or (B) the applicable financial statements of Holdings (or any direct or indirect parent of Holdings); </w:t>
      </w:r>
      <w:r>
        <w:rPr>
          <w:rFonts w:ascii="Times New Roman" w:hAnsi="Times New Roman"/>
          <w:sz w:val="20"/>
          <w:u w:val="single"/>
        </w:rPr>
        <w:t>provided</w:t>
      </w:r>
      <w:r>
        <w:rPr>
          <w:rFonts w:ascii="Times New Roman" w:hAnsi="Times New Roman"/>
          <w:sz w:val="20"/>
        </w:rPr>
        <w:t xml:space="preserve"> that (i) to the extent such information relates to a parent of Bidco, such information is accompanied by consolidating information, which may be unaudited, that explains in reasonable detail the differences between the information relating to such parent, on the one hand, and the information relating to Bidco and its Subsidiaries on a standalone basis, on the other hand, and (ii) to the extent such information referred to in (A) or (B) above is in lieu of information required to be provided under paragraph (a) above, such materials are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(i) an upcoming maturity date of any Indebtedness occurring within one year from the time such opinion is delivered, (ii) any actual failure to satisfy a financial maintenance covenant or any potential inability to satisfy a financial maintenance covenant on a future date or in a future period, (iii) a civil investigative demand, subpoena or similar request arising from any investigation by any Governmental Authority or any claim, litigation, investigation or proceeding arising from or relating to any of the foregoing) or (iv) the activities, operations, financial results, assets or liabilities of any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Bidco or a Borrower posts such documents, or provides a link thereto on the Borrower’s website on the Internet at the website address listed on </w:t>
      </w:r>
      <w:r>
        <w:rPr>
          <w:rFonts w:ascii="Times New Roman" w:hAnsi="Times New Roman"/>
          <w:sz w:val="20"/>
          <w:u w:val="single"/>
        </w:rPr>
        <w:t>Schedule 9.01</w:t>
      </w:r>
      <w:r>
        <w:rPr>
          <w:rFonts w:ascii="Times New Roman" w:hAnsi="Times New Roman"/>
          <w:sz w:val="20"/>
        </w:rPr>
        <w:t xml:space="preserve"> (or otherwise notified pursuant to </w:t>
      </w:r>
      <w:r>
        <w:rPr>
          <w:rFonts w:ascii="Times New Roman" w:hAnsi="Times New Roman"/>
          <w:sz w:val="20"/>
          <w:u w:val="single"/>
        </w:rPr>
        <w:t>Section 9.01(d))</w:t>
      </w:r>
      <w:r>
        <w:rPr>
          <w:rFonts w:ascii="Times New Roman" w:hAnsi="Times New Roman"/>
          <w:sz w:val="20"/>
        </w:rPr>
        <w:t xml:space="preserve">; or (ii) on which such documents are posted on Bidco’s or a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maintain paper copies of the documents referred to above, and each Lender shall be solely responsible for timely accessing posted documents or requesting delivery of paper copies of such documents from the Administrative Agent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neither Bidco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w:t>
      </w:r>
      <w:r>
        <w:rPr>
          <w:rFonts w:ascii="Times New Roman" w:hAnsi="Times New Roman"/>
          <w:sz w:val="20"/>
          <w:u w:val="single"/>
        </w:rPr>
        <w:t>Section 5.01</w:t>
      </w:r>
      <w:r>
        <w:rPr>
          <w:rFonts w:ascii="Times New Roman" w:hAnsi="Times New Roman"/>
          <w:sz w:val="20"/>
        </w:rPr>
        <w:t xml:space="preserve">) to any third party or (v) that relates to any investigation by any Governmental Authority to the extent (x) such information is identifiable to a particular individual and Bidco in good faith determines such information should remain confidential or (y) the information requested is not factual in nature. </w:t>
      </w:r>
    </w:p>
    <w:p>
      <w:pPr>
        <w:pStyle w:val="TextBody"/>
        <w:bidi w:val="0"/>
        <w:spacing w:before="240" w:after="0"/>
        <w:jc w:val="left"/>
        <w:rPr>
          <w:rFonts w:ascii="Times New Roman" w:hAnsi="Times New Roman"/>
          <w:sz w:val="20"/>
        </w:rPr>
      </w:pPr>
      <w:r>
        <w:rPr>
          <w:rFonts w:ascii="Times New Roman" w:hAnsi="Times New Roman"/>
          <w:sz w:val="20"/>
        </w:rPr>
        <w:t>The Borrowers hereby acknowledge that (a) the Administrative Agent and/or the Joint Lead Arrangers will make available to the Lenders and the Issuing Banks materials and/or information provided by or on behalf of the Borrowers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and who may be engaged in investment and other market-related activities with respect to the Borrowers’ or their Affiliates’ securities. The Borrowers hereby agree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Issuing Banks and the Lenders to treat such Borrower Materials as not containing any Material Non-Public Information (although it may be sensitive and proprietary)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9.12</w:t>
      </w:r>
      <w:r>
        <w:rPr>
          <w:rFonts w:ascii="Times New Roman" w:hAnsi="Times New Roman"/>
          <w:sz w:val="20"/>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w:t>
      </w:r>
      <w:r>
        <w:rPr>
          <w:rFonts w:ascii="Times New Roman" w:hAnsi="Times New Roman"/>
          <w:sz w:val="20"/>
          <w:u w:val="single"/>
        </w:rPr>
        <w:t>provided</w:t>
      </w:r>
      <w:r>
        <w:rPr>
          <w:rFonts w:ascii="Times New Roman" w:hAnsi="Times New Roman"/>
          <w:sz w:val="20"/>
        </w:rPr>
        <w:t xml:space="preserve"> that the Borrowers’ failure to comply with this sentence shall not constitute a Default or an Event of Default under this Agreement or the Loan Documents. Notwithstanding the foregoing, the Borrowers shall be under no obligation to mark any Borrower Materials as “PUBLIC”. Each Loan Party hereby acknowledges and agrees that, unless Bidco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 Borrower notifies the Administrative Agent in advance, all financial statements and certificates furnished pursuant to </w:t>
      </w:r>
      <w:r>
        <w:rPr>
          <w:rFonts w:ascii="Times New Roman" w:hAnsi="Times New Roman"/>
          <w:sz w:val="20"/>
          <w:u w:val="single"/>
        </w:rPr>
        <w:t>Sections 5.01(a)</w:t>
      </w:r>
      <w:r>
        <w:rPr>
          <w:rFonts w:ascii="Times New Roman" w:hAnsi="Times New Roman"/>
          <w:sz w:val="20"/>
        </w:rPr>
        <w:t xml:space="preserve">,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5.01(c)</w:t>
      </w:r>
      <w:r>
        <w:rPr>
          <w:rFonts w:ascii="Times New Roman" w:hAnsi="Times New Roman"/>
          <w:sz w:val="20"/>
        </w:rPr>
        <w:t xml:space="preserve"> and </w:t>
      </w:r>
      <w:r>
        <w:rPr>
          <w:rFonts w:ascii="Times New Roman" w:hAnsi="Times New Roman"/>
          <w:sz w:val="20"/>
          <w:u w:val="single"/>
        </w:rPr>
        <w:t>5.01(d)</w:t>
      </w:r>
      <w:r>
        <w:rPr>
          <w:rFonts w:ascii="Times New Roman" w:hAnsi="Times New Roman"/>
          <w:sz w:val="20"/>
        </w:rPr>
        <w:t xml:space="preserve"> above are hereby deemed to be suitable for distribution, and to be made available, to all Lenders and may be treated by the Administrative Agent and the Lenders as not containing any Material Non-Public Information. </w:t>
      </w:r>
    </w:p>
    <w:p>
      <w:pPr>
        <w:pStyle w:val="TextBody"/>
        <w:bidi w:val="0"/>
        <w:spacing w:before="36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any Responsible Officer of Bidco or a Borrower obtains actual knowledge thereof, Holdings, Bidco or a Borrower will furnish to the Administrative Agent (for distribution to each Lender through the Administrative Agent) written notice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permissible by Requirements of Law, the filing or commencement of any action, suit or proceeding by or before any arbitrator or Governmental Authority against or, to the knowledge of a Financial Officer or another executive officer of Holdings, Bidco or any Subsidiary, affecting Holdings, any Intermediate Parent, Bidco or any Subsidiary, or the receipt of a written notice of an Environmental Liability, in each case that would reasonably be expected to result in a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(c) the occurrence of any ERISA Event with respect to a Plan sponsored by a Loan Party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w:t>
      </w:r>
      <w:r>
        <w:rPr>
          <w:rFonts w:ascii="Times New Roman" w:hAnsi="Times New Roman"/>
          <w:sz w:val="20"/>
          <w:u w:val="single"/>
        </w:rPr>
        <w:t>Section 5.02</w:t>
      </w:r>
      <w:r>
        <w:rPr>
          <w:rFonts w:ascii="Times New Roman" w:hAnsi="Times New Roman"/>
          <w:sz w:val="20"/>
        </w:rPr>
        <w:t xml:space="preserve"> shall be accompanied by a written statement of a Responsible Officer of Holdings, Bidco or a Borrower setting forth the details of the event or development requiring such notice and any action taken or proposed to be taken with respect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Information Regarding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Holdings, Bidco or a Borrower will furnish to the Administrative Agent prompt (and in any event within thirty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in a jurisdiction where an organizational identification number is required to be included in a UCC financing statement for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Not later than five Business Days after financial statements are required to be delivered pursuant to </w:t>
      </w:r>
      <w:r>
        <w:rPr>
          <w:rFonts w:ascii="Times New Roman" w:hAnsi="Times New Roman"/>
          <w:sz w:val="20"/>
          <w:u w:val="single"/>
        </w:rPr>
        <w:t>Section 5.01(a)</w:t>
      </w:r>
      <w:r>
        <w:rPr>
          <w:rFonts w:ascii="Times New Roman" w:hAnsi="Times New Roman"/>
          <w:sz w:val="20"/>
        </w:rPr>
        <w:t xml:space="preserve">, Holdings, Bidco or a Borrower shall deliver to the Administrative Agent a certificate executed by a Responsible Officer of Holdings, Bidco or a Borrower (i) setting forth the information required pursuant to Paragraphs 1, 2(a), 6, 7 and 8 of the Perfection Certificate (in a schedule, supplement or otherwise) or confirming that there has been no change in such information since the later of (x) the date of the Perfection Certificate delivered on the Effective Date or (y) the date of the most recent certificate delivered pursuant to this </w:t>
      </w:r>
      <w:r>
        <w:rPr>
          <w:rFonts w:ascii="Times New Roman" w:hAnsi="Times New Roman"/>
          <w:sz w:val="20"/>
          <w:u w:val="single"/>
        </w:rPr>
        <w:t>Section 5.03</w:t>
      </w:r>
      <w:r>
        <w:rPr>
          <w:rFonts w:ascii="Times New Roman" w:hAnsi="Times New Roman"/>
          <w:sz w:val="20"/>
        </w:rPr>
        <w:t xml:space="preserve">, (ii) identifying any Wholly Owned Restricted Subsidiary that has become, or ceased to be, a Material Subsidiary, a Guarantor Coverage Material Subsidiary or an Excluded Subsidiary during the most recently ended fiscal year and (iii) certifying that all notices required to be given prior to the date of such certificate by this </w:t>
      </w:r>
      <w:r>
        <w:rPr>
          <w:rFonts w:ascii="Times New Roman" w:hAnsi="Times New Roman"/>
          <w:sz w:val="20"/>
          <w:u w:val="single"/>
        </w:rPr>
        <w:t>Section 5.03</w:t>
      </w:r>
      <w:r>
        <w:rPr>
          <w:rFonts w:ascii="Times New Roman" w:hAnsi="Times New Roman"/>
          <w:sz w:val="20"/>
        </w:rPr>
        <w:t xml:space="preserve"> have been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Existence; 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Bidco) that the failure to do so would not reasonably be expected to have a Material Adverse Effect; </w:t>
      </w:r>
      <w:r>
        <w:rPr>
          <w:rFonts w:ascii="Times New Roman" w:hAnsi="Times New Roman"/>
          <w:sz w:val="20"/>
          <w:u w:val="single"/>
        </w:rPr>
        <w:t>provided</w:t>
      </w:r>
      <w:r>
        <w:rPr>
          <w:rFonts w:ascii="Times New Roman" w:hAnsi="Times New Roman"/>
          <w:sz w:val="20"/>
        </w:rPr>
        <w:t xml:space="preserve"> that the foregoing shall not prohibit any merger, amalgamation, consolidation, liquidation or dissolution permitted under </w:t>
      </w:r>
      <w:r>
        <w:rPr>
          <w:rFonts w:ascii="Times New Roman" w:hAnsi="Times New Roman"/>
          <w:sz w:val="20"/>
          <w:u w:val="single"/>
        </w:rPr>
        <w:t>Section 6.03</w:t>
      </w:r>
      <w:r>
        <w:rPr>
          <w:rFonts w:ascii="Times New Roman" w:hAnsi="Times New Roman"/>
          <w:sz w:val="20"/>
        </w:rPr>
        <w:t xml:space="preserve"> or any Asset Sale permitted by </w:t>
      </w:r>
      <w:r>
        <w:rPr>
          <w:rFonts w:ascii="Times New Roman" w:hAnsi="Times New Roman"/>
          <w:sz w:val="20"/>
          <w:u w:val="single"/>
        </w:rPr>
        <w:t>Section 6.04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Payment of Taxes,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any Intermediate Parent, Bidco or any of its Subsidiaries and Holdings, Bidco or such Subsidiary, as the case may be, has set aside on its books adequate reserves therefor to the extent required by and in accordance with IFRS and applicable local standards, or (b) the failure to make payment would not reasonably be expected, individually or in the aggregate,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keep and maintain all tangible property material to the conduct of its business in good working order and condition (subject to casualty, condemnation and ordinary wear and tear), which shall include, in the case of the Satellites (other than any Satellites yet to be launched), the provision of tracking, telemetry, control and monitoring of the Satellites in their designated orbital positions in accordance with prudent and diligent standards in the commercial satellite industry, in each case, except where the failure to do so would not reasonably be expected to have,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Collateral Agent, information presented in reasonable detail as to the insurance so carried. Bidco shall cause each such general liability policy of insurance (other than directors and officers policies, workers’ compensation policies and business interruption insurance) in excess of $10,000,000 and except, in the case of any Foreign Subsidiary where it is not customary to do so in the relevant jurisdiction, to (i) in the case of each liability insurance policy, name the Collateral Agent, on behalf of the Secured Parties, as an additional insured thereunder as its interests may appear and (ii) in the case of each property insurance policy, contain a lenders loss payable clause and mortgagee endorsement, as applicable, that names the Collateral Agent, on behalf of the Secured Parties, as the lender loss payee and mortgagee, as applicable,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Books and Records; Inspection and Audit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of the Restricted Subsidiaries to, maintain proper books of record and account in which entries that are full, true and correct in all material respects and are in conformity with IFRS (or applicable local standards) consistently applied shall be made of all material financial transactions and matters involving the assets and business of Holdings, any Intermediate Parent, Bidco or the Restricted Subsidiaries, as the case may be. Each of Holdings and Bidco will, and will cause any Intermediate Parent and each Restricted Subsidiary to, permit any representatives designated by the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hAnsi="Times New Roman"/>
          <w:sz w:val="20"/>
          <w:u w:val="single"/>
        </w:rPr>
        <w:t>provided</w:t>
      </w:r>
      <w:r>
        <w:rPr>
          <w:rFonts w:ascii="Times New Roman" w:hAnsi="Times New Roman"/>
          <w:sz w:val="20"/>
        </w:rPr>
        <w:t xml:space="preserve"> that (i) such representatives shall use commercially reasonable efforts to avoid interruption of the normal business operations of Bidco and its Subsidiaries and (ii) excluding any such visits and inspections during the continuation of an Event of Default, only the Administrative Agent on behalf of the Lenders may exercise visitation and inspection rights of the Administrative Agent and the Lenders under this </w:t>
      </w:r>
      <w:r>
        <w:rPr>
          <w:rFonts w:ascii="Times New Roman" w:hAnsi="Times New Roman"/>
          <w:sz w:val="20"/>
          <w:u w:val="single"/>
        </w:rPr>
        <w:t>Section 5.08</w:t>
      </w:r>
      <w:r>
        <w:rPr>
          <w:rFonts w:ascii="Times New Roman" w:hAnsi="Times New Roman"/>
          <w:sz w:val="20"/>
        </w:rPr>
        <w:t xml:space="preserve"> and the Administrative Agent shall not exercise such rights more often than one time during any calendar year absent the existence of an Event of Default and such time shall be at the Borrowers’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when an Event of Default exists, the Administrative Agent (or any of its representatives or independent contractors) may do any of the foregoing at the expense of the Borrowers at any time during normal business hours and upon reasonable advance notice and (b) the Administrative Agent and the Lenders shall give Holdings and Bidco the opportunity to participate in any discussions with Holdings’ or Bidco’s independent public accountants. </w:t>
      </w:r>
    </w:p>
    <w:p>
      <w:pPr>
        <w:pStyle w:val="TextBody"/>
        <w:bidi w:val="0"/>
        <w:spacing w:before="36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Subsidiary to, comply with all Requirements of Law (including ERISA and other applicable pension laws, Environmental Laws and the USA PATRIOT Act) with respect to it, its property and operations, except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Use of Proceeds and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the Borrowers will use the proceeds of the Term Loans, the Revolving Loans, the Swingline Loans and the Letters of Credit solely in accordance with </w:t>
      </w:r>
      <w:r>
        <w:rPr>
          <w:rFonts w:ascii="Times New Roman" w:hAnsi="Times New Roman"/>
          <w:sz w:val="20"/>
          <w:u w:val="single"/>
        </w:rPr>
        <w:t>Section 3.17</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Additional Subsidiaries; Guarantor Coverage Test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 any additional Domestic Restricted Subsidiary that is not an Excluded Subsidiary or Intermediate Parent is formed or acquired after the Effective Date, (ii) any Domestic Restricted Subsidiary ceases to be an Excluded Subsidiary (other than any Immaterial Subsidiary that becomes a Material Subsidiary, which shall be subject to </w:t>
      </w:r>
      <w:r>
        <w:rPr>
          <w:rFonts w:ascii="Times New Roman" w:hAnsi="Times New Roman"/>
          <w:sz w:val="20"/>
          <w:u w:val="single"/>
        </w:rPr>
        <w:t>Section 5.11(b))</w:t>
      </w:r>
      <w:r>
        <w:rPr>
          <w:rFonts w:ascii="Times New Roman" w:hAnsi="Times New Roman"/>
          <w:sz w:val="20"/>
        </w:rPr>
        <w:t xml:space="preserve"> or (iii) Bidco, at its option, elects to cause a Domestic Subsidiary that is otherwise an Excluded Subsidiary, or to the extent reasonably acceptable to the Administrative Agent, a Foreign Subsidiary that is otherwise an Excluded Subsidiary (including any Subsidiary that is not a Wholly Owned Subsidiary or any consolidated Affiliate in which Bidco and its Subsidiaries own no Equity Interest) to become a Subsidiary Loan Party (such Subsidiary Loan Party, a “</w:t>
      </w:r>
      <w:r>
        <w:rPr>
          <w:rFonts w:ascii="Times New Roman" w:hAnsi="Times New Roman"/>
          <w:sz w:val="20"/>
          <w:u w:val="single"/>
        </w:rPr>
        <w:t>Borrower-Designated Guarantor</w:t>
      </w:r>
      <w:r>
        <w:rPr>
          <w:rFonts w:ascii="Times New Roman" w:hAnsi="Times New Roman"/>
          <w:sz w:val="20"/>
        </w:rPr>
        <w:t xml:space="preserve">”), then Holdings, Bidco or a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within 30 days (or such longer period as may be agreed to by the Administrative Agent in its reasonable discretion) after (x) such newly formed or acquired Restricted Subsidiary or any Intermediate Parent is formed or acquired, (y) such Restricted Subsidiary ceases to be an Excluded Subsidiary or (z) Bidco has made such election, notify the Administrative Agent thereof, and will cause such Restricted Subsidiary (unless such Restricted Subsidiary is an Excluded Subsidiary) or any Intermediate Parent to satisfy the Collateral and Guarantee Requirement with respect to such Restricted Subsidiary or any Intermediate Parent and with respect to any Equity Interest in or Indebtedness of such Restricted Subsidiary or any Intermediate Parent owned by or on behalf of any Loan Party within 30 days (or 60 days in the case of a Borrower-Designated Guarantor that is a Foreign Subsidiary) after such notice (or such longer period as the Administrative Agent shall reasonably agree), Bidco shall deliver to the Administrative Agent a completed Perfection Certificate (or supplement thereof) with respect to such Domestic Restricted Subsidiary or any Intermediate Parent signed by a Responsible Officer, together with all attachments contemplated thereby concurrently with the satisfaction of the Collateral and Guarantee Requirement with respect to such Restricted Subsidiary or any Intermediate Parent. </w:t>
      </w:r>
    </w:p>
    <w:p>
      <w:pPr>
        <w:pStyle w:val="TextBody"/>
        <w:bidi w:val="0"/>
        <w:spacing w:before="240" w:after="0"/>
        <w:jc w:val="left"/>
        <w:rPr>
          <w:rFonts w:ascii="Times New Roman" w:hAnsi="Times New Roman"/>
          <w:sz w:val="20"/>
        </w:rPr>
      </w:pPr>
      <w:r>
        <w:rPr>
          <w:rFonts w:ascii="Times New Roman" w:hAnsi="Times New Roman"/>
          <w:sz w:val="20"/>
        </w:rPr>
        <w:t xml:space="preserve">(b) Within 45 days (or such longer period as otherwise provided in this Agreement or as the Administrative Agent may reasonably agree) after Holdings, Bidco or a Borrower identifies any new Material Subsidiary that is a Domestic Subsidiary pursuant to </w:t>
      </w:r>
      <w:r>
        <w:rPr>
          <w:rFonts w:ascii="Times New Roman" w:hAnsi="Times New Roman"/>
          <w:sz w:val="20"/>
          <w:u w:val="single"/>
        </w:rPr>
        <w:t>Section 5.03(b)</w:t>
      </w:r>
      <w:r>
        <w:rPr>
          <w:rFonts w:ascii="Times New Roman" w:hAnsi="Times New Roman"/>
          <w:sz w:val="20"/>
        </w:rPr>
        <w:t xml:space="preserve">, all actions (if any) required to be taken with respect to such Subsidiary in order to satisfy the Collateral and Guarantee Requirement shall have been taken with respect to such Subsidiary, to the extent not already satisfied pursuant to </w:t>
      </w:r>
      <w:r>
        <w:rPr>
          <w:rFonts w:ascii="Times New Roman" w:hAnsi="Times New Roman"/>
          <w:sz w:val="20"/>
          <w:u w:val="single"/>
        </w:rPr>
        <w:t>Section 5.11(a)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Bidco shall ensure that, subject to the Agreed Security Principles, the Guarantor Coverage Test is satisfied on: </w:t>
      </w:r>
    </w:p>
    <w:p>
      <w:pPr>
        <w:pStyle w:val="TextBody"/>
        <w:bidi w:val="0"/>
        <w:spacing w:before="120" w:after="0"/>
        <w:jc w:val="left"/>
        <w:rPr>
          <w:rFonts w:ascii="Times New Roman" w:hAnsi="Times New Roman"/>
          <w:sz w:val="20"/>
        </w:rPr>
      </w:pPr>
      <w:r>
        <w:rPr>
          <w:rFonts w:ascii="Times New Roman" w:hAnsi="Times New Roman"/>
          <w:sz w:val="20"/>
        </w:rPr>
        <w:t xml:space="preserve">(i) the date which is 150 days after (and excluding) the Effective Date (or such later date as the Administrative Agent may reasonably agree), by reference to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or, if no such statements have been delivered, the most recent audited consolidated financial statements of the Company (or, at the option of Bidco, such other financial statements for the most recently completed Test Period prior to such test date for which Bidco has sufficient available information to be able to determine the Guarantor Coverage Test); and </w:t>
      </w:r>
    </w:p>
    <w:p>
      <w:pPr>
        <w:pStyle w:val="TextBody"/>
        <w:bidi w:val="0"/>
        <w:spacing w:before="120" w:after="0"/>
        <w:jc w:val="left"/>
        <w:rPr>
          <w:rFonts w:ascii="Times New Roman" w:hAnsi="Times New Roman"/>
          <w:sz w:val="20"/>
        </w:rPr>
      </w:pPr>
      <w:r>
        <w:rPr>
          <w:rFonts w:ascii="Times New Roman" w:hAnsi="Times New Roman"/>
          <w:sz w:val="20"/>
        </w:rPr>
        <w:t xml:space="preserve">(ii) thereafter, on the date on which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are required to be delivered to the Administrative Agent in respect of each fiscal year ending after the date on which the Guarantor Coverage Test is required to be satisfied in accordance with paragraph (i) above, by reference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(d) If, in accordance with the provisions of paragraph (c)(ii) above, the Guarantor Coverage Test is not satisfied on any test date referred to in paragraph (c)(ii) above: </w:t>
      </w:r>
    </w:p>
    <w:p>
      <w:pPr>
        <w:pStyle w:val="TextBody"/>
        <w:bidi w:val="0"/>
        <w:spacing w:before="120" w:after="0"/>
        <w:jc w:val="left"/>
        <w:rPr>
          <w:rFonts w:ascii="Times New Roman" w:hAnsi="Times New Roman"/>
          <w:sz w:val="20"/>
        </w:rPr>
      </w:pPr>
      <w:r>
        <w:rPr>
          <w:rFonts w:ascii="Times New Roman" w:hAnsi="Times New Roman"/>
          <w:sz w:val="20"/>
        </w:rPr>
        <w:t xml:space="preserve">(i) Bidco shall ensure that within 150 days of such test date (or such later date as the Administrative Agent may reasonably agree), such other Restricted Subsidiaries of Bidco (as Bidco may elect in its sole discretion) shall, subject to and on terms consistent with the Agreed Security Principles, accede as Guarantors to ensure that the Guarantor Coverage Test is satisfied (calculated as if such Guarantors had been Guarantors at such test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Bidco has satisfied its obligations under paragraph (i) above within such 150 days of such test date (or such later date as the Administrative Agent may reasonably agree), no Default, Event of Default or other breach of the Loan Documents shall arise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(e) Bidco shall ensure that, subject to and on terms consistent with the Agreed Security Principles: </w:t>
      </w:r>
    </w:p>
    <w:p>
      <w:pPr>
        <w:pStyle w:val="TextBody"/>
        <w:bidi w:val="0"/>
        <w:spacing w:before="120" w:after="0"/>
        <w:jc w:val="left"/>
        <w:rPr>
          <w:rFonts w:ascii="Times New Roman" w:hAnsi="Times New Roman"/>
          <w:sz w:val="20"/>
        </w:rPr>
      </w:pPr>
      <w:r>
        <w:rPr>
          <w:rFonts w:ascii="Times New Roman" w:hAnsi="Times New Roman"/>
          <w:sz w:val="20"/>
        </w:rPr>
        <w:t xml:space="preserve">(i) each Restricted Subsidiary that is a Guarantor Coverage Material Subsidiary at the Effective Date and that has not ceased to be a Guarantor Coverage Material Subsidiary at the date referenced in paragraph (c)(i) above, tested by reference to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or, if no such statements have been delivered, the most recent audited consolidated financial statements of the Company (or, at the option of Bidco, such other financial statements for the most recently completed Test Period) shall have acceded as a Guarantor within the time period described for satisfaction of the Guarantor Coverage Test in paragraph (c)(i) above and taken all actions (if any) required to be taken with respect to such Subsidiary in order to satisfy the Collateral and Guarantee Requirement, to the extent not already satisfied pursuant to </w:t>
      </w:r>
      <w:r>
        <w:rPr>
          <w:rFonts w:ascii="Times New Roman" w:hAnsi="Times New Roman"/>
          <w:sz w:val="20"/>
          <w:u w:val="single"/>
        </w:rPr>
        <w:t>Section 5.11(a)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each Restricted Subsidiary that becomes a Guarantor Coverage Material Subsidiary after the Effective Date (by reference to the most recent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will accede as a Guarantor within 150 days of the date on which such financial statements are required to be delivered to the Administrative Agent in accordance with </w:t>
      </w:r>
      <w:r>
        <w:rPr>
          <w:rFonts w:ascii="Times New Roman" w:hAnsi="Times New Roman"/>
          <w:sz w:val="20"/>
          <w:u w:val="single"/>
        </w:rPr>
        <w:t>Section 5.01(a)</w:t>
      </w:r>
      <w:r>
        <w:rPr>
          <w:rFonts w:ascii="Times New Roman" w:hAnsi="Times New Roman"/>
          <w:sz w:val="20"/>
        </w:rPr>
        <w:t xml:space="preserve"> (or such later date as the Administrative Agent may reasonably agree) and take all actions (if any) required to be taken with respect to such Subsidiary in order to satisfy the Collateral and Guarantee Requirement, to the extent not already satisfied pursuant to </w:t>
      </w:r>
      <w:r>
        <w:rPr>
          <w:rFonts w:ascii="Times New Roman" w:hAnsi="Times New Roman"/>
          <w:sz w:val="20"/>
          <w:u w:val="single"/>
        </w:rPr>
        <w:t>Section 5.11(a)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(i) the last paragraph of the definition of “Collateral and Guarantee Requirement” and (ii) in the case of Non-U.S. Loan Parties, the Agreed Security Principles, each of Holdings and Bidco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(b) If, after the Effective Date, any material assets (other than Excluded Assets), are acquired by any Loan Party or are held by any Subsidiary on or after the time it becomes a Loan Party pursuant to </w:t>
      </w:r>
      <w:r>
        <w:rPr>
          <w:rFonts w:ascii="Times New Roman" w:hAnsi="Times New Roman"/>
          <w:sz w:val="20"/>
          <w:u w:val="single"/>
        </w:rPr>
        <w:t>Section 5.11</w:t>
      </w:r>
      <w:r>
        <w:rPr>
          <w:rFonts w:ascii="Times New Roman" w:hAnsi="Times New Roman"/>
          <w:sz w:val="20"/>
        </w:rPr>
        <w:t xml:space="preserve"> (other than assets constituting Collateral under a Security Document that become subject to the Lien created by such Security Document upon acquisition thereof or constituting Excluded Assets), Bidco will notify the Administrative Agent thereof, and, if requested by the Administrative Agent, Bidco will cause such assets to be subjected to a Lien securing the Secured Obligations and will take and cause the other U.S. Loan Parties to take, such actions as shall be necessary and reasonably requested by the Administrative Agent to grant and perfect such Liens, including actions described in paragraph (a) of this </w:t>
      </w:r>
      <w:r>
        <w:rPr>
          <w:rFonts w:ascii="Times New Roman" w:hAnsi="Times New Roman"/>
          <w:sz w:val="20"/>
          <w:u w:val="single"/>
        </w:rPr>
        <w:t>Section 5.12</w:t>
      </w:r>
      <w:r>
        <w:rPr>
          <w:rFonts w:ascii="Times New Roman" w:hAnsi="Times New Roman"/>
          <w:sz w:val="20"/>
        </w:rPr>
        <w:t xml:space="preserve"> and as required pursuant to the “Collateral and Guarantee Requirement,” all at the expense of the Loan Parties and subject to the last paragraph of the definition of the term “Collateral and Guarantee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Designation of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may at any time after the Effective Date designate any Restricted Subsidiary (other than any Borrower) as an Unrestricted Subsidiary or any Unrestricted Subsidiary as a Restricted Subsidiary; </w:t>
      </w:r>
      <w:r>
        <w:rPr>
          <w:rFonts w:ascii="Times New Roman" w:hAnsi="Times New Roman"/>
          <w:sz w:val="20"/>
          <w:u w:val="single"/>
        </w:rPr>
        <w:t>provided</w:t>
      </w:r>
      <w:r>
        <w:rPr>
          <w:rFonts w:ascii="Times New Roman" w:hAnsi="Times New Roman"/>
          <w:sz w:val="20"/>
        </w:rPr>
        <w:t xml:space="preserve"> that immediately after such designation on a Pro Forma Basis, no Event of Default shall have occurred and be continuing. The designation of any Subsidiary as an Unrestricted Subsidiary after the Effective Date shall constitute an Investment by Bidco therein at the date of designation in an amount equal to the fair market value of Bidco’s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Bidco in Unrestricted Subsidiaries pursuant to the preceding sentence in an amount equal to the fair market value at the date of such designation of Bidco’s or its Subsidiary’s (as applicable) Investment in such Subsidiary. </w:t>
      </w:r>
    </w:p>
    <w:p>
      <w:pPr>
        <w:pStyle w:val="TextBody"/>
        <w:bidi w:val="0"/>
        <w:spacing w:before="36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Certain Post-Closing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and in any event within the time periods after the Effective Date specified in </w:t>
      </w:r>
      <w:r>
        <w:rPr>
          <w:rFonts w:ascii="Times New Roman" w:hAnsi="Times New Roman"/>
          <w:sz w:val="20"/>
          <w:u w:val="single"/>
        </w:rPr>
        <w:t>Schedule 5.14</w:t>
      </w:r>
      <w:r>
        <w:rPr>
          <w:rFonts w:ascii="Times New Roman" w:hAnsi="Times New Roman"/>
          <w:sz w:val="20"/>
        </w:rPr>
        <w:t xml:space="preserve"> or such later date as the Administrative Agent reasonably agrees to in writing, including to reasonably accommodate circumstances unforeseen on the Effective Date, Holdings, Bidco and each other Loan Party shall deliver the documents or take the actions specified on </w:t>
      </w:r>
      <w:r>
        <w:rPr>
          <w:rFonts w:ascii="Times New Roman" w:hAnsi="Times New Roman"/>
          <w:sz w:val="20"/>
          <w:u w:val="single"/>
        </w:rPr>
        <w:t>Schedule 5.14</w:t>
      </w:r>
      <w:r>
        <w:rPr>
          <w:rFonts w:ascii="Times New Roman" w:hAnsi="Times New Roman"/>
          <w:sz w:val="20"/>
        </w:rPr>
        <w:t xml:space="preserve"> that would have been required to be delivered or taken on the Effective Date, in each case except to the extent otherwise agreed by the Administrative Agent pursuant to its authority as set forth in the definition of the term “Collateral and Guarantee Requirement.” </w:t>
      </w:r>
    </w:p>
    <w:p>
      <w:pPr>
        <w:pStyle w:val="TextBody"/>
        <w:bidi w:val="0"/>
        <w:spacing w:before="36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Maintenance of Rating of Bidco and the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Parties shall use commercially reasonable efforts to maintain (i) a public corporate credit rating (but not any particular rating) from S&amp;P and a public corporate family rating (but not any particular rating) from Moody’s, in each case in respect of Bidco and (ii) a public rating (but not any particular rating) in respect of the Loans from each of S&amp;P and Moody’s. </w:t>
      </w:r>
    </w:p>
    <w:p>
      <w:pPr>
        <w:pStyle w:val="TextBody"/>
        <w:bidi w:val="0"/>
        <w:spacing w:before="36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Lines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Transactions with Affiliates</w:t>
      </w:r>
      <w:r>
        <w:rPr>
          <w:rFonts w:ascii="Times New Roman" w:hAnsi="Times New Roman"/>
          <w:sz w:val="20"/>
        </w:rPr>
        <w:t xml:space="preserve">. Bidco will conduct, and cause each of the Restricted Subsidiaries to conduct, all transactions with any of its Affiliates (other than Bidco and the Restricted Subsidiaries (including any entity that becomes a Restricted Subsidiary as a result of such transaction) involving aggregate payments or consideration in excess of the greater of $75,000,000 and 10% of Consolidated EBITDA for the most recently ended Test Period, calculated on a Pro Forma Basis, at the time of such Affiliate transaction, for any individual transaction or series of related transactions, on terms substantially as favorable to Bidco or such Restricted Subsidiary as would be obtainable by such Person at the time in a comparable arm’s-length transaction with a Person other than an Affiliate; </w:t>
      </w:r>
      <w:r>
        <w:rPr>
          <w:rFonts w:ascii="Times New Roman" w:hAnsi="Times New Roman"/>
          <w:sz w:val="20"/>
          <w:u w:val="single"/>
        </w:rPr>
        <w:t>provided</w:t>
      </w:r>
      <w:r>
        <w:rPr>
          <w:rFonts w:ascii="Times New Roman" w:hAnsi="Times New Roman"/>
          <w:sz w:val="20"/>
        </w:rPr>
        <w:t xml:space="preserve"> that the foregoing restrictions shall not apply to: (i) any merger, amalgamation or consolidation with any direct or indirect parent of Bidco; </w:t>
      </w:r>
      <w:r>
        <w:rPr>
          <w:rFonts w:ascii="Times New Roman" w:hAnsi="Times New Roman"/>
          <w:sz w:val="20"/>
          <w:u w:val="single"/>
        </w:rPr>
        <w:t>provided</w:t>
      </w:r>
      <w:r>
        <w:rPr>
          <w:rFonts w:ascii="Times New Roman" w:hAnsi="Times New Roman"/>
          <w:sz w:val="20"/>
        </w:rPr>
        <w:t xml:space="preserve"> that such parent entity shall have no material liabilities and no material assets other than cash, Cash Equivalents and the Equity Interests of Bidco and such merger, amalgamation or consolidation is otherwise consummated in compliance with this Agreement, (ii) the payment of fees and expenses related to the Transactions, (iii)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w:t>
      </w:r>
      <w:r>
        <w:rPr>
          <w:rFonts w:ascii="Times New Roman" w:hAnsi="Times New Roman"/>
          <w:sz w:val="20"/>
          <w:u w:val="single"/>
        </w:rPr>
        <w:t>Section 6.05(b)(xv)(H)</w:t>
      </w:r>
      <w:r>
        <w:rPr>
          <w:rFonts w:ascii="Times New Roman" w:hAnsi="Times New Roman"/>
          <w:sz w:val="20"/>
        </w:rPr>
        <w:t xml:space="preserve">, (iv) issuances of Equity Interests of Bidco to the extent otherwise permitted by this Agreement, (v) employment and severance arrangements between Bidco and the Restricted Subsidiaries and their respective officers and employees in the ordinary course of business or otherwise in connection with the Transactions (including loans and advances pursuant to clause (16) of the definition of “Permitted Investments”), (vi) payments by Bidco and the Restricted Subsidiaries in respect of any Tax relief or pursuant to any tax sharing agreement or arrangement among Bidco and the Restricted Subsidiaries and other Persons with which Bidco or any of its Restricted Subsidiaries is required or permitted to file a consolidated, combined or unitary tax return or with which Bidco or any Restricted Subsidiary is a part of a group for tax purposes, (vii) the payment of customary fees and reasonable out-of-pocket costs to, and indemnities provided on behalf of, members of the Board of Directors, officers and employees of Holdings (or any direct or indirect parent thereof), any Intermediate Parent, Bidco and the Restricted Subsidiaries in the ordinary course of business to the extent attributable to the ownership or operation of Bidco and the Restricted Subsidiaries, (viii) transactions pursuant to the Tax Structure Memorandum and/or permitted agreements in existence or contemplated on the Effective Date and set forth on </w:t>
      </w:r>
      <w:r>
        <w:rPr>
          <w:rFonts w:ascii="Times New Roman" w:hAnsi="Times New Roman"/>
          <w:sz w:val="20"/>
          <w:u w:val="single"/>
        </w:rPr>
        <w:t>Schedule 5.17</w:t>
      </w:r>
      <w:r>
        <w:rPr>
          <w:rFonts w:ascii="Times New Roman" w:hAnsi="Times New Roman"/>
          <w:sz w:val="20"/>
        </w:rPr>
        <w:t xml:space="preserve"> or any amendment thereto to the extent such an amendment is not adverse to the Lenders in any material respect, (ix) payments to or from, and transactions with, any joint venture in the ordinary course of business (including, without limitation, any cash management activities related thereto), (x) transactions with customers, clients, suppliers, contractors, joint venture partners or purchasers or sellers of goods or services that are Affiliates, in each case in the ordinary course of business and which are fair to Bidco and the Restricted Subsidiaries, in the reasonable determination of Bidco, or are on terms at least as favorable as might reasonably have been obtained at such time from an unaffiliated party, (xi) sales of accounts receivable, or participations therein, or Receivables Assets or related assets in connection with or any Receivables Facility, (xii) payments made in connection with the Transactions, (xiii) customary payments by Bidco and the Restricted Subsidiaries, directly or indirectly, to the Investors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Bidco or such other Restricted Subsidiary in good faith and (xiv) any other (A) Indebtedness permitted under </w:t>
      </w:r>
      <w:r>
        <w:rPr>
          <w:rFonts w:ascii="Times New Roman" w:hAnsi="Times New Roman"/>
          <w:sz w:val="20"/>
          <w:u w:val="single"/>
        </w:rPr>
        <w:t>Section 6.01</w:t>
      </w:r>
      <w:r>
        <w:rPr>
          <w:rFonts w:ascii="Times New Roman" w:hAnsi="Times New Roman"/>
          <w:sz w:val="20"/>
        </w:rPr>
        <w:t xml:space="preserve"> and Liens permitted under </w:t>
      </w:r>
      <w:r>
        <w:rPr>
          <w:rFonts w:ascii="Times New Roman" w:hAnsi="Times New Roman"/>
          <w:sz w:val="20"/>
          <w:u w:val="single"/>
        </w:rPr>
        <w:t>Section 6.02</w:t>
      </w:r>
      <w:r>
        <w:rPr>
          <w:rFonts w:ascii="Times New Roman" w:hAnsi="Times New Roman"/>
          <w:sz w:val="20"/>
        </w:rPr>
        <w:t xml:space="preserve">; provided that such Indebtedness and Liens are on terms which are fair and reasonable to Bidco and its Subsidiaries as determined by the majority of disinterested members of the board of directors of Bidco or such other Subsidiary and (B) transactions permitted under </w:t>
      </w:r>
      <w:r>
        <w:rPr>
          <w:rFonts w:ascii="Times New Roman" w:hAnsi="Times New Roman"/>
          <w:sz w:val="20"/>
          <w:u w:val="single"/>
        </w:rPr>
        <w:t>Section 6.03</w:t>
      </w:r>
      <w:r>
        <w:rPr>
          <w:rFonts w:ascii="Times New Roman" w:hAnsi="Times New Roman"/>
          <w:sz w:val="20"/>
        </w:rPr>
        <w:t xml:space="preserve"> and Restricted Payments permitted under </w:t>
      </w:r>
      <w:r>
        <w:rPr>
          <w:rFonts w:ascii="Times New Roman" w:hAnsi="Times New Roman"/>
          <w:sz w:val="20"/>
          <w:u w:val="single"/>
        </w:rPr>
        <w:t>Section 6.05</w:t>
      </w:r>
      <w:r>
        <w:rPr>
          <w:rFonts w:ascii="Times New Roman" w:hAnsi="Times New Roman"/>
          <w:sz w:val="20"/>
        </w:rPr>
        <w:t xml:space="preserve"> (other than pursuant to </w:t>
      </w:r>
      <w:r>
        <w:rPr>
          <w:rFonts w:ascii="Times New Roman" w:hAnsi="Times New Roman"/>
          <w:sz w:val="20"/>
          <w:u w:val="single"/>
        </w:rPr>
        <w:t>Section 6.05(b)(xv)(J))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Refinancing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its Restricted Subsidiaries shall consummate the Refinancing on or prior to the Target Debt Refinancing Outside Date. </w:t>
      </w:r>
    </w:p>
    <w:p>
      <w:pPr>
        <w:pStyle w:val="TextBody"/>
        <w:bidi w:val="0"/>
        <w:spacing w:before="36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Acquisition Undertakings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its Restricted Subsidiaries shall, subject always to the Companies Act 2006 and any applicable listing rules, (i) within 60 days after the Scheme Effective Date (or such later date as the Administrative Agent may reasonably agree), procure that such action as is necessary is taken to procure that trading in the shares in Company on the Main Market of the London Stock Exchange is cancelled and (ii) as soon as reasonably practicable thereafter, procure that the Company is re-registered as a private limited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(with respect to </w:t>
      </w:r>
      <w:r>
        <w:rPr>
          <w:rFonts w:ascii="Times New Roman" w:hAnsi="Times New Roman"/>
          <w:sz w:val="20"/>
          <w:u w:val="single"/>
        </w:rPr>
        <w:t>Sections 6.03(b)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only) and Bidco covenants and agrees with the Lenders that: </w:t>
      </w:r>
    </w:p>
    <w:p>
      <w:pPr>
        <w:pStyle w:val="TextBody"/>
        <w:bidi w:val="0"/>
        <w:spacing w:before="36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 Certain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Bidco shall not, and shall not permit any of its Restricted Subsidiaries to create, incur, issue, assume, guarantee or otherwise become liable, contingently or otherwise (collectively, “</w:t>
      </w:r>
      <w:r>
        <w:rPr>
          <w:rFonts w:ascii="Times New Roman" w:hAnsi="Times New Roman"/>
          <w:sz w:val="20"/>
          <w:u w:val="single"/>
        </w:rPr>
        <w:t>incur</w:t>
      </w:r>
      <w:r>
        <w:rPr>
          <w:rFonts w:ascii="Times New Roman" w:hAnsi="Times New Roman"/>
          <w:sz w:val="20"/>
        </w:rPr>
        <w:t>” and collectively, an “</w:t>
      </w:r>
      <w:r>
        <w:rPr>
          <w:rFonts w:ascii="Times New Roman" w:hAnsi="Times New Roman"/>
          <w:sz w:val="20"/>
          <w:u w:val="single"/>
        </w:rPr>
        <w:t>incurrence</w:t>
      </w:r>
      <w:r>
        <w:rPr>
          <w:rFonts w:ascii="Times New Roman" w:hAnsi="Times New Roman"/>
          <w:sz w:val="20"/>
        </w:rPr>
        <w:t xml:space="preserve">”) with respect to any Indebtedness (including Acquired Indebtedness) and Bidco shall not issue any shares of Disqualified Equity Interests and shall not permit any Restricted Subsidiary to issue any shares of Disqualified Equity Interests or Preferred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Bidco may incur Indebtedness (including Acquired Indebtedness) or issue shares of Disqualified Equity Interests, and any of its Restricted Subsidiaries may incur Indebtedness (including Acquired Indebtedness), issue shares of Disqualified Equity Interests and issue Preferred Stock that is, in each case,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 securing the Secured Obligations, secured by a Lien on the Collateral that is junior to the Lien securing the Secured Obligations, or that is unsecured or secured by assets that are not Collateral to the extent that (1) if such Indebtedness, Disqualified Equity Interests or Preferred Stock is secured by a Lien on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Liens on the Collateral securing the Secured Obligations, the Senior Secured First Lien Net Leverage Ratio of Bidco and the Restricted Subsidiaries (including for the purposes of such calculation any Disqualified Equity Interests or Preferred Stock that is secured by a Lien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Liens on the Collateral securing the Secured Obligations), after giving effect to the incurrence of such Indebtedness, Disqualified Equity Interests or Preferred Stock, as applicable, and the use of proceeds thereof, on a Pro Forma Basis would not exceed 5.10 to 1.00 , (2) if such Indebtedness, Disqualified Equity Interests or Preferred Stock is secured by a Lien on the Collateral on a junior priority basis with the Liens on the Collateral securing the Secured Obligations, the Senior Secured Net Leverage Ratio of Bidco and the Restricted Subsidiaries (including for the purposes of such calculation any Disqualified Equity Interests or Preferred Stock that is secured by a Lien on a junior basis to the Liens on the Collateral securing the Secured Obligations), after giving effect to the incurrence of such Indebtedness, Disqualified Equity Interests or Preferred Stock, as applicable, and the use of proceeds thereof, on a Pro Forma Basis would not exceed 5.10 to 1.00 and (3) if such Indebtedness, Disqualified Equity Interests or Preferred Stock is unsecured or is secured by assets that do not become Collateral, either (A) the Total Net Leverage Ratio of Bidco and the Restricted Subsidiaries (including for the purposes of such calculation any Disqualified Equity Interests or Preferred Stock that is unsecured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secured by assets that are not Collateral), after giving effect to the incurrence of such Indebtedness, Disqualified Equity Interests or Preferred Stock, as applicable, and the use of proceeds thereof, on a Pro Forma Basis would not exceed 5.10 to 1.00 or (B) the Interest Coverage Ratio of Bidco and the Restricted Subsidiaries, after giving effect to the incurrence of such Indebtedness, Disqualified Equity Interests or Preferred Stock, as applicable, and the use of proceeds thereof, on a Pro Forma Basis, would be at least 2.00 to 1.00;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Pro Forma Basis, together with any amounts incurred or issued, as applicable, and outstanding by Restricted Subsidiaries that are not Guarantors pursuant to clauses (xi)(b)(x) and (xvi) of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pursuant to this paragraph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6.01(a)</w:t>
      </w:r>
      <w:r>
        <w:rPr>
          <w:rFonts w:ascii="Times New Roman" w:hAnsi="Times New Roman"/>
          <w:sz w:val="20"/>
        </w:rPr>
        <w:t xml:space="preserve"> hereof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of Bidco and any of the Restricted Subsidiaries under the Loan Documents (including any Indebtedness incurred pursuant to </w:t>
      </w:r>
      <w:r>
        <w:rPr>
          <w:rFonts w:ascii="Times New Roman" w:hAnsi="Times New Roman"/>
          <w:sz w:val="20"/>
          <w:u w:val="single"/>
        </w:rPr>
        <w:t>Section 2.19</w:t>
      </w:r>
      <w:r>
        <w:rPr>
          <w:rFonts w:ascii="Times New Roman" w:hAnsi="Times New Roman"/>
          <w:sz w:val="20"/>
        </w:rPr>
        <w:t xml:space="preserve"> or </w:t>
      </w:r>
      <w:r>
        <w:rPr>
          <w:rFonts w:ascii="Times New Roman" w:hAnsi="Times New Roman"/>
          <w:sz w:val="20"/>
          <w:u w:val="single"/>
        </w:rPr>
        <w:t>2.20</w:t>
      </w:r>
      <w:r>
        <w:rPr>
          <w:rFonts w:ascii="Times New Roman" w:hAnsi="Times New Roman"/>
          <w:sz w:val="20"/>
        </w:rPr>
        <w:t xml:space="preserve">) and any Credit Agreement Refinancing Indebtedness in respect thereof that is subject to the Required Additional Debt Terms;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of Bidco and its Restricted Subsidiaries in existence on the Effective Date (other than Indebtedness described in clause (i) of this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Indebtedness (including Capitalized Lease Obligations), Disqualified Equity Interests and Preferred Stock incurred by Bidco or any of its Restricted Subsidiaries, to finance the purchase, lease or improvement of property (real or personal), equipment or other assets that, in each case, are used or useful in a Similar Business, whether through the direct purchase of assets or the Equity Interests of any Person owning such assets; </w:t>
      </w:r>
      <w:r>
        <w:rPr>
          <w:rFonts w:ascii="Times New Roman" w:hAnsi="Times New Roman"/>
          <w:sz w:val="20"/>
          <w:u w:val="single"/>
        </w:rPr>
        <w:t>provided</w:t>
      </w:r>
      <w:r>
        <w:rPr>
          <w:rFonts w:ascii="Times New Roman" w:hAnsi="Times New Roman"/>
          <w:sz w:val="20"/>
        </w:rPr>
        <w:t xml:space="preserve"> that, at the time of any such incurrence of Indebtedness, Disqualified Equity Interests or Preferred Stock (and after giving </w:t>
      </w:r>
      <w:r>
        <w:rPr>
          <w:rFonts w:ascii="Times New Roman" w:hAnsi="Times New Roman"/>
          <w:sz w:val="20"/>
          <w:u w:val="single"/>
        </w:rPr>
        <w:t>Pro Forma Effect</w:t>
      </w:r>
      <w:r>
        <w:rPr>
          <w:rFonts w:ascii="Times New Roman" w:hAnsi="Times New Roman"/>
          <w:sz w:val="20"/>
        </w:rPr>
        <w:t xml:space="preserve"> thereto), the aggregate amount of Indebtedness, Disqualified Equity Interests and Preferred Stock incurred pursuant to this clause (iii), when aggregated with the outstanding amount of Refinancing Indebtedness in respect of Indebtedness, Disqualified Equity Interests and Preferred Stock initially incurred in reliance on this clause (iii), does not exceed the greater of $300,000,000 and 40% of Consolidated EBITDA for the most recently ended Test Period, calculated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(iv) Indebtedness incurred by Bidco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the Acquisition, any acquisition or other investment or any disposition, in each case, not prohibited hereunder; </w:t>
      </w:r>
    </w:p>
    <w:p>
      <w:pPr>
        <w:pStyle w:val="TextBody"/>
        <w:bidi w:val="0"/>
        <w:spacing w:before="120" w:after="0"/>
        <w:jc w:val="left"/>
        <w:rPr>
          <w:rFonts w:ascii="Times New Roman" w:hAnsi="Times New Roman"/>
          <w:sz w:val="20"/>
        </w:rPr>
      </w:pPr>
      <w:r>
        <w:rPr>
          <w:rFonts w:ascii="Times New Roman" w:hAnsi="Times New Roman"/>
          <w:sz w:val="20"/>
        </w:rPr>
        <w:t xml:space="preserve">(vi) Indebtedness of Bidco owing to a Restricted Subsidiary; </w:t>
      </w:r>
      <w:r>
        <w:rPr>
          <w:rFonts w:ascii="Times New Roman" w:hAnsi="Times New Roman"/>
          <w:sz w:val="20"/>
          <w:u w:val="single"/>
        </w:rPr>
        <w:t>provided</w:t>
      </w:r>
      <w:r>
        <w:rPr>
          <w:rFonts w:ascii="Times New Roman" w:hAnsi="Times New Roman"/>
          <w:sz w:val="20"/>
        </w:rPr>
        <w:t xml:space="preserve"> that any such Indebtedness owing to a Restricted Subsidiary that is not a Loan Party is expressly subordinated in right of payment to the Secured Obligations (but only to the extent permitted by applicable law and not giving rise to adverse tax consequences);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subsequent issuance or transfer of any Equity Interests or any other event that results in any such Restricted Subsidiary ceasing to be a Restricted Subsidiary or any other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 </w:t>
      </w:r>
    </w:p>
    <w:p>
      <w:pPr>
        <w:pStyle w:val="TextBody"/>
        <w:bidi w:val="0"/>
        <w:spacing w:before="120" w:after="0"/>
        <w:jc w:val="left"/>
        <w:rPr>
          <w:rFonts w:ascii="Times New Roman" w:hAnsi="Times New Roman"/>
          <w:sz w:val="20"/>
        </w:rPr>
      </w:pPr>
      <w:r>
        <w:rPr>
          <w:rFonts w:ascii="Times New Roman" w:hAnsi="Times New Roman"/>
          <w:sz w:val="20"/>
        </w:rPr>
        <w:t xml:space="preserve">(vii) Indebtedness of a Restricted Subsidiary owing to Bidco or another Restricted Subsidiary; </w:t>
      </w:r>
      <w:r>
        <w:rPr>
          <w:rFonts w:ascii="Times New Roman" w:hAnsi="Times New Roman"/>
          <w:sz w:val="20"/>
          <w:u w:val="single"/>
        </w:rPr>
        <w:t>provided</w:t>
      </w:r>
      <w:r>
        <w:rPr>
          <w:rFonts w:ascii="Times New Roman" w:hAnsi="Times New Roman"/>
          <w:sz w:val="20"/>
        </w:rPr>
        <w:t xml:space="preserve"> that if a Loan Party incurs such Indebtedness owing to a Restricted Subsidiary that is not a Loan Party, such Indebtedness is expressly subordinated in right of payment to the Secured Obligations (but only to the extent permitted by applicable law and not giving rise to adverse tax consequences);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(vii); </w:t>
      </w:r>
    </w:p>
    <w:p>
      <w:pPr>
        <w:pStyle w:val="TextBody"/>
        <w:bidi w:val="0"/>
        <w:spacing w:before="120" w:after="0"/>
        <w:jc w:val="left"/>
        <w:rPr>
          <w:rFonts w:ascii="Times New Roman" w:hAnsi="Times New Roman"/>
          <w:sz w:val="20"/>
        </w:rPr>
      </w:pPr>
      <w:r>
        <w:rPr>
          <w:rFonts w:ascii="Times New Roman" w:hAnsi="Times New Roman"/>
          <w:sz w:val="20"/>
        </w:rPr>
        <w:t xml:space="preserve">(viii) shares of Preferred Stock of a Restricted Subsidiary issued to Bidco or another Restricted Subsidiary, </w:t>
      </w:r>
      <w:r>
        <w:rPr>
          <w:rFonts w:ascii="Times New Roman" w:hAnsi="Times New Roman"/>
          <w:sz w:val="20"/>
          <w:u w:val="single"/>
        </w:rPr>
        <w:t>provided</w:t>
      </w:r>
      <w:r>
        <w:rPr>
          <w:rFonts w:ascii="Times New Roman" w:hAnsi="Times New Roman"/>
          <w:sz w:val="20"/>
        </w:rPr>
        <w:t xml:space="preserve"> that any subsequent issuance or transfer of any Equity Interests or any other event which results in any such Restricted Subsidiary ceasing to be a Restricted Subsidiary or any other subsequent transfer of any such shares of Preferred Stock (except to Bidco or another of its Restricted Subsidiaries) shall be deemed in each case to be an issuance of such shares of Preferred Stock not permitted by this clause (viii); </w:t>
      </w:r>
    </w:p>
    <w:p>
      <w:pPr>
        <w:pStyle w:val="TextBody"/>
        <w:bidi w:val="0"/>
        <w:spacing w:before="120" w:after="0"/>
        <w:jc w:val="left"/>
        <w:rPr>
          <w:rFonts w:ascii="Times New Roman" w:hAnsi="Times New Roman"/>
          <w:sz w:val="20"/>
        </w:rPr>
      </w:pPr>
      <w:r>
        <w:rPr>
          <w:rFonts w:ascii="Times New Roman" w:hAnsi="Times New Roman"/>
          <w:sz w:val="20"/>
        </w:rPr>
        <w:t xml:space="preserve">(ix) Hedging Obligations incurred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(x) obligations in respect of self-insurance and obligations in respect of performance, bid, appeal and surety bonds, performance and completion guarantees, statutory, export or import indemnities, customs and completion guarantees (not for borrowed money) and similar obligations provided by Bidco or any of its Restricted Subsidiaries or obligations in respect of letters of credit, bank guarantees or similar instruments related thereto, in each case,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(a) Indebtedness, Disqualified Equity Interests or Preferred Stock of Bidco or any Restricted Subsidiary equal to 200.0% of the net cash proceeds received by Bidco since immediately after the Effective Date from the issue or sale of Equity Interests of Bidco or cash contributed to the capital of Bidco or any Restricted Subsidiary (in each case, other than Excluded Contributions or proceeds of Disqualified Equity Interests or sales of Equity Interests to Bidco or any of its Subsidiaries) as determined in accordance with clauses (A)(2) and (A)(3) of </w:t>
      </w:r>
      <w:r>
        <w:rPr>
          <w:rFonts w:ascii="Times New Roman" w:hAnsi="Times New Roman"/>
          <w:sz w:val="20"/>
          <w:u w:val="single"/>
        </w:rPr>
        <w:t>Section 6.05(a)</w:t>
      </w:r>
      <w:r>
        <w:rPr>
          <w:rFonts w:ascii="Times New Roman" w:hAnsi="Times New Roman"/>
          <w:sz w:val="20"/>
        </w:rPr>
        <w:t xml:space="preserve"> hereof to the extent such net cash proceeds or cash have not been applied pursuant to such clauses to make Restricted Payments or to make other Investments, payments or exchanges pursuant to </w:t>
      </w:r>
      <w:r>
        <w:rPr>
          <w:rFonts w:ascii="Times New Roman" w:hAnsi="Times New Roman"/>
          <w:sz w:val="20"/>
          <w:u w:val="single"/>
        </w:rPr>
        <w:t>Section 6.05(b)</w:t>
      </w:r>
      <w:r>
        <w:rPr>
          <w:rFonts w:ascii="Times New Roman" w:hAnsi="Times New Roman"/>
          <w:sz w:val="20"/>
        </w:rPr>
        <w:t xml:space="preserve"> hereof or to make Permitted Investments (other than Permitted Investments specified in clauses (1) and (3) of the definition thereof) and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Disqualified Equity Interests or Preferred Stock of Bidco or any Restricted Subsidiary not otherwise permitted hereunder in an aggregate principal amount or liquidation preference, which when aggregated with the principal amount and liquidation preference of all other Indebtedness, Disqualified Equity Interests and Preferred Stock then outstanding and incurred pursuant to this clause (xi)(b) and the outstanding amount of Indebtedness, Disqualified Equity Interests or Preferred Stock of Bidco or any Restricted Subsidiary which serves to refinance any Indebtedness, Disqualified Equity Interests or Preferred Stock incurred as permitted under this clause (xi)(b) or any Indebtedness, Disqualified Equity Interests or Preferred Stock issued to so refund or refinance such Indebtedness, Disqualified Equity Interests or Preferred Stock, does not, at the time of any such incurrence of Indebtedness (and after giving Pro Forma Effect thereto), exceed the sum of (x) the greater of $450,000,000 and 60% of Consolidated EBITDA for the most recently ended Test Period, calculated on a Pro Forma Basis; </w:t>
      </w:r>
      <w:r>
        <w:rPr>
          <w:rFonts w:ascii="Times New Roman" w:hAnsi="Times New Roman"/>
          <w:sz w:val="20"/>
          <w:u w:val="single"/>
        </w:rPr>
        <w:t>provided</w:t>
      </w:r>
      <w:r>
        <w:rPr>
          <w:rFonts w:ascii="Times New Roman" w:hAnsi="Times New Roman"/>
          <w:sz w:val="20"/>
        </w:rPr>
        <w:t xml:space="preserve"> that available amounts under this clause (xi)(b)(x) may be used to incur Incremental Facilities or Incremental Equivalent Debt in reliance on the General Debt Basket Reallocated Amount and such usage shall be deemed to be a utilization of the basket under this Section 6.01(b)(xi)(b), and (y) an additional amount of Indebtedness in lieu of Restricted Payments permitted under </w:t>
      </w:r>
      <w:r>
        <w:rPr>
          <w:rFonts w:ascii="Times New Roman" w:hAnsi="Times New Roman"/>
          <w:sz w:val="20"/>
          <w:u w:val="single"/>
        </w:rPr>
        <w:t>Section 6.05</w:t>
      </w:r>
      <w:r>
        <w:rPr>
          <w:rFonts w:ascii="Times New Roman" w:hAnsi="Times New Roman"/>
          <w:sz w:val="20"/>
        </w:rPr>
        <w:t xml:space="preserve"> (it being understood that such Indebtedness shall be deemed a Restricted Payment for purposes of compliance with </w:t>
      </w:r>
      <w:r>
        <w:rPr>
          <w:rFonts w:ascii="Times New Roman" w:hAnsi="Times New Roman"/>
          <w:sz w:val="20"/>
          <w:u w:val="single"/>
        </w:rPr>
        <w:t>Section 6.05</w:t>
      </w:r>
      <w:r>
        <w:rPr>
          <w:rFonts w:ascii="Times New Roman" w:hAnsi="Times New Roman"/>
          <w:sz w:val="20"/>
        </w:rPr>
        <w:t xml:space="preserve">) (it being understood that any Indebtedness, Disqualified Equity Interests or Preferred Stock incurred pursuant to this clause (xi)(b) shall cease to be deemed incurred or outstanding for purposes of this clause (xi)(b) but shall be deemed incurred for the purposes of </w:t>
      </w:r>
      <w:r>
        <w:rPr>
          <w:rFonts w:ascii="Times New Roman" w:hAnsi="Times New Roman"/>
          <w:sz w:val="20"/>
          <w:u w:val="single"/>
        </w:rPr>
        <w:t>Section 6.01(a)</w:t>
      </w:r>
      <w:r>
        <w:rPr>
          <w:rFonts w:ascii="Times New Roman" w:hAnsi="Times New Roman"/>
          <w:sz w:val="20"/>
        </w:rPr>
        <w:t xml:space="preserve"> hereof from and after the first date on which Bidco or such Restricted Subsidiary could have incurred such Indebtedness, Disqualified Equity Interests or Preferred Stock under </w:t>
      </w:r>
      <w:r>
        <w:rPr>
          <w:rFonts w:ascii="Times New Roman" w:hAnsi="Times New Roman"/>
          <w:sz w:val="20"/>
          <w:u w:val="single"/>
        </w:rPr>
        <w:t>Section 6.01(a)</w:t>
      </w:r>
      <w:r>
        <w:rPr>
          <w:rFonts w:ascii="Times New Roman" w:hAnsi="Times New Roman"/>
          <w:sz w:val="20"/>
        </w:rPr>
        <w:t xml:space="preserve"> hereof without reliance on this clause (xi)(b)); </w:t>
      </w:r>
      <w:r>
        <w:rPr>
          <w:rFonts w:ascii="Times New Roman" w:hAnsi="Times New Roman"/>
          <w:sz w:val="20"/>
          <w:u w:val="single"/>
        </w:rPr>
        <w:t>provided</w:t>
      </w:r>
      <w:r>
        <w:rPr>
          <w:rFonts w:ascii="Times New Roman" w:hAnsi="Times New Roman"/>
          <w:sz w:val="20"/>
        </w:rPr>
        <w:t xml:space="preserve"> that such Indebtedness, Disqualified Equity Interests or Preferred Stock incurred pursuant to this clause (xi)(b) may be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 securing the Secured Obligations, secured by a Lien on the Collateral that is junior to the Lien securing the Secured Obligations, or may be unsecured or secured by assets that are not Collateral to the extent that such Lien is permitted under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w:t>
      </w:r>
      <w:r>
        <w:rPr>
          <w:rFonts w:ascii="Times New Roman" w:hAnsi="Times New Roman"/>
          <w:sz w:val="20"/>
          <w:u w:val="single"/>
        </w:rPr>
        <w:t>Pro Forma Basis</w:t>
      </w:r>
      <w:r>
        <w:rPr>
          <w:rFonts w:ascii="Times New Roman" w:hAnsi="Times New Roman"/>
          <w:sz w:val="20"/>
        </w:rPr>
        <w:t xml:space="preserve">, together with any amounts incurred or issued, as applicable, and outstanding by Restricted Subsidiaries that are not Guarantors pursuant to </w:t>
      </w:r>
      <w:r>
        <w:rPr>
          <w:rFonts w:ascii="Times New Roman" w:hAnsi="Times New Roman"/>
          <w:sz w:val="20"/>
          <w:u w:val="single"/>
        </w:rPr>
        <w:t>Section 6.01(a)</w:t>
      </w:r>
      <w:r>
        <w:rPr>
          <w:rFonts w:ascii="Times New Roman" w:hAnsi="Times New Roman"/>
          <w:sz w:val="20"/>
        </w:rPr>
        <w:t xml:space="preserve">, this clause (xi)(b)(x) of this </w:t>
      </w:r>
      <w:r>
        <w:rPr>
          <w:rFonts w:ascii="Times New Roman" w:hAnsi="Times New Roman"/>
          <w:sz w:val="20"/>
          <w:u w:val="single"/>
        </w:rPr>
        <w:t>Section 6.01(b)</w:t>
      </w:r>
      <w:r>
        <w:rPr>
          <w:rFonts w:ascii="Times New Roman" w:hAnsi="Times New Roman"/>
          <w:sz w:val="20"/>
        </w:rPr>
        <w:t xml:space="preserve"> and clause (xvi) of this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left"/>
        <w:rPr>
          <w:rFonts w:ascii="Times New Roman" w:hAnsi="Times New Roman"/>
          <w:sz w:val="20"/>
        </w:rPr>
      </w:pPr>
      <w:r>
        <w:rPr>
          <w:rFonts w:ascii="Times New Roman" w:hAnsi="Times New Roman"/>
          <w:sz w:val="20"/>
        </w:rPr>
        <w:t xml:space="preserve">(xii) the incurrence by Bidco or any Restricted Subsidiary of Indebtedness or issuance by Bidco or any Restricted Subsidiary, of Bidco of Indebtedness, Disqualified Equity Interests or Preferred Stock of Bidco or any Restricted Subsidiary which serves to refund, refinance, replace, renew, extend or defease (collectively, “refinance” and “refinances,” with “refinanced” and “refinancing” having a correlative meaning) any Indebtedness incurred or Disqualified Equity Interests or Preferred Stock issued as permitted under </w:t>
      </w:r>
      <w:r>
        <w:rPr>
          <w:rFonts w:ascii="Times New Roman" w:hAnsi="Times New Roman"/>
          <w:sz w:val="20"/>
          <w:u w:val="single"/>
        </w:rPr>
        <w:t>Section 6.01(a)</w:t>
      </w:r>
      <w:r>
        <w:rPr>
          <w:rFonts w:ascii="Times New Roman" w:hAnsi="Times New Roman"/>
          <w:sz w:val="20"/>
        </w:rPr>
        <w:t xml:space="preserve"> hereof and clauses (ii), (iii) and (xi) of this </w:t>
      </w:r>
      <w:r>
        <w:rPr>
          <w:rFonts w:ascii="Times New Roman" w:hAnsi="Times New Roman"/>
          <w:sz w:val="20"/>
          <w:u w:val="single"/>
        </w:rPr>
        <w:t>Section 6.01(b)</w:t>
      </w:r>
      <w:r>
        <w:rPr>
          <w:rFonts w:ascii="Times New Roman" w:hAnsi="Times New Roman"/>
          <w:sz w:val="20"/>
        </w:rPr>
        <w:t xml:space="preserve">, this clause (xii) and clauses (xvi), (xix), (xxix), (xxx) or (xxxi) of this </w:t>
      </w:r>
      <w:r>
        <w:rPr>
          <w:rFonts w:ascii="Times New Roman" w:hAnsi="Times New Roman"/>
          <w:sz w:val="20"/>
          <w:u w:val="single"/>
        </w:rPr>
        <w:t>Section 6.01(b)</w:t>
      </w:r>
      <w:r>
        <w:rPr>
          <w:rFonts w:ascii="Times New Roman" w:hAnsi="Times New Roman"/>
          <w:sz w:val="20"/>
        </w:rPr>
        <w:t xml:space="preserve"> or any Indebtedness incurred or Disqualified Equity Interests or Preferred Stock issued to so extend, replace, refund, refinance, renew or defease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Disqualified Equity Interests or Preferred Stock including additional Indebtedness, Disqualified Equity Interests or Preferred Stock incurred to pay premiums (including reasonable tender premiums), defeasance costs and fees in connection therewith (the “</w:t>
      </w:r>
      <w:r>
        <w:rPr>
          <w:rFonts w:ascii="Times New Roman" w:hAnsi="Times New Roman"/>
          <w:sz w:val="20"/>
          <w:u w:val="single"/>
        </w:rPr>
        <w:t>Refinancing Indebtedness</w:t>
      </w:r>
      <w:r>
        <w:rPr>
          <w:rFonts w:ascii="Times New Roman" w:hAnsi="Times New Roman"/>
          <w:sz w:val="20"/>
        </w:rPr>
        <w:t xml:space="preserve">”) prior to its respective maturity;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any Designated Earlier Maturing Debt, has a Weighted Average Life to Maturity at the time such Refinancing Indebtedness is incurred which is not less than the remaining Weighted Average Life to Maturity of the Indebtedness, Disqualified Equity Interests or Preferred Stock being extended, replaced, refunded, refinanced, renewed or defeased,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Refinancing Indebtedness extends, replaces, refunds, refinances, renews or defeases (i) Indebtedness subordinated in right of payment to the Loan Document Obligations, such Refinancing Indebtedness is subordinated in right of payment to the Loan Document Obligations at least to the same extent as the Indebtedness being extended, replaced, refunded, refinanced, renewed or defeased, (ii) Disqualified Equity Interests or Preferred Stock, such Refinancing Indebtedness must be Disqualified Equity Interests or Preferred Stock,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(C)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Disqualified Equity Interests or Preferred Stock of a Subsidiary of Bidco that is not a Guarantor that refinances Indebtedness, Disqualified Equity Interests or Preferred Stock of Bidco or a Borrower;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Disqualified Equity Interests or Preferred Stock of a Subsidiary of Bidco that is not a Guarantor that refinances Indebtedness, Disqualified Equity Interests or Preferred Stock of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Indebtedness, Disqualified Equity Interests or Preferred Stock of Bidco or a Restricted Subsidiary that refinances Indebtedness, Disqualified Equity Interests or Preferred Stock of an Unrestricted Subsidiary; and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subclause (A) of this clause (xii) shall not apply to any refunding or refinancing of any outstanding Secured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(xiii) Indebtedness in respect of Cash Management Obligations, Bank Products provided by banks or other financial institutions to Bidco and its Restricted Subsidiaries in the ordinary course of business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(xiv) Indebtedness of Bidco or any of its Restricted Subsidiaries supported by a letter of credit issued pursuant to credit facilities, in a principal amount not in excess of the stated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(xv) any guarantee by Bidco or a Restricted Subsidiary of Indebtedness or other obligations of any Restricted Subsidiary so long as the incurrence of such Indebtedness incurred by such Restricted Subsidiary is permitted under the terms of this Agreement or any guarantee by a Restricted Subsidiary of Indebtedness or other obligations of Bidco so long as the incurrence of such Indebtedness incurred by Bidco is permitted under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Indebtedness, Disqualified Equity Interests or Preferred Stock of a Restricted Subsidiary incurred to finance or assumed in connection with an acquisition; provided that, at the time of any such incurrence of Indebtedness, Disqualified Equity Interests or Preferred Stock (and after giving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FormaEffect</w:t>
      </w:r>
      <w:r>
        <w:rPr>
          <w:rFonts w:ascii="Times New Roman" w:hAnsi="Times New Roman"/>
          <w:sz w:val="20"/>
        </w:rPr>
        <w:t xml:space="preserve"> thereto), the aggregate amount of such Indebtedness, Disqualified Equity Interests or Preferred Stock incurred under this clause (xvi), when aggregated with the outstanding amount of Indebtedness, Disqualified Equity Interests or Preferred Stock of Bidco or any Restricted Subsidiary which serves to refinance any Indebtedness, Disqualified Equity Interests or Preferred Stock incurred as permitted under this clause (xvi) or any Indebtedness, Disqualified Equity Interests or Preferred Stock issued to so refund or refinance such Indebtedness, Disqualified Equity Interests or Preferred Stock, does not exceed the greater of $150,000,000 and 20% of Consolidated EBITDA for the most recently ended Test Period, calculated on a Pro Forma Basis, in the aggregate (it being understood that any Indebtedness, Disqualified Equity Interests or Preferred Stock incurred pursuant to this clause (xvi) shall cease to be deemed incurred or outstanding for purposes of this clause (xvi) but shall be deemed incurred for the purposes of </w:t>
      </w:r>
      <w:r>
        <w:rPr>
          <w:rFonts w:ascii="Times New Roman" w:hAnsi="Times New Roman"/>
          <w:sz w:val="20"/>
          <w:u w:val="single"/>
        </w:rPr>
        <w:t>Section 6.01(a)</w:t>
      </w:r>
      <w:r>
        <w:rPr>
          <w:rFonts w:ascii="Times New Roman" w:hAnsi="Times New Roman"/>
          <w:sz w:val="20"/>
        </w:rPr>
        <w:t xml:space="preserve"> hereof from and after the first date on which such Restricted Subsidiary could have incurred such Indebtedness, Disqualified Equity Interests or Preferred Stock under </w:t>
      </w:r>
      <w:r>
        <w:rPr>
          <w:rFonts w:ascii="Times New Roman" w:hAnsi="Times New Roman"/>
          <w:sz w:val="20"/>
          <w:u w:val="single"/>
        </w:rPr>
        <w:t>Section 6.01(a)</w:t>
      </w:r>
      <w:r>
        <w:rPr>
          <w:rFonts w:ascii="Times New Roman" w:hAnsi="Times New Roman"/>
          <w:sz w:val="20"/>
        </w:rPr>
        <w:t xml:space="preserve"> hereof without reliance on this clause (xvi));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Pro Forma Basis, together with any amounts incurred or issued, as applicable, and outstanding by Restricted Subsidiaries that are not Guarantors pursuant to </w:t>
      </w:r>
      <w:r>
        <w:rPr>
          <w:rFonts w:ascii="Times New Roman" w:hAnsi="Times New Roman"/>
          <w:sz w:val="20"/>
          <w:u w:val="single"/>
        </w:rPr>
        <w:t>Section 6.01(a)</w:t>
      </w:r>
      <w:r>
        <w:rPr>
          <w:rFonts w:ascii="Times New Roman" w:hAnsi="Times New Roman"/>
          <w:sz w:val="20"/>
        </w:rPr>
        <w:t xml:space="preserve">, clause (xi)(b)(x) of this </w:t>
      </w:r>
      <w:r>
        <w:rPr>
          <w:rFonts w:ascii="Times New Roman" w:hAnsi="Times New Roman"/>
          <w:sz w:val="20"/>
          <w:u w:val="single"/>
        </w:rPr>
        <w:t>Section 6.01(b)</w:t>
      </w:r>
      <w:r>
        <w:rPr>
          <w:rFonts w:ascii="Times New Roman" w:hAnsi="Times New Roman"/>
          <w:sz w:val="20"/>
        </w:rPr>
        <w:t xml:space="preserve"> and this clause (xvi) of this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left"/>
        <w:rPr>
          <w:rFonts w:ascii="Times New Roman" w:hAnsi="Times New Roman"/>
          <w:sz w:val="20"/>
        </w:rPr>
      </w:pPr>
      <w:r>
        <w:rPr>
          <w:rFonts w:ascii="Times New Roman" w:hAnsi="Times New Roman"/>
          <w:sz w:val="20"/>
        </w:rPr>
        <w:t xml:space="preserve">(xvii) Indebtedness of Bidco or any of its Restricted Subsidiaries consisting of (i) the financing of insurance premiums or (ii) take-or-pay obligations contained in supply arrangements; </w:t>
      </w:r>
    </w:p>
    <w:p>
      <w:pPr>
        <w:pStyle w:val="TextBody"/>
        <w:bidi w:val="0"/>
        <w:spacing w:before="120" w:after="0"/>
        <w:jc w:val="left"/>
        <w:rPr>
          <w:rFonts w:ascii="Times New Roman" w:hAnsi="Times New Roman"/>
          <w:sz w:val="20"/>
        </w:rPr>
      </w:pPr>
      <w:r>
        <w:rPr>
          <w:rFonts w:ascii="Times New Roman" w:hAnsi="Times New Roman"/>
          <w:sz w:val="20"/>
        </w:rPr>
        <w:t xml:space="preserve">(xviii) Indebtedness consisting of Indebtedness issued by Bidco or any of its Restricted Subsidiaries to current or former officers, directors and employees thereof, their respective estates, spouses or former spouses, in each case to finance the purchase or redemption of Equity Interests of Bidco or any direct or indirect parent company of Bidco to the extent described in </w:t>
      </w:r>
      <w:r>
        <w:rPr>
          <w:rFonts w:ascii="Times New Roman" w:hAnsi="Times New Roman"/>
          <w:sz w:val="20"/>
          <w:u w:val="single"/>
        </w:rPr>
        <w:t>Section 6.05(b)</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(xix) Indebtedness of any Restricted Subsidiary that is not a Guarantor;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w:t>
      </w:r>
      <w:r>
        <w:rPr>
          <w:rFonts w:ascii="Times New Roman" w:hAnsi="Times New Roman"/>
          <w:sz w:val="20"/>
          <w:u w:val="single"/>
        </w:rPr>
        <w:t>Pro Forma Effect</w:t>
      </w:r>
      <w:r>
        <w:rPr>
          <w:rFonts w:ascii="Times New Roman" w:hAnsi="Times New Roman"/>
          <w:sz w:val="20"/>
        </w:rPr>
        <w:t xml:space="preserve"> thereto), the aggregate amount of Indebtedness incurred under this clause (xix), when aggregated with the outstanding amount of Indebtedness of any Restricted Subsidiary that is not a Guarantor which serves to refinance any Indebtedness incurred as permitted under this clause (xix) or any Indebtedness issued to so refund or refinance such Indebtedness, does not exceed the greater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$112,500,000 and 15% of Consolidated EBITDA for the most recently ended Test Period, calculated on a Pro Forma Basis, in the aggregate (it being understood that any Indebtedness incurred pursuant to this clause (xix) shall cease to be deemed incurred or outstanding for purposes of this clause (xix) but shall be deemed incurred for the purposes of the first paragraph of this covenant from and after the first date on which Bidco or such Restricted Subsidiary could have incurred such Indebtedness under the first paragraph of this covenant without reliance on this clause (xix));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limitation shall not apply to Indebtedness of any Person that becomes a Restricted Subsidiary in connection with an Investment not prohibited this Agreement (or of any Person not previously a Restricted Subsidiary that is merged or consolidated with or into Bidco or a Restricted Subsidiary) if such Indebtedness is outstanding prior to such Person becoming a Restricted Subsidiary and to the extent such Indebtedness is not incurred in contemplation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(xx) Indebtedness representing deferred compensation or stock-based compensation owed to employees of direct or indirect parent companies of Bidco, Bidco or the Restricted Subsidiaries incurred in the ordinary course of business or consistent with past practice or in connection with the Transactions, any Investment or any acquisition (by merger, consolidation, amalgamation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(xxi) Settlement Indebtedness; </w:t>
      </w:r>
    </w:p>
    <w:p>
      <w:pPr>
        <w:pStyle w:val="TextBody"/>
        <w:bidi w:val="0"/>
        <w:spacing w:before="120" w:after="0"/>
        <w:jc w:val="left"/>
        <w:rPr>
          <w:rFonts w:ascii="Times New Roman" w:hAnsi="Times New Roman"/>
          <w:sz w:val="20"/>
        </w:rPr>
      </w:pPr>
      <w:r>
        <w:rPr>
          <w:rFonts w:ascii="Times New Roman" w:hAnsi="Times New Roman"/>
          <w:sz w:val="20"/>
        </w:rPr>
        <w:t xml:space="preserve">(xxii) customer deposits and advance payments received in the ordinary course of business or consistent with past practice from customers for the purchase of goods or services; </w:t>
      </w:r>
    </w:p>
    <w:p>
      <w:pPr>
        <w:pStyle w:val="TextBody"/>
        <w:bidi w:val="0"/>
        <w:spacing w:before="120" w:after="0"/>
        <w:jc w:val="left"/>
        <w:rPr>
          <w:rFonts w:ascii="Times New Roman" w:hAnsi="Times New Roman"/>
          <w:sz w:val="20"/>
        </w:rPr>
      </w:pPr>
      <w:r>
        <w:rPr>
          <w:rFonts w:ascii="Times New Roman" w:hAnsi="Times New Roman"/>
          <w:sz w:val="20"/>
        </w:rPr>
        <w:t xml:space="preserve">(xxiii)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w:t>
      </w:r>
    </w:p>
    <w:p>
      <w:pPr>
        <w:pStyle w:val="TextBody"/>
        <w:bidi w:val="0"/>
        <w:spacing w:before="120" w:after="0"/>
        <w:jc w:val="left"/>
        <w:rPr>
          <w:rFonts w:ascii="Times New Roman" w:hAnsi="Times New Roman"/>
          <w:sz w:val="20"/>
        </w:rPr>
      </w:pPr>
      <w:r>
        <w:rPr>
          <w:rFonts w:ascii="Times New Roman" w:hAnsi="Times New Roman"/>
          <w:sz w:val="20"/>
        </w:rPr>
        <w:t xml:space="preserve">(xxiv) additional Indebtedness of Bidco or any of its Restricted Subsidiaries in an aggregate principal amount not to exceed the Available Amount that is not otherwise applied pursuant to clause (34) of the definition of “Permitted Liens” and </w:t>
      </w:r>
      <w:r>
        <w:rPr>
          <w:rFonts w:ascii="Times New Roman" w:hAnsi="Times New Roman"/>
          <w:sz w:val="20"/>
          <w:u w:val="single"/>
        </w:rPr>
        <w:t>Section 6.05(a)(A)</w:t>
      </w:r>
      <w:r>
        <w:rPr>
          <w:rFonts w:ascii="Times New Roman" w:hAnsi="Times New Roman"/>
          <w:sz w:val="20"/>
        </w:rPr>
        <w:t xml:space="preserve"> as in effect immediately prior to the incurrence of such Indebtedness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(xxv) additional Indebtedness of Bidco or any of its Restricted Subsidiaries in an aggregate principal amount that does not exceed the amount of Excluded Contributions made since the Effective Date that is not otherwise applied pursuant to clause (35) of the definition of “Permitted Liens” and </w:t>
      </w:r>
      <w:r>
        <w:rPr>
          <w:rFonts w:ascii="Times New Roman" w:hAnsi="Times New Roman"/>
          <w:sz w:val="20"/>
          <w:u w:val="single"/>
        </w:rPr>
        <w:t>Section 6.05(b)(x)</w:t>
      </w:r>
      <w:r>
        <w:rPr>
          <w:rFonts w:ascii="Times New Roman" w:hAnsi="Times New Roman"/>
          <w:sz w:val="20"/>
        </w:rPr>
        <w:t xml:space="preserve"> as in effect immediately prior to the incurrence of such Indebtedness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(xxvi) (a) Indebtedness of Bidco, any Borrower or any Subsidiary Loan Party issued in lieu of Incremental Facilities consisting of one or more series of loans (including bridge facilities), bonds, notes or debentures (and any Registered Equivalent Notes issued in exchange therefor) that are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or unsecured or that are subordinated (the “</w:t>
      </w:r>
      <w:r>
        <w:rPr>
          <w:rFonts w:ascii="Times New Roman" w:hAnsi="Times New Roman"/>
          <w:sz w:val="20"/>
          <w:u w:val="single"/>
        </w:rPr>
        <w:t>Incremental Equivalent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aggregate principal amount of all such Indebtedness incurred pursuant to this clause shall not exceed at the time of incurrence the Incremental Cap at such time and (y) such Indebtedness complies with the Required Additional Debt Terms and (b) any Refinancing Indebtedness in respect of Indebtedness incurred pursuant to the foregoing subclause (a);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Incremental Equivalent Debt is (i) broadly syndicated to banks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institutional investors, (ii) a term loan that is equal in right of payment to the Loan Document Obligations and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and (iii) denominated in dollars, </w:t>
      </w:r>
      <w:r>
        <w:rPr>
          <w:rFonts w:ascii="Times New Roman" w:hAnsi="Times New Roman"/>
          <w:sz w:val="20"/>
          <w:u w:val="single"/>
        </w:rPr>
        <w:t>then</w:t>
      </w:r>
      <w:r>
        <w:rPr>
          <w:rFonts w:ascii="Times New Roman" w:hAnsi="Times New Roman"/>
          <w:sz w:val="20"/>
        </w:rPr>
        <w:t xml:space="preserve">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Amendment No. 1 Refinancing</w:t>
      </w:r>
      <w:r>
        <w:rPr>
          <w:rFonts w:ascii="Times New Roman" w:hAnsi="Times New Roman"/>
          <w:sz w:val="20"/>
        </w:rPr>
        <w:t xml:space="preserve"> Term Loans shall be subject to the “most favored nation” pricing adjustment (if applicable) set forth in the proviso to </w:t>
      </w:r>
      <w:r>
        <w:rPr>
          <w:rFonts w:ascii="Times New Roman" w:hAnsi="Times New Roman"/>
          <w:sz w:val="20"/>
          <w:u w:val="single"/>
        </w:rPr>
        <w:t>Section 2.19(b)</w:t>
      </w:r>
      <w:r>
        <w:rPr>
          <w:rFonts w:ascii="Times New Roman" w:hAnsi="Times New Roman"/>
          <w:sz w:val="20"/>
        </w:rPr>
        <w:t xml:space="preserve"> as if such Incremental Equivalent Debt was an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(xxvii) Indebtedness to a customer to finance the acquisition of any equipment necessary to perform services for such customer; </w:t>
      </w:r>
      <w:r>
        <w:rPr>
          <w:rFonts w:ascii="Times New Roman" w:hAnsi="Times New Roman"/>
          <w:sz w:val="20"/>
          <w:u w:val="single"/>
        </w:rPr>
        <w:t>provided</w:t>
      </w:r>
      <w:r>
        <w:rPr>
          <w:rFonts w:ascii="Times New Roman" w:hAnsi="Times New Roman"/>
          <w:sz w:val="20"/>
        </w:rPr>
        <w:t xml:space="preserve"> that the terms of such Indebtedness are consistent with those entered into with respect to similar Indebtedness prior to the Effective Date, including that (1) the repayment of such Indebtedness is conditional upon such customer ordering a specific amount of goods or services and (2) such Indebtedness does not bear interest or provide for scheduled amortization or maturity; </w:t>
      </w:r>
    </w:p>
    <w:p>
      <w:pPr>
        <w:pStyle w:val="TextBody"/>
        <w:bidi w:val="0"/>
        <w:spacing w:before="120" w:after="0"/>
        <w:jc w:val="left"/>
        <w:rPr>
          <w:rFonts w:ascii="Times New Roman" w:hAnsi="Times New Roman"/>
          <w:sz w:val="20"/>
        </w:rPr>
      </w:pPr>
      <w:r>
        <w:rPr>
          <w:rFonts w:ascii="Times New Roman" w:hAnsi="Times New Roman"/>
          <w:sz w:val="20"/>
        </w:rPr>
        <w:t xml:space="preserve">(xxviii) Indebtedness of Bidco or any of its Restricted Subsidiaries arising pursuant to any Permitted Intercompany Activities, any Permitted Tax Restructuring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(xxix) to the extent constituting Indebtedness, obligations under or in respect of Receivables Facilities;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Pro Forma Effect thereto), the aggregate amount of Indebtedness pursuant to this clause (xxix), when aggregated with the outstanding amount of Indebtedness incurred in reliance on clause (xxx) and the outstanding amount of Refinancing Indebtedness in respect of Indebtedness initially incurred in reliance on this clause (xxix) or clause (xxx), does not exceed $400,000,000; </w:t>
      </w:r>
    </w:p>
    <w:p>
      <w:pPr>
        <w:pStyle w:val="TextBody"/>
        <w:bidi w:val="0"/>
        <w:spacing w:before="120" w:after="0"/>
        <w:jc w:val="left"/>
        <w:rPr>
          <w:rFonts w:ascii="Times New Roman" w:hAnsi="Times New Roman"/>
          <w:sz w:val="20"/>
        </w:rPr>
      </w:pPr>
      <w:r>
        <w:rPr>
          <w:rFonts w:ascii="Times New Roman" w:hAnsi="Times New Roman"/>
          <w:sz w:val="20"/>
        </w:rPr>
        <w:t xml:space="preserve">(xxx) Indebtedness incurred in connection with any Sale and Lease-Back Transaction;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Pro Forma Effect thereto), the aggregate amount of Indebtedness pursuant to this clause (xxx), when aggregated with the outstanding amount of Indebtedness incurred in reliance on clause (xxix) and the outstanding amount of Refinancing Indebtedness in respect of Indebtedness initially incurred in reliance on this clause (xxx) or clause (xxix), does not exceed $400,000,000; </w:t>
      </w:r>
    </w:p>
    <w:p>
      <w:pPr>
        <w:pStyle w:val="TextBody"/>
        <w:bidi w:val="0"/>
        <w:spacing w:before="120" w:after="0"/>
        <w:jc w:val="left"/>
        <w:rPr>
          <w:rFonts w:ascii="Times New Roman" w:hAnsi="Times New Roman"/>
          <w:sz w:val="20"/>
        </w:rPr>
      </w:pPr>
      <w:r>
        <w:rPr>
          <w:rFonts w:ascii="Times New Roman" w:hAnsi="Times New Roman"/>
          <w:sz w:val="20"/>
        </w:rPr>
        <w:t xml:space="preserve">(xxxi) Indebtedness under the Senior Secured Notes and any Refinancing Indebtedness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(xxxii) all premiums (if any), interest (including post-petition interest), fees, expenses, charges and additional or contingent interest on obligations described in clauses (i) through (xxxi) above.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 item of Indebtedness, Disqualified Equity Interests or Preferred Stock (or any portion thereof) meets the criteria of more than one of the categories of permitted Indebtedness, Disqualified Equity Interests or Preferred Stock described in clauses (i) through (xxxii) of </w:t>
      </w:r>
      <w:r>
        <w:rPr>
          <w:rFonts w:ascii="Times New Roman" w:hAnsi="Times New Roman"/>
          <w:sz w:val="20"/>
          <w:u w:val="single"/>
        </w:rPr>
        <w:t>Section 6.01(b)</w:t>
      </w:r>
      <w:r>
        <w:rPr>
          <w:rFonts w:ascii="Times New Roman" w:hAnsi="Times New Roman"/>
          <w:sz w:val="20"/>
        </w:rPr>
        <w:t xml:space="preserve"> hereof or is entitled to be incurred pursuant to </w:t>
      </w:r>
      <w:r>
        <w:rPr>
          <w:rFonts w:ascii="Times New Roman" w:hAnsi="Times New Roman"/>
          <w:sz w:val="20"/>
          <w:u w:val="single"/>
        </w:rPr>
        <w:t>Section 6.01(a)</w:t>
      </w:r>
      <w:r>
        <w:rPr>
          <w:rFonts w:ascii="Times New Roman" w:hAnsi="Times New Roman"/>
          <w:sz w:val="20"/>
        </w:rPr>
        <w:t xml:space="preserve"> hereof, Bidco, in its sole discretion, shall classify or reclassify such item of Indebtedness, Disqualified Equity Interests or Preferred Stock (or any portion thereof) and shall only be required to include the amount and type of such Indebtedness, Disqualified Equity Interests or Preferred Stock in one of the above clauses or in </w:t>
      </w:r>
      <w:r>
        <w:rPr>
          <w:rFonts w:ascii="Times New Roman" w:hAnsi="Times New Roman"/>
          <w:sz w:val="20"/>
          <w:u w:val="single"/>
        </w:rPr>
        <w:t>Section 6.01(a)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all Indebtedness under this Agreement incurred on or after the Effective Date shall be deemed to have been incurred pursuant to </w:t>
      </w:r>
      <w:r>
        <w:rPr>
          <w:rFonts w:ascii="Times New Roman" w:hAnsi="Times New Roman"/>
          <w:sz w:val="20"/>
          <w:u w:val="single"/>
        </w:rPr>
        <w:t>Section 6.01(b)(i)</w:t>
      </w:r>
      <w:r>
        <w:rPr>
          <w:rFonts w:ascii="Times New Roman" w:hAnsi="Times New Roman"/>
          <w:sz w:val="20"/>
        </w:rPr>
        <w:t xml:space="preserve"> and (B) that all Indebtedness represented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Senior Secured Notes incurred on the Effective Date and all Guarantees of the foregoing will be deemed to have been incurred pursuant to </w:t>
      </w:r>
      <w:r>
        <w:rPr>
          <w:rFonts w:ascii="Times New Roman" w:hAnsi="Times New Roman"/>
          <w:sz w:val="20"/>
          <w:u w:val="single"/>
        </w:rPr>
        <w:t>Section 6.01(b)(xxxi)</w:t>
      </w:r>
      <w:r>
        <w:rPr>
          <w:rFonts w:ascii="Times New Roman" w:hAnsi="Times New Roman"/>
          <w:sz w:val="20"/>
        </w:rPr>
        <w:t xml:space="preserve">, and the Borrower shall not be permitted to reclassify all or any portion of Indebtedness incurred pursuant to </w:t>
      </w:r>
      <w:r>
        <w:rPr>
          <w:rFonts w:ascii="Times New Roman" w:hAnsi="Times New Roman"/>
          <w:sz w:val="20"/>
          <w:u w:val="single"/>
        </w:rPr>
        <w:t>Section 6.01(b)(i)</w:t>
      </w:r>
      <w:r>
        <w:rPr>
          <w:rFonts w:ascii="Times New Roman" w:hAnsi="Times New Roman"/>
          <w:sz w:val="20"/>
        </w:rPr>
        <w:t xml:space="preserve"> or </w:t>
      </w:r>
      <w:r>
        <w:rPr>
          <w:rFonts w:ascii="Times New Roman" w:hAnsi="Times New Roman"/>
          <w:sz w:val="20"/>
          <w:u w:val="single"/>
        </w:rPr>
        <w:t>Section 6.01(b)(xxxi)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time of incurrence or reclassification, Bidco shall be entitled to divide and classify or reclassify an item of Indebtedness in more than one of the types of Indebtedness described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hereof (it being understood that any Indebtedness incurred pursuant to one of the clauses of </w:t>
      </w:r>
      <w:r>
        <w:rPr>
          <w:rFonts w:ascii="Times New Roman" w:hAnsi="Times New Roman"/>
          <w:sz w:val="20"/>
          <w:u w:val="single"/>
        </w:rPr>
        <w:t>Section 6.01(b)</w:t>
      </w:r>
      <w:r>
        <w:rPr>
          <w:rFonts w:ascii="Times New Roman" w:hAnsi="Times New Roman"/>
          <w:sz w:val="20"/>
        </w:rPr>
        <w:t xml:space="preserve"> shall cease to be deemed incurred or outstanding for purposes of such clause but shall be deemed incurred for the purposes of </w:t>
      </w:r>
      <w:r>
        <w:rPr>
          <w:rFonts w:ascii="Times New Roman" w:hAnsi="Times New Roman"/>
          <w:sz w:val="20"/>
          <w:u w:val="single"/>
        </w:rPr>
        <w:t>Section 6.01(a)</w:t>
      </w:r>
      <w:r>
        <w:rPr>
          <w:rFonts w:ascii="Times New Roman" w:hAnsi="Times New Roman"/>
          <w:sz w:val="20"/>
        </w:rPr>
        <w:t xml:space="preserve"> from and after the first date on which Bidco or its Restricted Subsidiaries could have incurred such Indebtedness under </w:t>
      </w:r>
      <w:r>
        <w:rPr>
          <w:rFonts w:ascii="Times New Roman" w:hAnsi="Times New Roman"/>
          <w:sz w:val="20"/>
          <w:u w:val="single"/>
        </w:rPr>
        <w:t>Section 6.01(a)</w:t>
      </w:r>
      <w:r>
        <w:rPr>
          <w:rFonts w:ascii="Times New Roman" w:hAnsi="Times New Roman"/>
          <w:sz w:val="20"/>
        </w:rPr>
        <w:t xml:space="preserve"> without reliance on such clause of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in the event that Bidco or a Restricted Subsidiary enters into or increases commitments under a credit facility, the Interest Coverage Ratio, the Senior Secured First Lien Net Leverage Ratio, the Senior Secured Net Leverage Ratio or the Total Net Leverage Ratio, as applicable, for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Interest Coverage Ratio, Senior Secured First Lien Net Leverage Ratio, the Senior Secured Net Leverage Ratio or the Total Net Leverage Ratio, as applicable, test is satisfied with respect thereto at such time, any borrowing or reborrowing thereunder (and the issuance and creation of letters of credit and bankers’ acceptances thereunder) shall be permitted under this covenant irrespective of the Interest Coverage Ratio, Senior Secured First Lien Net Leverage Ratio, the Senior Secured Net Leverage Ratio or the Total Net Leverage Ratio, as applicable, at the time of any borrowing or reborrowing thereunder (or the issuance or creation of letters of credit or bankers’ acceptances thereunder) (the committed amount permitted to be borrowed or reborrowed (and the issuance and creation of letters of credit and bankers’ acceptances) on a date pursuant to the operation of this paragraph shall be the “</w:t>
      </w:r>
      <w:r>
        <w:rPr>
          <w:rFonts w:ascii="Times New Roman" w:hAnsi="Times New Roman"/>
          <w:sz w:val="20"/>
          <w:u w:val="single"/>
        </w:rPr>
        <w:t>Reserved Indebtedness Amount</w:t>
      </w:r>
      <w:r>
        <w:rPr>
          <w:rFonts w:ascii="Times New Roman" w:hAnsi="Times New Roman"/>
          <w:sz w:val="20"/>
        </w:rPr>
        <w:t xml:space="preserve">” as of such date for purposes of the Interest Coverage Ratio, Senior Secured First Lien Net Leverage Ratio, the Senior Secured Net Leverage Ratio or the Total Net Leverage Ratio,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accrual of interest or dividends, the accretion of accreted value, the accretion or amortization of original issue discount and the payment of interest or dividends in the form of additional Indebtedness, Disqualified Equity Interests or Preferred Stock, as the case may be, of the same class shall not be deemed to be an incurrence or issuance of Indebtedness, Disqualified Equity Interests or Preferred Stock for purposes of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hAnsi="Times New Roman"/>
          <w:sz w:val="20"/>
          <w:u w:val="single"/>
        </w:rPr>
        <w:t>provided</w:t>
      </w:r>
      <w:r>
        <w:rPr>
          <w:rFonts w:ascii="Times New Roman" w:hAnsi="Times New Roman"/>
          <w:sz w:val="20"/>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w:t>
      </w:r>
      <w:r>
        <w:rPr>
          <w:rFonts w:ascii="Times New Roman" w:hAnsi="Times New Roman"/>
          <w:sz w:val="20"/>
          <w:u w:val="single"/>
        </w:rPr>
        <w:t>plus</w:t>
      </w:r>
      <w:r>
        <w:rPr>
          <w:rFonts w:ascii="Times New Roman" w:hAnsi="Times New Roman"/>
          <w:sz w:val="20"/>
        </w:rPr>
        <w:t xml:space="preserve"> (ii) the aggregate amount of fees, underwriting discounts, premiums and other costs and expenses incurred in connection with such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(vii) in the case of any refinancing of any Indebtedness permitted under </w:t>
      </w:r>
      <w:r>
        <w:rPr>
          <w:rFonts w:ascii="Times New Roman" w:hAnsi="Times New Roman"/>
          <w:sz w:val="20"/>
          <w:u w:val="single"/>
        </w:rPr>
        <w:t>Section 6.01(a)</w:t>
      </w:r>
      <w:r>
        <w:rPr>
          <w:rFonts w:ascii="Times New Roman" w:hAnsi="Times New Roman"/>
          <w:sz w:val="20"/>
        </w:rPr>
        <w:t xml:space="preserve"> and clause (ii), (iii), (xi)(a), (xii), (xvi) or (xix) of </w:t>
      </w:r>
      <w:r>
        <w:rPr>
          <w:rFonts w:ascii="Times New Roman" w:hAnsi="Times New Roman"/>
          <w:sz w:val="20"/>
          <w:u w:val="single"/>
        </w:rPr>
        <w:t>Section 6.01(b)</w:t>
      </w:r>
      <w:r>
        <w:rPr>
          <w:rFonts w:ascii="Times New Roman" w:hAnsi="Times New Roman"/>
          <w:sz w:val="20"/>
        </w:rPr>
        <w:t xml:space="preserve"> hereof or any portion thereof, the amount of Indebtedness being incurred to finance the aggregate amount of accrued and unpaid interest, dividends, premiums (including tender premiums), defeasance costs and fees and expenses (including original issue discount, upfront fees or similar fees) in connection with such refinancing shall not be deemed to be an incurrence or issuance of Indebtedness for purposes of this covenant, and the principal amount of any Disqualified Equity Interests of Bidco or a Restricted Subsidiary, or Preferred Stock of a Restricted Subsidiary, will be equal to the greater of the maximum mandatory redemption or repurchase price (not including, in either case, any redemption or repurchase premium) or the liquidation preference thereof; </w:t>
      </w:r>
    </w:p>
    <w:p>
      <w:pPr>
        <w:pStyle w:val="TextBody"/>
        <w:bidi w:val="0"/>
        <w:spacing w:before="120" w:after="0"/>
        <w:jc w:val="left"/>
        <w:rPr>
          <w:rFonts w:ascii="Times New Roman" w:hAnsi="Times New Roman"/>
          <w:sz w:val="20"/>
        </w:rPr>
      </w:pPr>
      <w:r>
        <w:rPr>
          <w:rFonts w:ascii="Times New Roman" w:hAnsi="Times New Roman"/>
          <w:sz w:val="20"/>
        </w:rPr>
        <w:t xml:space="preserve">(viii) notwithstanding anything in this </w:t>
      </w:r>
      <w:r>
        <w:rPr>
          <w:rFonts w:ascii="Times New Roman" w:hAnsi="Times New Roman"/>
          <w:sz w:val="20"/>
          <w:u w:val="single"/>
        </w:rPr>
        <w:t>Section 6.01</w:t>
      </w:r>
      <w:r>
        <w:rPr>
          <w:rFonts w:ascii="Times New Roman" w:hAnsi="Times New Roman"/>
          <w:sz w:val="20"/>
        </w:rPr>
        <w:t xml:space="preserve"> to the contrary, in the case of any Indebtedness incurred to refinance Indebtedness initially incurred in reliance on clause (iii), (xi)(b), or (xix) of </w:t>
      </w:r>
      <w:r>
        <w:rPr>
          <w:rFonts w:ascii="Times New Roman" w:hAnsi="Times New Roman"/>
          <w:sz w:val="20"/>
          <w:u w:val="single"/>
        </w:rPr>
        <w:t>Section 6.01(b)</w:t>
      </w:r>
      <w:r>
        <w:rPr>
          <w:rFonts w:ascii="Times New Roman" w:hAnsi="Times New Roman"/>
          <w:sz w:val="20"/>
        </w:rPr>
        <w:t xml:space="preserve"> hereof, measured by reference to a percentage of Consolidated EBITDA at the time of incurrence, and such refinancing would cause the percentage of Consolidated EBITDA restriction to be exceeded if calculated based on the percentage of Consolidated EBITDA on the date of such refinancing, such percentage of Consolidated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and fees and expenses (including original issue discount, upfront fees or similar fees) in connection with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(ix) Guarantees of, or obligations in respect of letters of credit, bankers’ acceptances or other similar instruments relating to, Indebtedness that is otherwise included in the determination of a particular amount of Indebtedness shall not be included; and </w:t>
      </w:r>
    </w:p>
    <w:p>
      <w:pPr>
        <w:pStyle w:val="TextBody"/>
        <w:bidi w:val="0"/>
        <w:spacing w:before="120" w:after="0"/>
        <w:jc w:val="left"/>
        <w:rPr>
          <w:rFonts w:ascii="Times New Roman" w:hAnsi="Times New Roman"/>
          <w:sz w:val="20"/>
        </w:rPr>
      </w:pPr>
      <w:r>
        <w:rPr>
          <w:rFonts w:ascii="Times New Roman" w:hAnsi="Times New Roman"/>
          <w:sz w:val="20"/>
        </w:rPr>
        <w:t xml:space="preserve">(x) pursuant to this Agreement (x) unsecured Indebtedness shall not be treated as subordinated or junior to Secured Indebtedness merely because it is unsecured and (y) Indebtedness shall not be treated as subordinated or junior to any other Indebtedness merely because it has a junior priority with respect to the same collateral or is secured by different collateral or because it is guaranteed by different obligors. </w:t>
      </w:r>
    </w:p>
    <w:p>
      <w:pPr>
        <w:pStyle w:val="TextBody"/>
        <w:bidi w:val="0"/>
        <w:spacing w:before="36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Bidco shall not, and shall not permit any Borrower or any Guarantor to create, incur, assume or permit to exist any Lien (except Permitted Liens) (each, a “</w:t>
      </w:r>
      <w:r>
        <w:rPr>
          <w:rFonts w:ascii="Times New Roman" w:hAnsi="Times New Roman"/>
          <w:sz w:val="20"/>
          <w:u w:val="single"/>
        </w:rPr>
        <w:t>Subject Lien</w:t>
      </w:r>
      <w:r>
        <w:rPr>
          <w:rFonts w:ascii="Times New Roman" w:hAnsi="Times New Roman"/>
          <w:sz w:val="20"/>
        </w:rPr>
        <w:t xml:space="preserve">”) that secures obligations under any Indebtedness or any related Guarantee on any asset or property of Bidco, any Borrower or any Guarantor, unless: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Subject Liens on any Collateral, (A) if the obligations secured by such Subject Lien are expressly junior to the Secured Obligations or (B) such Subject Lien is a Permitted Lien;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case of any Subject Lien on assets or property not constituting Collateral, any Subject Lien if (A) the Secured Obligations are equally and ratably secured with (or on a senior basis to, in the case such Subject Lien that secures any Subordinated Indebtedness) the obligations secured by such Subject Lien until such time as such obligations are no longer secured by such Subject Lien or (B) such Subject Lien is a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(b) Any Lien created for the benefit of the Secured Parties pursuant to the preceding paragraph shall be automatically and unconditionally released and discharged upon the release and discharge of the Subject Lien that gave rise to the obligation to so secure the Secured Obligations. </w:t>
      </w:r>
    </w:p>
    <w:p>
      <w:pPr>
        <w:pStyle w:val="TextBody"/>
        <w:bidi w:val="0"/>
        <w:spacing w:before="240" w:after="0"/>
        <w:jc w:val="left"/>
        <w:rPr>
          <w:rFonts w:ascii="Times New Roman" w:hAnsi="Times New Roman"/>
          <w:sz w:val="20"/>
        </w:rPr>
      </w:pPr>
      <w:r>
        <w:rPr>
          <w:rFonts w:ascii="Times New Roman" w:hAnsi="Times New Roman"/>
          <w:sz w:val="20"/>
        </w:rPr>
        <w:t>(c)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hAnsi="Times New Roman"/>
          <w:sz w:val="20"/>
          <w:u w:val="single"/>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w:t>
      </w:r>
    </w:p>
    <w:p>
      <w:pPr>
        <w:pStyle w:val="TextBody"/>
        <w:bidi w:val="0"/>
        <w:spacing w:before="36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 Holdings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will not, and will not permit any other Restricted Subsidiary to, merge into or consolidate with any other Person, or permit any other Person to merge into or consolidate with it, or liquidate or dissolve (which, for the avoidance of doubt, shall not restrict Bidco or any Restricted Subsidiary from changing its organizational form), except that: </w:t>
      </w:r>
    </w:p>
    <w:p>
      <w:pPr>
        <w:pStyle w:val="TextBody"/>
        <w:bidi w:val="0"/>
        <w:spacing w:before="120" w:after="0"/>
        <w:jc w:val="left"/>
        <w:rPr>
          <w:rFonts w:ascii="Times New Roman" w:hAnsi="Times New Roman"/>
          <w:sz w:val="20"/>
        </w:rPr>
      </w:pPr>
      <w:r>
        <w:rPr>
          <w:rFonts w:ascii="Times New Roman" w:hAnsi="Times New Roman"/>
          <w:sz w:val="20"/>
        </w:rPr>
        <w:t xml:space="preserve">(i) any Restricted Subsidiary other than a Borrower may merge or consolidate with (A) Bidco or a Borrower; </w:t>
      </w:r>
      <w:r>
        <w:rPr>
          <w:rFonts w:ascii="Times New Roman" w:hAnsi="Times New Roman"/>
          <w:sz w:val="20"/>
          <w:u w:val="single"/>
        </w:rPr>
        <w:t>provided</w:t>
      </w:r>
      <w:r>
        <w:rPr>
          <w:rFonts w:ascii="Times New Roman" w:hAnsi="Times New Roman"/>
          <w:sz w:val="20"/>
        </w:rPr>
        <w:t xml:space="preserve"> that Bidco or such Borrower shall be the continuing or surviving Person, or (B) any one or more Restricted Subsidiaries other than a Borrower; </w:t>
      </w:r>
      <w:r>
        <w:rPr>
          <w:rFonts w:ascii="Times New Roman" w:hAnsi="Times New Roman"/>
          <w:sz w:val="20"/>
          <w:u w:val="single"/>
        </w:rPr>
        <w:t>provided</w:t>
      </w:r>
      <w:r>
        <w:rPr>
          <w:rFonts w:ascii="Times New Roman" w:hAnsi="Times New Roman"/>
          <w:sz w:val="20"/>
        </w:rPr>
        <w:t xml:space="preserve"> that when any Subsidiary Loan Party is merging or consolidating with another Restricted Subsidiary other than a Borrower (1) the continuing or surviving Person shall be a Subsidiary Loan Party or (2) if the continuing or surviving Person is not a Subsidiary Loan Party, the acquisition of such Subsidiary Loan Party by such surviving Restricted Subsidiary is otherwise permitted under S</w:t>
      </w:r>
      <w:r>
        <w:rPr>
          <w:rFonts w:ascii="Times New Roman" w:hAnsi="Times New Roman"/>
          <w:sz w:val="20"/>
          <w:u w:val="single"/>
        </w:rPr>
        <w:t>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any Restricted Subsidiary that is not a Loan Party may merge or consolidate with or into any other Restricted Subsidiary that is not a Loan Party and (B) any Restricted Subsidiary other than a Borrower may liquidate or dissolve or change its legal form if Bidco determines in good faith that such action is in the best interests of Bidco and the Restricted Subsidiaries and is not materially disadvantageous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(iii) any Restricted Subsidiary other than a Borrower may make a disposition of all or substantially all of its assets (upon voluntary liquidation or otherwise) to Bidco or another Restricted Subsidiary; </w:t>
      </w:r>
      <w:r>
        <w:rPr>
          <w:rFonts w:ascii="Times New Roman" w:hAnsi="Times New Roman"/>
          <w:sz w:val="20"/>
          <w:u w:val="single"/>
        </w:rPr>
        <w:t>provided</w:t>
      </w:r>
      <w:r>
        <w:rPr>
          <w:rFonts w:ascii="Times New Roman" w:hAnsi="Times New Roman"/>
          <w:sz w:val="20"/>
        </w:rPr>
        <w:t xml:space="preserve"> that if the transferor in such a transaction is a Loan Party, then (A) the transferee must be a Loan Party, (B) to the extent constituting an Investment in a Restricted Subsidiary that is not a Loan Party, such Investment is a permitted Investment in a Restricted Subsidiary that is not a Loan Party in accordance with </w:t>
      </w:r>
      <w:r>
        <w:rPr>
          <w:rFonts w:ascii="Times New Roman" w:hAnsi="Times New Roman"/>
          <w:sz w:val="20"/>
          <w:u w:val="single"/>
        </w:rPr>
        <w:t>Section 6.05</w:t>
      </w:r>
      <w:r>
        <w:rPr>
          <w:rFonts w:ascii="Times New Roman" w:hAnsi="Times New Roman"/>
          <w:sz w:val="20"/>
        </w:rPr>
        <w:t xml:space="preserve"> or (C)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constituting a disposition to a Restricted Subsidiary that is not a Loan Party, such disposition is for fair market value (as determined in good faith by Bidco) and any promissory note or other non-cash consideration received in respect thereof is a permitted Investment in a Restricted Subsidiary that is not a Loan Party in accordance with </w:t>
      </w:r>
      <w:r>
        <w:rPr>
          <w:rFonts w:ascii="Times New Roman" w:hAnsi="Times New Roman"/>
          <w:sz w:val="20"/>
          <w:u w:val="single"/>
        </w:rPr>
        <w:t>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Bidco or a Borrower may merge or consolidate with (or dispose of all or substantially all of its assets to) any other Person; </w:t>
      </w:r>
      <w:r>
        <w:rPr>
          <w:rFonts w:ascii="Times New Roman" w:hAnsi="Times New Roman"/>
          <w:sz w:val="20"/>
          <w:u w:val="single"/>
        </w:rPr>
        <w:t>provided</w:t>
      </w:r>
      <w:r>
        <w:rPr>
          <w:rFonts w:ascii="Times New Roman" w:hAnsi="Times New Roman"/>
          <w:sz w:val="20"/>
        </w:rPr>
        <w:t xml:space="preserve"> that (A) Bidco or such Borrower shall be the continuing or surviving Person or (B) if the Person formed by or surviving any such merger or consolidation is not Bidco or such Borrower, as applicable, or is a Person into which Bidco or such Borrower has been liquidated (or, in connection with a disposition of all or substantially all of Bidco’s or such Borrower’s, as applicable, assets, if the transferee of such assets) (any such Person, the “</w:t>
      </w:r>
      <w:r>
        <w:rPr>
          <w:rFonts w:ascii="Times New Roman" w:hAnsi="Times New Roman"/>
          <w:sz w:val="20"/>
          <w:u w:val="single"/>
        </w:rPr>
        <w:t>Successor Entity</w:t>
      </w:r>
      <w:r>
        <w:rPr>
          <w:rFonts w:ascii="Times New Roman" w:hAnsi="Times New Roman"/>
          <w:sz w:val="20"/>
        </w:rPr>
        <w:t xml:space="preserve">”), (1) the Successor Entity shall be an entity organized or existing under the laws of (i) in the case of Bidco or the Finco Borrower, Luxembourg, (ii) in the case of Bidco, Guernsey, (iii) in the case of Bidco or an Additional Borrower, England and Wales or (iv) in the case of a Borrower (other than the Finco Borrower or an Additional Borrower), the United States, any State thereof or the District of Columbia, (2) the Successor Entity shall expressly assume all the obligations of Bidco or such Borrower, as applicable, under this Agreement and the other Loan Documents to which Bidco or such Borrower, as applicable, is a party pursuant to a supplement hereto or thereto in form and substance reasonably satisfactory to the Administrative Agent, (3) each Loan Party other than Bidco or such Borrower, as applicable,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Entity’s obligations under this Agreement and (4) Bidco or such Borrower, as applicable, shall have delivered to the Administrative Agent a certificate of a Responsible Officer of Bidco or such Borrower, as applicable, and an opinion of counsel, each stating that such merger or consolidation complies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(y) if such Person is not a Loan Party, no Event of Default (or, to the extent related to a Limited Condition Transaction, no Specified Event of Default) shall exist after giving effect to such merger or consolidation and (z) if the foregoing requirements are satisfied, the Successor Entity will succeed to, and be substituted for, Bidco or such Borrower, as applicable, under this Agreement and the other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or such Borrower, as applicable, will use commercially reasonable efforts to provide any documentation and other information about the Successor Entity as shall have been reasonably requested in writing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(v) any Restricted Subsidiary other than a Borrower may merge, consolidate or amalgamate with any other Person in order to effect an Investment permitted pursuant to </w:t>
      </w:r>
      <w:r>
        <w:rPr>
          <w:rFonts w:ascii="Times New Roman" w:hAnsi="Times New Roman"/>
          <w:sz w:val="20"/>
          <w:u w:val="single"/>
        </w:rPr>
        <w:t>Section 6.05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continuing or surviving Person shall be Bidco or a Restricted Subsidiary, which together with each of the Restricted Subsidiaries, shall have complied with the requirements of </w:t>
      </w:r>
      <w:r>
        <w:rPr>
          <w:rFonts w:ascii="Times New Roman" w:hAnsi="Times New Roman"/>
          <w:sz w:val="20"/>
          <w:u w:val="single"/>
        </w:rPr>
        <w:t>Sections 5.11</w:t>
      </w:r>
      <w:r>
        <w:rPr>
          <w:rFonts w:ascii="Times New Roman" w:hAnsi="Times New Roman"/>
          <w:sz w:val="20"/>
        </w:rPr>
        <w:t xml:space="preserve"> and </w:t>
      </w:r>
      <w:r>
        <w:rPr>
          <w:rFonts w:ascii="Times New Roman" w:hAnsi="Times New Roman"/>
          <w:sz w:val="20"/>
          <w:u w:val="single"/>
        </w:rPr>
        <w:t>5.12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any Restricted Subsidiary other than a Borrower may effect a merger, dissolution, liquidation consolidation or amalgamation to effect an Asset Sale permitted pursuant to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Holdings will not, and will not permit any Intermediate Parent to, conduct, transact or otherwise engage in any business or operations other than (i) the ownership and/or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Equity Interests of Bidco, any Intermediate Parent and any other Subsidiary, (ii) the maintenance of its legal existence, including the ability to incur fees, costs and expenses relating to such maintenance, (iii) participating in tax, accounting and other administrative matters with respect to Holdings and its subsidiaries, (iv) the performance of its obligations under and in connection with the Loan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w:t>
      </w:r>
      <w:r>
        <w:rPr>
          <w:rFonts w:ascii="Times New Roman" w:hAnsi="Times New Roman"/>
          <w:sz w:val="20"/>
          <w:u w:val="single"/>
        </w:rPr>
        <w:t>Section 5.17</w:t>
      </w:r>
      <w:r>
        <w:rPr>
          <w:rFonts w:ascii="Times New Roman" w:hAnsi="Times New Roman"/>
          <w:sz w:val="20"/>
        </w:rPr>
        <w:t xml:space="preserve">, or any Investment in Bidco,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(c) Holdings will not, and will not permit any Intermediate Parent to, own or acquire any material assets (other than Equity Interests as referred to in paragraph (b)(i) above, cash and Cash Equivalents, intercompany Investments in any Intermediate Parent, Bidco or any Subsidiary permitted hereunder) or incur any liabilities (other than liabilities as referred to in paragraph (b) above, liabilities imposed by law, including tax liabilities, and other liabilities incidental to its existence and business and activities permitted by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Asset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shall not, and shall not permit any of its Restricted Subsidiaries to, consummate an Asset Sale, unless: </w:t>
      </w:r>
    </w:p>
    <w:p>
      <w:pPr>
        <w:pStyle w:val="TextBody"/>
        <w:bidi w:val="0"/>
        <w:spacing w:before="120" w:after="0"/>
        <w:jc w:val="left"/>
        <w:rPr>
          <w:rFonts w:ascii="Times New Roman" w:hAnsi="Times New Roman"/>
          <w:sz w:val="20"/>
        </w:rPr>
      </w:pPr>
      <w:r>
        <w:rPr>
          <w:rFonts w:ascii="Times New Roman" w:hAnsi="Times New Roman"/>
          <w:sz w:val="20"/>
        </w:rPr>
        <w:t xml:space="preserve">(i) Bidco or such Restricted Subsidiary, as the case may be, receives consideration at the time of such Asset Sale at least equal to the Fair Market Value (as determined at the time of contractually agreeing to such Asset Sale) of the assets sold or otherwise disposed of; and </w:t>
      </w:r>
    </w:p>
    <w:p>
      <w:pPr>
        <w:pStyle w:val="TextBody"/>
        <w:bidi w:val="0"/>
        <w:spacing w:before="120" w:after="0"/>
        <w:jc w:val="left"/>
        <w:rPr>
          <w:rFonts w:ascii="Times New Roman" w:hAnsi="Times New Roman"/>
          <w:sz w:val="20"/>
        </w:rPr>
      </w:pPr>
      <w:r>
        <w:rPr>
          <w:rFonts w:ascii="Times New Roman" w:hAnsi="Times New Roman"/>
          <w:sz w:val="20"/>
        </w:rPr>
        <w:t xml:space="preserve">(ii) except in the case of a Permitted Asset Swap, if the property or assets sold or otherwise disposed of have a Fair Market Value in excess of the greater of $375,000,000 and 50% of Consolidated EBITDA for the most recently ended Test Period at the time of such disposition, calculated on a Pro Forma Basis, at least 75% of the consideration therefor received by Bidco or such Restricted Subsidiary, as the case may be, is in the form of cash or Cash Equivalents; </w:t>
      </w:r>
      <w:r>
        <w:rPr>
          <w:rFonts w:ascii="Times New Roman" w:hAnsi="Times New Roman"/>
          <w:sz w:val="20"/>
          <w:u w:val="single"/>
        </w:rPr>
        <w:t>provided</w:t>
      </w:r>
      <w:r>
        <w:rPr>
          <w:rFonts w:ascii="Times New Roman" w:hAnsi="Times New Roman"/>
          <w:sz w:val="20"/>
        </w:rPr>
        <w:t xml:space="preserve"> that the amount of: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contingent or otherwise, of Bidco or such Restricted Subsidiary, other than liabilities that are by their terms subordinated to the Secured Obligations or that are owed to Bidco or a Restricted Subsidiary that (x) are assumed by the transferee of any such assets (or a third party in connection with such transfer) or (y) are otherwise cancelled or terminated in connection with the transaction with such transferee (other than intercompany debt owed to Bidco or its Restricted Subsidiaries) and, in each case, for which Bidco and all of its Restricted Subsidiaries have been validly released; </w:t>
      </w:r>
    </w:p>
    <w:p>
      <w:pPr>
        <w:pStyle w:val="TextBody"/>
        <w:bidi w:val="0"/>
        <w:spacing w:before="120" w:after="0"/>
        <w:jc w:val="left"/>
        <w:rPr>
          <w:rFonts w:ascii="Times New Roman" w:hAnsi="Times New Roman"/>
          <w:sz w:val="20"/>
        </w:rPr>
      </w:pPr>
      <w:r>
        <w:rPr>
          <w:rFonts w:ascii="Times New Roman" w:hAnsi="Times New Roman"/>
          <w:sz w:val="20"/>
        </w:rPr>
        <w:t xml:space="preserve">(B) any securities, notes or other obligations or assets received by Bidco or such Restricted Subsidiary from such transferee that are converted by Bidco or such Restricted Subsidiary into cash or Cash Equivalents (to the extent of the cash or Cash Equivalents received) within 180 days following the closing of such Asset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Indebtedness of any Restricted Subsidiary that ceases to be a Restricted Subsidiary as a result of such Asset Sale (other than intercompany debt owed to Bidco or any Restricted Subsidiary), to the extent that Bidco and each other Restricted Subsidiary are released from any guarantee of payment of the principal amount of such Indebtedness in connection with such Asset Sale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consideration consisting of Indebtedness of a Borrower or a Guarantor (other than intercompany debt owed to Bidco or any Restricted Subsidiary and other than Subordinated Indebtedness) received after the Effective Date from Persons who are not Bidco, Holdings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any Designated Non-cash Consideration received by Bidco or such Restricted Subsidiary in such Asset Sale having an aggregate Fair Market Value taken together with all other Designated Non-cash Consideration received pursuant to this clause (E) that is at that time outstanding, not to exceed the greater of $225,000,000 and 30% of Consolidated EBITDA for the most recently ended Test Period at the time of the receipt of such Designated Non-cash Consideration, calculated on a Pro Forma Basis (with the Fair Market Value of each such item of Designated Non-cash Consideration being measured pursuant to this clause (E) at Bidco’s option, either at the time of contractually agreeing to such Asset Sale or at the time received and, in either case, without giving effect to subsequent changes in value); and </w:t>
      </w:r>
    </w:p>
    <w:p>
      <w:pPr>
        <w:pStyle w:val="TextBody"/>
        <w:bidi w:val="0"/>
        <w:spacing w:before="120" w:after="0"/>
        <w:jc w:val="left"/>
        <w:rPr>
          <w:rFonts w:ascii="Times New Roman" w:hAnsi="Times New Roman"/>
          <w:sz w:val="20"/>
        </w:rPr>
      </w:pPr>
      <w:r>
        <w:rPr>
          <w:rFonts w:ascii="Times New Roman" w:hAnsi="Times New Roman"/>
          <w:sz w:val="20"/>
        </w:rPr>
        <w:t xml:space="preserve">(F) any Investment, Capital Stock, assets, property or capital or other expenditure of the kind referred to in Section 6.04(b)(ii) </w:t>
      </w:r>
    </w:p>
    <w:p>
      <w:pPr>
        <w:pStyle w:val="TextBody"/>
        <w:bidi w:val="0"/>
        <w:spacing w:before="120" w:after="0"/>
        <w:jc w:val="left"/>
        <w:rPr>
          <w:rFonts w:ascii="Times New Roman" w:hAnsi="Times New Roman"/>
          <w:sz w:val="20"/>
        </w:rPr>
      </w:pPr>
      <w:r>
        <w:rPr>
          <w:rFonts w:ascii="Times New Roman" w:hAnsi="Times New Roman"/>
          <w:sz w:val="20"/>
        </w:rPr>
        <w:t xml:space="preserve">shall be deemed to be Cash Equivalents for purposes of this provision and for no other purpose. </w:t>
      </w:r>
    </w:p>
    <w:p>
      <w:pPr>
        <w:pStyle w:val="TextBody"/>
        <w:bidi w:val="0"/>
        <w:spacing w:before="240" w:after="0"/>
        <w:jc w:val="left"/>
        <w:rPr>
          <w:rFonts w:ascii="Times New Roman" w:hAnsi="Times New Roman"/>
          <w:sz w:val="20"/>
        </w:rPr>
      </w:pPr>
      <w:r>
        <w:rPr>
          <w:rFonts w:ascii="Times New Roman" w:hAnsi="Times New Roman"/>
          <w:sz w:val="20"/>
        </w:rPr>
        <w:t xml:space="preserve">(b) Within the Reinvestment Period after Bidco’s or any Restricted Subsidiary’s receipt of the Net Proceeds of any Asset Sale, Bidco or such Restricted Subsidiary shall apply an amount equal to the Net Proceeds from such Asset Sale, </w:t>
      </w:r>
    </w:p>
    <w:p>
      <w:pPr>
        <w:pStyle w:val="TextBody"/>
        <w:bidi w:val="0"/>
        <w:spacing w:before="240" w:after="0"/>
        <w:jc w:val="left"/>
        <w:rPr>
          <w:rFonts w:ascii="Times New Roman" w:hAnsi="Times New Roman"/>
          <w:sz w:val="20"/>
        </w:rPr>
      </w:pPr>
      <w:r>
        <w:rPr>
          <w:rFonts w:ascii="Times New Roman" w:hAnsi="Times New Roman"/>
          <w:sz w:val="20"/>
        </w:rPr>
        <w:t xml:space="preserve">(i) (A) to prepay Loans or Indebtedness in accordance with </w:t>
      </w:r>
      <w:r>
        <w:rPr>
          <w:rFonts w:ascii="Times New Roman" w:hAnsi="Times New Roman"/>
          <w:sz w:val="20"/>
          <w:u w:val="single"/>
        </w:rPr>
        <w:t>Section 2.10(c)</w:t>
      </w:r>
      <w:r>
        <w:rPr>
          <w:rFonts w:ascii="Times New Roman" w:hAnsi="Times New Roman"/>
          <w:sz w:val="20"/>
        </w:rPr>
        <w:t xml:space="preserve"> or (B) to the extent not required to prepay Loans pursuant to </w:t>
      </w:r>
      <w:r>
        <w:rPr>
          <w:rFonts w:ascii="Times New Roman" w:hAnsi="Times New Roman"/>
          <w:sz w:val="20"/>
          <w:u w:val="single"/>
        </w:rPr>
        <w:t>Section 2.10(c)</w:t>
      </w:r>
      <w:r>
        <w:rPr>
          <w:rFonts w:ascii="Times New Roman" w:hAnsi="Times New Roman"/>
          <w:sz w:val="20"/>
        </w:rPr>
        <w:t xml:space="preserve">, to be retained by Bidco and/or Restricted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(ii) to make investments in Bidco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Bidco and the Restricted Subsidiaries will be deemed to have complied with this </w:t>
      </w:r>
      <w:r>
        <w:rPr>
          <w:rFonts w:ascii="Times New Roman" w:hAnsi="Times New Roman"/>
          <w:sz w:val="20"/>
          <w:u w:val="single"/>
        </w:rPr>
        <w:t>clause (ii)</w:t>
      </w:r>
      <w:r>
        <w:rPr>
          <w:rFonts w:ascii="Times New Roman" w:hAnsi="Times New Roman"/>
          <w:sz w:val="20"/>
        </w:rPr>
        <w:t xml:space="preserve"> if and to the extent that, within the Reinvestment Period after the Asset Sale that generated the Net Proceeds, Bidco or such Restricted Subsidiary has entered into and not abandoned or rejected a binding agreement or letter of intent to consummate any such investment described in this </w:t>
      </w:r>
      <w:r>
        <w:rPr>
          <w:rFonts w:ascii="Times New Roman" w:hAnsi="Times New Roman"/>
          <w:sz w:val="20"/>
          <w:u w:val="single"/>
        </w:rPr>
        <w:t>clause (ii)</w:t>
      </w:r>
      <w:r>
        <w:rPr>
          <w:rFonts w:ascii="Times New Roman" w:hAnsi="Times New Roman"/>
          <w:sz w:val="20"/>
        </w:rPr>
        <w:t> with the good faith expectation that such Net Proceeds will be applied to satisfy such commitment within 180 days of such commitment (an “</w:t>
      </w:r>
      <w:r>
        <w:rPr>
          <w:rFonts w:ascii="Times New Roman" w:hAnsi="Times New Roman"/>
          <w:sz w:val="20"/>
          <w:u w:val="single"/>
        </w:rPr>
        <w:t>Acceptable Commitment</w:t>
      </w:r>
      <w:r>
        <w:rPr>
          <w:rFonts w:ascii="Times New Roman" w:hAnsi="Times New Roman"/>
          <w:sz w:val="20"/>
        </w:rPr>
        <w:t>”) and, in the event any such commitment is later cancelled or terminated for any reason before the Net Proceeds are applied in connection therewith, Bidco or such Restricted Subsidiary enters into another Acceptable Commitment (a “</w:t>
      </w:r>
      <w:r>
        <w:rPr>
          <w:rFonts w:ascii="Times New Roman" w:hAnsi="Times New Roman"/>
          <w:sz w:val="20"/>
          <w:u w:val="single"/>
        </w:rPr>
        <w:t>Second Commitment</w:t>
      </w:r>
      <w:r>
        <w:rPr>
          <w:rFonts w:ascii="Times New Roman" w:hAnsi="Times New Roman"/>
          <w:sz w:val="20"/>
        </w:rPr>
        <w:t xml:space="preserve">”) within 180 days of such cancellation or termination; </w:t>
      </w:r>
      <w:r>
        <w:rPr>
          <w:rFonts w:ascii="Times New Roman" w:hAnsi="Times New Roman"/>
          <w:sz w:val="20"/>
          <w:u w:val="single"/>
        </w:rPr>
        <w:t>provided</w:t>
      </w:r>
      <w:r>
        <w:rPr>
          <w:rFonts w:ascii="Times New Roman" w:hAnsi="Times New Roman"/>
          <w:sz w:val="20"/>
        </w:rPr>
        <w:t xml:space="preserve"> that if any Second Commitment is later cancelled or terminated for any reason before such Net Proceeds are applied, then Bidco or such Restricted Subsidiary shall prepay the Loans in accordance with </w:t>
      </w:r>
      <w:r>
        <w:rPr>
          <w:rFonts w:ascii="Times New Roman" w:hAnsi="Times New Roman"/>
          <w:sz w:val="20"/>
          <w:u w:val="single"/>
        </w:rPr>
        <w:t>Section 2.10(c)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Pending the final application of any Net Proceeds pursuant to this covenant, the holder of such Net Proceeds may apply such Net Proceeds temporarily to reduce Indebtedness outstanding under the Revolving Facility or any other revolving credit facility or otherwise use such Net Proceeds in any manner not prohibited by this Agreement. Bidco or any Restricted Subsidiary, as the case may be, may elect to invest in Bidco and its Subsidiaries prior to receiving the Net Proceeds attributable to any given Asset Sale (provided that such investment shall be made no earlier than execution of a definitive agreement for the relevant Asset Sale) and deem the amount so invested to be applied pursuant to and in accordance with clause (b)(ii) above with respect to such Asset Sale. </w:t>
      </w:r>
    </w:p>
    <w:p>
      <w:pPr>
        <w:pStyle w:val="TextBody"/>
        <w:bidi w:val="0"/>
        <w:spacing w:before="36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Limitation on 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shall not, and shall not permit any of its Restricted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payment or distribution on account of Bidco’s, or any of its Restricted Subsidiaries’ Equity Interests, including any dividend or distribution payable in connection with any merger, amalgamation or consolidation other than: </w:t>
      </w:r>
    </w:p>
    <w:p>
      <w:pPr>
        <w:pStyle w:val="TextBody"/>
        <w:bidi w:val="0"/>
        <w:spacing w:before="120" w:after="0"/>
        <w:jc w:val="left"/>
        <w:rPr>
          <w:rFonts w:ascii="Times New Roman" w:hAnsi="Times New Roman"/>
          <w:sz w:val="20"/>
        </w:rPr>
      </w:pPr>
      <w:r>
        <w:rPr>
          <w:rFonts w:ascii="Times New Roman" w:hAnsi="Times New Roman"/>
          <w:sz w:val="20"/>
        </w:rPr>
        <w:t xml:space="preserve">(A) dividends or distributions by Bidco payable solely in Equity Interests (other than any Disqualified Equity Interests) or in options, warrants or other rights to purchase such Equity Interests; or </w:t>
      </w:r>
    </w:p>
    <w:p>
      <w:pPr>
        <w:pStyle w:val="TextBody"/>
        <w:bidi w:val="0"/>
        <w:spacing w:before="120" w:after="0"/>
        <w:jc w:val="left"/>
        <w:rPr>
          <w:rFonts w:ascii="Times New Roman" w:hAnsi="Times New Roman"/>
          <w:sz w:val="20"/>
        </w:rPr>
      </w:pPr>
      <w:r>
        <w:rPr>
          <w:rFonts w:ascii="Times New Roman" w:hAnsi="Times New Roman"/>
          <w:sz w:val="20"/>
        </w:rPr>
        <w:t xml:space="preserve">(B) dividends or distributions by a Restricted Subsidiary so long as, in the case of any dividend or distribution payable on or in respect of any class or series of securities issued by a Restricted Subsidiary other than a Wholly-Owned Subsidiary of Bidco, Bidco or a Restricted Subsidiary receives at least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of such dividend or distribution in accordance with its Equity Interests in such class or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defease or otherwise acquire or retire for value any Equity Interests of Bidco or any direct or indirect parent company of Bidco, including in connection with any merger, amalgamation or consolidation, held by Persons other than Bidco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(iii) make any principal payment on, or redeem, repurchase, defease or otherwise acquire or retire for value in each case, prior to any scheduled repayment, sinking fund payment or maturity, any Subordinated Indebtedness, other than: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permitted under clauses (vi), (vii) and (viii) of </w:t>
      </w:r>
      <w:r>
        <w:rPr>
          <w:rFonts w:ascii="Times New Roman" w:hAnsi="Times New Roman"/>
          <w:sz w:val="20"/>
          <w:u w:val="single"/>
        </w:rPr>
        <w:t>Section 6.01(b)</w:t>
      </w:r>
      <w:r>
        <w:rPr>
          <w:rFonts w:ascii="Times New Roman" w:hAnsi="Times New Roman"/>
          <w:sz w:val="20"/>
        </w:rPr>
        <w:t xml:space="preserve"> hereof; or </w:t>
      </w:r>
    </w:p>
    <w:p>
      <w:pPr>
        <w:pStyle w:val="TextBody"/>
        <w:bidi w:val="0"/>
        <w:spacing w:before="120" w:after="0"/>
        <w:jc w:val="left"/>
        <w:rPr>
          <w:rFonts w:ascii="Times New Roman" w:hAnsi="Times New Roman"/>
          <w:sz w:val="20"/>
        </w:rPr>
      </w:pPr>
      <w:r>
        <w:rPr>
          <w:rFonts w:ascii="Times New Roman" w:hAnsi="Times New Roman"/>
          <w:sz w:val="20"/>
        </w:rPr>
        <w:t xml:space="preserve">(B) prepayments, redemptions, repurchases, defeasances and other payments in respect of Subordinated Indebtedness prior to their scheduled maturity purchased in anticipation of satisfying a sinking fund obligation, principal installment or final maturity, in each case due within one year of the date of purchase, repurchase or acquisition; </w:t>
      </w:r>
    </w:p>
    <w:p>
      <w:pPr>
        <w:pStyle w:val="TextBody"/>
        <w:bidi w:val="0"/>
        <w:spacing w:before="120" w:after="0"/>
        <w:jc w:val="left"/>
        <w:rPr>
          <w:rFonts w:ascii="Times New Roman" w:hAnsi="Times New Roman"/>
          <w:sz w:val="20"/>
        </w:rPr>
      </w:pPr>
      <w:r>
        <w:rPr>
          <w:rFonts w:ascii="Times New Roman" w:hAnsi="Times New Roman"/>
          <w:sz w:val="20"/>
        </w:rPr>
        <w:t xml:space="preserve">(iv) make any Restricted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payments and other actions set forth in clause (iii) (other than the exceptions thereto) above being collectively referred to as “</w:t>
      </w:r>
      <w:r>
        <w:rPr>
          <w:rFonts w:ascii="Times New Roman" w:hAnsi="Times New Roman"/>
          <w:sz w:val="20"/>
          <w:u w:val="single"/>
        </w:rPr>
        <w:t>Restricted Debt Payments</w:t>
      </w:r>
      <w:r>
        <w:rPr>
          <w:rFonts w:ascii="Times New Roman" w:hAnsi="Times New Roman"/>
          <w:sz w:val="20"/>
        </w:rPr>
        <w:t>”, and all such payments and other actions set forth in clauses (i) through (iv) (other than any exception thereto) above being collectively referred to as “</w:t>
      </w:r>
      <w:r>
        <w:rPr>
          <w:rFonts w:ascii="Times New Roman" w:hAnsi="Times New Roman"/>
          <w:sz w:val="20"/>
          <w:u w:val="single"/>
        </w:rPr>
        <w:t>Restricted Payments</w:t>
      </w:r>
      <w:r>
        <w:rPr>
          <w:rFonts w:ascii="Times New Roman" w:hAnsi="Times New Roman"/>
          <w:sz w:val="20"/>
        </w:rPr>
        <w:t xml:space="preserve">”), unless, at the time of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(A) such Restricted Payment, together with the aggregate amount of all other Restricted Payments made (and not returned or rescinded) by Bidco and its Restricted Subsidiaries under this </w:t>
      </w:r>
      <w:r>
        <w:rPr>
          <w:rFonts w:ascii="Times New Roman" w:hAnsi="Times New Roman"/>
          <w:sz w:val="20"/>
          <w:u w:val="single"/>
        </w:rPr>
        <w:t>Section 6.05(a)(A)</w:t>
      </w:r>
      <w:r>
        <w:rPr>
          <w:rFonts w:ascii="Times New Roman" w:hAnsi="Times New Roman"/>
          <w:sz w:val="20"/>
        </w:rPr>
        <w:t xml:space="preserve"> after the Effective Date (excluding all other Restricted Payments permitted by </w:t>
      </w:r>
      <w:r>
        <w:rPr>
          <w:rFonts w:ascii="Times New Roman" w:hAnsi="Times New Roman"/>
          <w:sz w:val="20"/>
          <w:u w:val="single"/>
        </w:rPr>
        <w:t>Section 6.05(b)</w:t>
      </w:r>
      <w:r>
        <w:rPr>
          <w:rFonts w:ascii="Times New Roman" w:hAnsi="Times New Roman"/>
          <w:sz w:val="20"/>
        </w:rPr>
        <w:t xml:space="preserve"> hereof), is less than the sum of (without duplication) (the sum or the amounts attributable to clauses (1) through (9) below is referred to herein as the “</w:t>
      </w:r>
      <w:r>
        <w:rPr>
          <w:rFonts w:ascii="Times New Roman" w:hAnsi="Times New Roman"/>
          <w:sz w:val="20"/>
          <w:u w:val="single"/>
        </w:rPr>
        <w:t>Available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50% of the Consolidated Net Income of Bidco and its Restricted Subsidiaries for the period (taken as one accounting period) beginning on the first day of the fiscal quarter of Bidco during which the Effective Date occurs to the end of the most recently ended Test Period at the time of such Restricted Payment (which amount shall not be less than zero); </w:t>
      </w:r>
      <w:r>
        <w:rPr>
          <w:rFonts w:ascii="Times New Roman" w:hAnsi="Times New Roman"/>
          <w:sz w:val="20"/>
          <w:u w:val="single"/>
        </w:rPr>
        <w:t>plus</w:t>
      </w:r>
    </w:p>
    <w:p>
      <w:pPr>
        <w:pStyle w:val="TextBody"/>
        <w:bidi w:val="0"/>
        <w:spacing w:before="120" w:after="0"/>
        <w:jc w:val="left"/>
        <w:rPr>
          <w:rFonts w:ascii="Times New Roman" w:hAnsi="Times New Roman"/>
          <w:sz w:val="20"/>
        </w:rPr>
      </w:pPr>
      <w:r>
        <w:rPr>
          <w:rFonts w:ascii="Times New Roman" w:hAnsi="Times New Roman"/>
          <w:sz w:val="20"/>
        </w:rPr>
        <w:t xml:space="preserve">(2) 100% of the aggregate net cash proceeds and the Fair Market Value, as determined in good faith by a Responsible Officer of Bidco, of marketable securities or other property received by Bidco since immediately after the Effective Date (other than net cash proceeds from Cure Amounts or to the extent such net cash proceeds have been used to incur Indebtedness or issue any Disqualified Equity Interests or Preferred Stock pursuant to clause (xi)(a) of </w:t>
      </w:r>
      <w:r>
        <w:rPr>
          <w:rFonts w:ascii="Times New Roman" w:hAnsi="Times New Roman"/>
          <w:sz w:val="20"/>
          <w:u w:val="single"/>
        </w:rPr>
        <w:t>Section 6.01(b)</w:t>
      </w:r>
      <w:r>
        <w:rPr>
          <w:rFonts w:ascii="Times New Roman" w:hAnsi="Times New Roman"/>
          <w:sz w:val="20"/>
        </w:rPr>
        <w:t xml:space="preserve"> hereof) from the issue or sale of: </w:t>
      </w:r>
    </w:p>
    <w:p>
      <w:pPr>
        <w:pStyle w:val="TextBody"/>
        <w:bidi w:val="0"/>
        <w:spacing w:before="120" w:after="0"/>
        <w:jc w:val="left"/>
        <w:rPr>
          <w:rFonts w:ascii="Times New Roman" w:hAnsi="Times New Roman"/>
          <w:sz w:val="20"/>
        </w:rPr>
      </w:pPr>
      <w:r>
        <w:rPr>
          <w:rFonts w:ascii="Times New Roman" w:hAnsi="Times New Roman"/>
          <w:sz w:val="20"/>
        </w:rPr>
        <w:t xml:space="preserve">i. A. Equity Interests of Bidco, including Treasury Capital Stock, but excluding cash proceeds and the Fair Market Value, as determined in good faith by a Responsible Officer of Bidco, of marketable securities or other property received from the sale of: </w:t>
      </w:r>
    </w:p>
    <w:p>
      <w:pPr>
        <w:pStyle w:val="TextBody"/>
        <w:bidi w:val="0"/>
        <w:spacing w:before="120" w:after="0"/>
        <w:jc w:val="left"/>
        <w:rPr>
          <w:rFonts w:ascii="Times New Roman" w:hAnsi="Times New Roman"/>
          <w:sz w:val="20"/>
        </w:rPr>
      </w:pPr>
      <w:r>
        <w:rPr>
          <w:rFonts w:ascii="Times New Roman" w:hAnsi="Times New Roman"/>
          <w:sz w:val="20"/>
        </w:rPr>
        <w:t xml:space="preserve">(x) Equity Interests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such amounts have been applied to Restricted Payments made in accordance with </w:t>
      </w:r>
      <w:r>
        <w:rPr>
          <w:rFonts w:ascii="Times New Roman" w:hAnsi="Times New Roman"/>
          <w:sz w:val="20"/>
          <w:u w:val="single"/>
        </w:rPr>
        <w:t>Section 6.05(b)(iv)</w:t>
      </w:r>
      <w:r>
        <w:rPr>
          <w:rFonts w:ascii="Times New Roman" w:hAnsi="Times New Roman"/>
          <w:sz w:val="20"/>
        </w:rPr>
        <w:t xml:space="preserve"> hereof; and </w:t>
      </w:r>
    </w:p>
    <w:p>
      <w:pPr>
        <w:pStyle w:val="TextBody"/>
        <w:bidi w:val="0"/>
        <w:spacing w:before="120" w:after="0"/>
        <w:jc w:val="left"/>
        <w:rPr>
          <w:rFonts w:ascii="Times New Roman" w:hAnsi="Times New Roman"/>
          <w:sz w:val="20"/>
        </w:rPr>
      </w:pPr>
      <w:r>
        <w:rPr>
          <w:rFonts w:ascii="Times New Roman" w:hAnsi="Times New Roman"/>
          <w:sz w:val="20"/>
        </w:rPr>
        <w:t xml:space="preserve">(y) Designated Preferred Stock; and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net cash proceeds or other property are actually contributed to the capital of Bidco or any Restricted Subsidiary (without the issuance of additional Equity Interests of such Restricted Subsidiary), Equity Interests of any direct or indirect parent company of Bidco (excluding net cash proceeds from Cure Amounts, Contributed Holdings Investments and contributions of the proceeds from the sale of Designated Preferred Stock of such companies or contributions to the extent such amounts have been applied to Restricted Payments made in accordance with </w:t>
      </w:r>
      <w:r>
        <w:rPr>
          <w:rFonts w:ascii="Times New Roman" w:hAnsi="Times New Roman"/>
          <w:sz w:val="20"/>
          <w:u w:val="single"/>
        </w:rPr>
        <w:t>Section 6.05(b)(iv)</w:t>
      </w:r>
      <w:r>
        <w:rPr>
          <w:rFonts w:ascii="Times New Roman" w:hAnsi="Times New Roman"/>
          <w:sz w:val="20"/>
        </w:rPr>
        <w:t xml:space="preserve"> 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debt securities of Bidco or any Restricted Subsidiary that have been converted into or exchanged for such Equity Interests of Bidco or a direct or indirect parent company of Bidco;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(2) shall not include the proceeds from (W) Refunding Capital Stock, (X) Equity Interests or convertible debt securities of Bidco sold to a Restricted Subsidiary, as the case may be, (Y) Disqualified Equity Interests or debt securities that have been converted into Disqualified Equity Interests or (Z) Excluded Contributions;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100% of the aggregate amount of cash and the Fair Market Value, as determined in good faith by a Responsible Officer of Bidco, of marketable securities or other property contributed to the capital of Bidco after the Effective Date (other than net cash proceeds to the extent such net cash proceeds (i) have been used to incur Indebtedness or issue any Disqualified Equity Interests or Preferred Stock pursuant to clause (xi)(a) of </w:t>
      </w:r>
      <w:r>
        <w:rPr>
          <w:rFonts w:ascii="Times New Roman" w:hAnsi="Times New Roman"/>
          <w:sz w:val="20"/>
          <w:u w:val="single"/>
        </w:rPr>
        <w:t>Section 6.01(b)</w:t>
      </w:r>
      <w:r>
        <w:rPr>
          <w:rFonts w:ascii="Times New Roman" w:hAnsi="Times New Roman"/>
          <w:sz w:val="20"/>
        </w:rPr>
        <w:t xml:space="preserve"> hereof, (ii) are contributed by a Restricted Subsidiary or (iii) constitute Excluded Contributions and Contributed Holdings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100% of the aggregate amount received in cash and the Fair Market Value, as determined in good faith by a Responsible Officer of Bidco, of marketable securities or other property received by Bidco or a Restricted Subsidiary by means of: </w:t>
      </w:r>
    </w:p>
    <w:p>
      <w:pPr>
        <w:pStyle w:val="TextBody"/>
        <w:bidi w:val="0"/>
        <w:spacing w:before="120" w:after="0"/>
        <w:jc w:val="left"/>
        <w:rPr>
          <w:rFonts w:ascii="Times New Roman" w:hAnsi="Times New Roman"/>
          <w:sz w:val="20"/>
        </w:rPr>
      </w:pPr>
      <w:r>
        <w:rPr>
          <w:rFonts w:ascii="Times New Roman" w:hAnsi="Times New Roman"/>
          <w:sz w:val="20"/>
        </w:rPr>
        <w:t xml:space="preserve">i. the sale or other disposition (other than to Bidco or a Restricted Subsidiary) of Restricted Investments made by Bidco or its Restricted Subsidiaries and repurchases and redemptions of such Restricted Investments from Bidco or its Restricted Subsidiaries (other than by Bidco or a Restricted Subsidiary) and repayments of loans or advances and releases of guarantees, that constitute Restricted Investments made by Bidco or its Restricted Subsidiaries, in each case after the Effective Date; or </w:t>
      </w:r>
    </w:p>
    <w:p>
      <w:pPr>
        <w:pStyle w:val="TextBody"/>
        <w:bidi w:val="0"/>
        <w:spacing w:before="120" w:after="0"/>
        <w:jc w:val="left"/>
        <w:rPr>
          <w:rFonts w:ascii="Times New Roman" w:hAnsi="Times New Roman"/>
          <w:sz w:val="20"/>
        </w:rPr>
      </w:pPr>
      <w:r>
        <w:rPr>
          <w:rFonts w:ascii="Times New Roman" w:hAnsi="Times New Roman"/>
          <w:sz w:val="20"/>
        </w:rPr>
        <w:t xml:space="preserve">ii. the sale or other disposition (other than to Bidco or a Restricted Subsidiary) of the stock of an Unrestricted Subsidiary or a distribution from an Unrestricted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 in the case of the redesignation of an Unrestricted Subsidiary as a Restricted Subsidiary or the merger, amalgamation or consolidation of an Unrestricted Subsidiary into Bidco or a Restricted Subsidiary or the transfer of all or substantially all of the assets of an Unrestricted Subsidiary to Bidco or a Restricted Subsidiary after the Effective Date, the Fair Market Value of the Investment in such Unrestricted Subsidiary (or the assets transferred), as determined in good faith by a Responsible Officer of Bidco,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the Investment in such Unrestricted Subsidiary was made by Bidco or a Restricted Subsidiary pursuant to </w:t>
      </w:r>
      <w:r>
        <w:rPr>
          <w:rFonts w:ascii="Times New Roman" w:hAnsi="Times New Roman"/>
          <w:sz w:val="20"/>
          <w:u w:val="single"/>
        </w:rPr>
        <w:t>Section 6.05(b)(xi)</w:t>
      </w:r>
      <w:r>
        <w:rPr>
          <w:rFonts w:ascii="Times New Roman" w:hAnsi="Times New Roman"/>
          <w:sz w:val="20"/>
        </w:rPr>
        <w:t xml:space="preserve"> or to the extent such Investment constituted a Permitted Investment;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the aggregate amount of any Retained Declined Proceeds and Specified Asset Sale Proceeds since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 the greater of (i) $300,000,000 and (ii) 40% of Consolidated EBITDA for the most recently ended Test Period as of such date, calculated on a Pro Forma Basis;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the aggregate amount of any cash overfunding and the proceeds from the sale of any accounts receivable, royalty or other similar rights to payment and any other assets related thereto that are not reflected on the most recent consolidated balance sheet of Bidco and the Restricted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 the cumulative amount of (i) Liens incurred pursuant to clause (34) of the definition of “Permitted Liens” from and after the Effective Date and outstanding at such time and (ii) Indebtedness incurred pursuant to </w:t>
      </w:r>
      <w:r>
        <w:rPr>
          <w:rFonts w:ascii="Times New Roman" w:hAnsi="Times New Roman"/>
          <w:sz w:val="20"/>
          <w:u w:val="single"/>
        </w:rPr>
        <w:t>Section 6.01(b)(xxiv)</w:t>
      </w:r>
      <w:r>
        <w:rPr>
          <w:rFonts w:ascii="Times New Roman" w:hAnsi="Times New Roman"/>
          <w:sz w:val="20"/>
        </w:rPr>
        <w:t xml:space="preserve"> from and after the Effective Date and outstanding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6.05(a)</w:t>
      </w:r>
      <w:r>
        <w:rPr>
          <w:rFonts w:ascii="Times New Roman" w:hAnsi="Times New Roman"/>
          <w:sz w:val="20"/>
        </w:rPr>
        <w:t xml:space="preserve"> hereof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(i) the payment of any dividend or other distribution or the consummation of any redemption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as the case may be, would have complied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(ii) (A) the redemption, repurchase, defeasance, retirement or other acquisition of any (i) Equity Interests, including any accrued and unpaid dividends thereon (“</w:t>
      </w:r>
      <w:r>
        <w:rPr>
          <w:rFonts w:ascii="Times New Roman" w:hAnsi="Times New Roman"/>
          <w:sz w:val="20"/>
          <w:u w:val="single"/>
        </w:rPr>
        <w:t>Treasury Capital Stock</w:t>
      </w:r>
      <w:r>
        <w:rPr>
          <w:rFonts w:ascii="Times New Roman" w:hAnsi="Times New Roman"/>
          <w:sz w:val="20"/>
        </w:rPr>
        <w:t>”) of Bidco or any Restricted Subsidiary or Subordinated Indebtedness of Bidco, any Borrower or any Guarantor or (ii) Equity Interests of any direct or indirect parent company of Bidco, in the case of each of clauses (i) and (ii), in exchange for, or out of the proceeds of the substantially concurrent sale (other than to Bidco or a Restricted Subsidiary) of, Equity Interests of Bidco or any direct or indirect parent company of Bidco to the extent contributed to the capital of Bidco or any Restricted Subsidiary (in each case, other than any Disqualified Equity Interests) (“</w:t>
      </w:r>
      <w:r>
        <w:rPr>
          <w:rFonts w:ascii="Times New Roman" w:hAnsi="Times New Roman"/>
          <w:sz w:val="20"/>
          <w:u w:val="single"/>
        </w:rPr>
        <w:t>Refunding Capital Stock</w:t>
      </w:r>
      <w:r>
        <w:rPr>
          <w:rFonts w:ascii="Times New Roman" w:hAnsi="Times New Roman"/>
          <w:sz w:val="20"/>
        </w:rPr>
        <w:t xml:space="preserve">”), (B) the declaration and payment of dividends on the Treasury Capital Stock out of the proceeds of the substantially concurrent sale (other than to Bidco or a Restricted Subsidiary) of the Refunding Capital Stock and (iii) if immediately prior to the retirement of Treasury Capital Stock, the declaration and payment of dividends thereon was permitted under clause (vi) of this </w:t>
      </w:r>
      <w:r>
        <w:rPr>
          <w:rFonts w:ascii="Times New Roman" w:hAnsi="Times New Roman"/>
          <w:sz w:val="20"/>
          <w:u w:val="single"/>
        </w:rPr>
        <w:t>Section 6.05(b)</w:t>
      </w:r>
      <w:r>
        <w:rPr>
          <w:rFonts w:ascii="Times New Roman" w:hAnsi="Times New Roman"/>
          <w:sz w:val="20"/>
        </w:rPr>
        <w:t xml:space="preserve">, the declaration and payment of dividends on the Refunding Capital Stock (other than Refunding Capital Stock the proceeds of which were used to redeem, repurchase, retire or otherwise acquire any Equity Interests of any direct or indirect parent company of Bidco) in an aggregate amount per year no greater than the aggregate amount of dividends per annum that were declarable and payable on such Treasury Capital Stock immediately prior to such retirement; </w:t>
      </w:r>
    </w:p>
    <w:p>
      <w:pPr>
        <w:pStyle w:val="TextBody"/>
        <w:bidi w:val="0"/>
        <w:spacing w:before="120" w:after="0"/>
        <w:jc w:val="left"/>
        <w:rPr>
          <w:rFonts w:ascii="Times New Roman" w:hAnsi="Times New Roman"/>
          <w:sz w:val="20"/>
        </w:rPr>
      </w:pPr>
      <w:r>
        <w:rPr>
          <w:rFonts w:ascii="Times New Roman" w:hAnsi="Times New Roman"/>
          <w:sz w:val="20"/>
        </w:rPr>
        <w:t xml:space="preserve">(iii) the defeasance, redemption, repurchase, exchange or other acquisition or retirement for value of (i) Subordinated Indebtedness of a Borrower or a Guarantor made by exchange for, or out of the proceeds of the substantially concurrent sale of, new Subordinated Indebtedness of a Borrower or a Guarantor or (ii) Disqualified Equity Interests of a Borrower or a Guarantor made by exchange for, or out of the proceeds of the substantially concurrent sale of, Disqualified Equity Interests of a Borrower or a Guarantor, that, in each case, is incurred in compliance with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Restricted Payments to Bidco or direct or indirect parent companies of Bidco, the proceeds of which are, or will be, promptly used to redeem, acquire, retire, repurchase or settle its Equity Interests (or any options, warrants, restricted stock or stock appreciation rights or similar securities issued with respect to any such Equity Interests) (in each case, other than Disqualified Equity Interests) or Indebtedness or to service Indebtedness incurred by direct or indirect parent companies of Bidco to finance the redemption, acquisition, retirement, repurchase or settlement of such Equity Interest or Indebtedness (or make Restricted Payments to allow any of Bidco’s direct or indirect parent companies to so redeem, retire, acquire or repurchase their Equity Interests or their Indebtedness or to service Indebtedness incurred by direct or indirect parent companies of Bidco to finance the redemption, acquisition, retirement, repurchase or settlement of such Equity Interests or Indebtedness or to service Indebtedness incurred to finance the redemption, retirement, acquisition or repurchase of such Equity Interests or Indebtedness), in each case held directly or indirectly by current or former officers, managers, consultants, members of the board of directors, employees or independent contractors (or their respective spouses, former spouses, successors, executors, administrators, heirs, legatees or distributees) of direct or indirect parent companies of Bidco, Bidco and/or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not to exceed the greater of $112,500,000 and 15% of Consolidated EBITDA for the most recently ended Test Period as of such date, calculated on a Pro Forma Basis, in any calendar year (with unused amounts in any calendar year being carried over to succeeding calendar years subject to a maximum of the greater of $225,000,000 and 30% of Consolidated EBITDA for the most recently ended Test Period as of such date, calculated on a Pro Forma Basis, in any calendar year), in each case, without giving effect to the following proviso; </w:t>
      </w:r>
      <w:r>
        <w:rPr>
          <w:rFonts w:ascii="Times New Roman" w:hAnsi="Times New Roman"/>
          <w:sz w:val="20"/>
          <w:u w:val="single"/>
        </w:rPr>
        <w:t>provided</w:t>
      </w:r>
      <w:r>
        <w:rPr>
          <w:rFonts w:ascii="Times New Roman" w:hAnsi="Times New Roman"/>
          <w:sz w:val="20"/>
        </w:rPr>
        <w:t xml:space="preserve"> that such amount in any calendar year may be increased by: </w:t>
      </w:r>
    </w:p>
    <w:p>
      <w:pPr>
        <w:pStyle w:val="TextBody"/>
        <w:bidi w:val="0"/>
        <w:spacing w:before="120" w:after="0"/>
        <w:jc w:val="left"/>
        <w:rPr>
          <w:rFonts w:ascii="Times New Roman" w:hAnsi="Times New Roman"/>
          <w:sz w:val="20"/>
        </w:rPr>
      </w:pPr>
      <w:r>
        <w:rPr>
          <w:rFonts w:ascii="Times New Roman" w:hAnsi="Times New Roman"/>
          <w:sz w:val="20"/>
        </w:rPr>
        <w:t xml:space="preserve">(A) the cash proceeds from the sale of Equity Interests (other than Disqualified Equity Interests) of Bidco and, to the extent contributed to Bidco, Equity Interests of any of Bidco’s direct or indirect parent companies, in each case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the cash proceeds from the sale of such Equity Interests have not otherwise been applied to the payment of Restricted Payments by virtue of </w:t>
      </w:r>
      <w:r>
        <w:rPr>
          <w:rFonts w:ascii="Times New Roman" w:hAnsi="Times New Roman"/>
          <w:sz w:val="20"/>
          <w:u w:val="single"/>
        </w:rPr>
        <w:t>Section 6.05(a)(A)</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 amount not to exceed the cash proceeds of key man life insurance policies received by Bidco (or by direct or indirect parent companies of Bidco and contributed to Bidco) or the Restricted Subsidiaries after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amount of any bona fide cash bonuses otherwise payable to members of the board of directors, consultants, officers, employees, managers or independent contractors of direct or indirect parent companies of Bidco, Bidco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hAnsi="Times New Roman"/>
          <w:sz w:val="20"/>
          <w:u w:val="single"/>
        </w:rPr>
        <w:t>less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amount of any Restricted Payments previously made with the cash proceeds described in clauses (A), (B) and (C) of this clause (iv);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cancellation of Indebtedness owing to Bidco or any Restricted Subsidiary from members of the board of directors, consultants, officers, employees, managers or independent contractors (or their respective spouses, former spouses, successors, executors, administrators, heirs, legatees or distributees) of direct or indirect parent companies of Bidco, Bidco or any Restricted Subsidiary in connection with a repurchase of Equity Interests of Bidco or any direct or indirect parent companies of Bidco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clauses (i) and (ii), shall not be deemed to constitute a Restricted Payment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declaration and payment of dividends to holders of any class or series of Disqualified Equity Interests of Bidco or any of its Restricted Subsidiaries or any class or series of Preferred Stock of any Restricted Subsidiary, in each case issued in accordance with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(vi) (A) the declaration and payment of dividends to holders of any class or series of Designated Preferred Stock (other than Disqualified Equity Interests) issued by Bidco or any of its Restricted Subsidiaries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to any direct or indirect parent company of Bidco, the proceeds of which shall be used to fund the payment of dividends to holders of any class or series of Designated Preferred Stock (other than Disqualified Equity Interests) of such parent company issued after the Effective Date, </w:t>
      </w:r>
      <w:r>
        <w:rPr>
          <w:rFonts w:ascii="Times New Roman" w:hAnsi="Times New Roman"/>
          <w:sz w:val="20"/>
          <w:u w:val="single"/>
        </w:rPr>
        <w:t>provided</w:t>
      </w:r>
      <w:r>
        <w:rPr>
          <w:rFonts w:ascii="Times New Roman" w:hAnsi="Times New Roman"/>
          <w:sz w:val="20"/>
        </w:rPr>
        <w:t xml:space="preserve"> that the amount of dividends paid pursuant to this clause (B) shall not exceed the aggregate amount of cash actually contributed to the capital of Bidco from the sale of such Designated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(C) the declaration and payment of dividends on Refunding Capital Stock that is Preferred Stock in excess of the dividends declarable and payable thereon pursuant to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Restricted Payments by any Restricted Subsidiary to Bidco or direct or indirect parent companies of Bidco to the extent the proceeds of such Restricted Payments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(viii) the declaration and payment of dividends or the payment of other distributions by Bidco or a Restricted Subsidiary to, or the making of loans or advances to, any of their respective direct or indirect parent companies to allow payments by Bidco or any direct or indirect parent company of Bidco in respect of withholding or similar taxes payable in connection with any grant or vesting of an Equity Interest to or by, or repurchase, or dividend or other distribution to facilitate a repurchase, of an Equity Interest from, any future, present or former employee, director, officer, manager or consultant (or their respective Controlled Investment Affiliates, Immediate Family Members or permitted transferees), or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any repurchases of Equity Interests in consideration of such payments, including deemed repurchases in connection with the exercise of stock options, warrants or other incentive interests and the vesting of restricted stock and restricted stock units or any deemed repurchases of Equity Interests representing a portion of the exercise price of such options or warrants or other incentive interest; </w:t>
      </w:r>
    </w:p>
    <w:p>
      <w:pPr>
        <w:pStyle w:val="TextBody"/>
        <w:bidi w:val="0"/>
        <w:spacing w:before="120" w:after="0"/>
        <w:jc w:val="left"/>
        <w:rPr>
          <w:rFonts w:ascii="Times New Roman" w:hAnsi="Times New Roman"/>
          <w:sz w:val="20"/>
        </w:rPr>
      </w:pPr>
      <w:r>
        <w:rPr>
          <w:rFonts w:ascii="Times New Roman" w:hAnsi="Times New Roman"/>
          <w:sz w:val="20"/>
        </w:rPr>
        <w:t xml:space="preserve">(ix) (a) the declaration and payment of dividends by Bidco on the common stock or Equity Interests of Bidco or any direct or indirect parent company of Bidco following a public offering of such common stock or common equity interests, in an amount in any fiscal year not to exceed the greater of (i) up to 6.0% of the aggregate proceeds received by or contributed to Bidco in or from all such public offerings and (ii) an aggregate amount not to exceed 5.0% of the market capitalization of Bidco or (b) in lieu of all or a portion of the dividends permitted by clause (a), any prepayment, purchase, repurchase, redemption, defeasance, discharge, retirement or other acquisition of Bidco’s Equity Interests (and any equivalent declaration and payment of a distribution of any security exchangeable for such common stock or common equity interests to the extent required by the terms of any such exchangeable securities and any Restricted Payment to any direct or indirect parent company of Bidco to fund the payment by such direct or indirect parent company of Bidco of dividends on such entity’s Equity Interests) for aggregate consideration that, when taken together with dividends permitted by clause (a), does not exceed the amount contemplated by clause (a); </w:t>
      </w:r>
    </w:p>
    <w:p>
      <w:pPr>
        <w:pStyle w:val="TextBody"/>
        <w:bidi w:val="0"/>
        <w:spacing w:before="120" w:after="0"/>
        <w:jc w:val="left"/>
        <w:rPr>
          <w:rFonts w:ascii="Times New Roman" w:hAnsi="Times New Roman"/>
          <w:sz w:val="20"/>
        </w:rPr>
      </w:pPr>
      <w:r>
        <w:rPr>
          <w:rFonts w:ascii="Times New Roman" w:hAnsi="Times New Roman"/>
          <w:sz w:val="20"/>
        </w:rPr>
        <w:t xml:space="preserve">(x) Restricted Payments that are made (a) in an amount not to exceed the amount of Excluded Contributions made since the Effective Date that is not otherwise applied pursuant to clause (35) of the definition of “Permitted Liens” or </w:t>
      </w:r>
      <w:r>
        <w:rPr>
          <w:rFonts w:ascii="Times New Roman" w:hAnsi="Times New Roman"/>
          <w:sz w:val="20"/>
          <w:u w:val="single"/>
        </w:rPr>
        <w:t>Section 6.01(b)(xxv)</w:t>
      </w:r>
      <w:r>
        <w:rPr>
          <w:rFonts w:ascii="Times New Roman" w:hAnsi="Times New Roman"/>
          <w:sz w:val="20"/>
        </w:rPr>
        <w:t xml:space="preserve"> as in effect immediately prior to such Restricted Payments (and after giving Pro Forma Effect thereto) or (b) in an amount equal to the amount of net cash proceeds from an asset sale or disposition in respect of property or assets acquired, if the acquisition of such property or assets was financed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(xi) other Restricted Payments (other than Restricted Debt Payments) in an aggregate amount taken together with all other Restricted Payments made pursuant to this clause (xi) not to exceed the sum of (i) the greater of $225,000,000 and 30% of Consolidated EBITDA for the most recently ended Test Period at the time made, calculated on a Pro Forma Basis and (ii) the Available Restricted Debt Payments Amount; </w:t>
      </w:r>
    </w:p>
    <w:p>
      <w:pPr>
        <w:pStyle w:val="TextBody"/>
        <w:bidi w:val="0"/>
        <w:spacing w:before="120" w:after="0"/>
        <w:jc w:val="left"/>
        <w:rPr>
          <w:rFonts w:ascii="Times New Roman" w:hAnsi="Times New Roman"/>
          <w:sz w:val="20"/>
        </w:rPr>
      </w:pPr>
      <w:r>
        <w:rPr>
          <w:rFonts w:ascii="Times New Roman" w:hAnsi="Times New Roman"/>
          <w:sz w:val="20"/>
        </w:rPr>
        <w:t xml:space="preserve">(xii) distributions or payments of Receivables Fees; </w:t>
      </w:r>
    </w:p>
    <w:p>
      <w:pPr>
        <w:pStyle w:val="TextBody"/>
        <w:bidi w:val="0"/>
        <w:spacing w:before="120" w:after="0"/>
        <w:jc w:val="left"/>
        <w:rPr>
          <w:rFonts w:ascii="Times New Roman" w:hAnsi="Times New Roman"/>
          <w:sz w:val="20"/>
        </w:rPr>
      </w:pPr>
      <w:r>
        <w:rPr>
          <w:rFonts w:ascii="Times New Roman" w:hAnsi="Times New Roman"/>
          <w:sz w:val="20"/>
        </w:rPr>
        <w:t xml:space="preserve">(xiii) Restricted Payments made as part of or to consummate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(xiv) other Restricted Debt Payments in an aggregate amount taken together with all other Restricted Debt Payments made pursuant to this clause (xiv) not to exceed the sum of (i) the greater of $225,000,000 and 30% of Consolidated EBITDA for the most recently ended Test Period at the time made, calculated on a Pro Forma Basis, (ii) the Available Investments Amount and (iii) the Available Restricted Payments Amount; </w:t>
      </w:r>
    </w:p>
    <w:p>
      <w:pPr>
        <w:pStyle w:val="TextBody"/>
        <w:bidi w:val="0"/>
        <w:spacing w:before="120" w:after="0"/>
        <w:jc w:val="left"/>
        <w:rPr>
          <w:rFonts w:ascii="Times New Roman" w:hAnsi="Times New Roman"/>
          <w:sz w:val="20"/>
        </w:rPr>
      </w:pPr>
      <w:r>
        <w:rPr>
          <w:rFonts w:ascii="Times New Roman" w:hAnsi="Times New Roman"/>
          <w:sz w:val="20"/>
        </w:rPr>
        <w:t xml:space="preserve">(xv) the declaration and payment of dividends or the payment of other distributions by Bidco or a Restricted Subsidiary to, or the making of loans or advances to, any of their respective direct or indirect parent companies in amounts required for any direct or indirect parent companies to pay, in each case without duplication,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franchise, excise and similar taxes and other fees, taxes and expenses required to maintain their corporate existence; </w:t>
      </w:r>
    </w:p>
    <w:p>
      <w:pPr>
        <w:pStyle w:val="TextBody"/>
        <w:bidi w:val="0"/>
        <w:spacing w:before="120" w:after="0"/>
        <w:jc w:val="left"/>
        <w:rPr>
          <w:rFonts w:ascii="Times New Roman" w:hAnsi="Times New Roman"/>
          <w:sz w:val="20"/>
        </w:rPr>
      </w:pPr>
      <w:r>
        <w:rPr>
          <w:rFonts w:ascii="Times New Roman" w:hAnsi="Times New Roman"/>
          <w:sz w:val="20"/>
        </w:rPr>
        <w:t>(B) (1) with respect to any taxable period in which Bidco and/or any of its Subsidiaries is a member of (or Bidco is a disregarded entity for U.S. federal income tax purposes wholly-owned by a member of) a consolidated, combined, unitary or similar tax group (a “</w:t>
      </w:r>
      <w:r>
        <w:rPr>
          <w:rFonts w:ascii="Times New Roman" w:hAnsi="Times New Roman"/>
          <w:sz w:val="20"/>
          <w:u w:val="single"/>
        </w:rPr>
        <w:t>Tax Group</w:t>
      </w:r>
      <w:r>
        <w:rPr>
          <w:rFonts w:ascii="Times New Roman" w:hAnsi="Times New Roman"/>
          <w:sz w:val="20"/>
        </w:rPr>
        <w:t xml:space="preserve">”) for U.S. federal and/or applicable foreign, state or local income tax purposes of which Holdings, an Intermediate Parent or any direct or indirect parent of Holdings is the common parent, the portion of U.S. federal, state, and/or local income Taxes of such Tax Group for such taxable period that is attributable to the taxable income of Bidco and/or its direct or indirect consolidated subsidiaries; </w:t>
      </w:r>
      <w:r>
        <w:rPr>
          <w:rFonts w:ascii="Times New Roman" w:hAnsi="Times New Roman"/>
          <w:sz w:val="20"/>
          <w:u w:val="single"/>
        </w:rPr>
        <w:t>provided</w:t>
      </w:r>
      <w:r>
        <w:rPr>
          <w:rFonts w:ascii="Times New Roman" w:hAnsi="Times New Roman"/>
          <w:sz w:val="20"/>
        </w:rPr>
        <w:t xml:space="preserve"> that, for each taxable period, the amount of such payments made in respect of such taxable period in the aggregate shall not exceed the amount of such Taxes that Bidco and/or its applicable Subsidiaries would have been required to pay if they were a stand-alone Tax Group with Bidco as the corporate common parent of such stand-alone Tax Group; and (2) with respect to any taxable period for which Bidco is a partnership for U.S. federal and/or applicable state or local income tax purposes, the portion of the U.S. federal, state or local income Taxes of Bidco’s direct owner(s) (or, where a direct owner is a pass-through entity, indirect owner(s)) for such taxable period that is attributable to the taxable income of Bidco, in an amount not to exceed the product of (x) 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indirect) equity owner of Bidco for the taxable period in question and (y) the taxable income of Bidco for such period, reduced by all taxable losses of Bidco with respect to any prior taxable year of Bidco to the extent such losses were not previously taken into account for purposes of computing distributions permitted under this </w:t>
      </w:r>
      <w:r>
        <w:rPr>
          <w:rFonts w:ascii="Times New Roman" w:hAnsi="Times New Roman"/>
          <w:sz w:val="20"/>
          <w:u w:val="single"/>
        </w:rPr>
        <w:t>Section 6.05(b)(xv)(B)</w:t>
      </w:r>
      <w:r>
        <w:rPr>
          <w:rFonts w:ascii="Times New Roman" w:hAnsi="Times New Roman"/>
          <w:sz w:val="20"/>
        </w:rPr>
        <w:t xml:space="preserve"> and such losses are of a character that would permit such losses to be deducted by the direct or indirect owners of Bidco against the current table income of Bidco (any distributions permitted under this </w:t>
      </w:r>
      <w:r>
        <w:rPr>
          <w:rFonts w:ascii="Times New Roman" w:hAnsi="Times New Roman"/>
          <w:sz w:val="20"/>
          <w:u w:val="single"/>
        </w:rPr>
        <w:t>Section 6.05(b)(xv)(B)</w:t>
      </w:r>
      <w:r>
        <w:rPr>
          <w:rFonts w:ascii="Times New Roman" w:hAnsi="Times New Roman"/>
          <w:sz w:val="20"/>
        </w:rPr>
        <w:t xml:space="preserve"> collectively, “</w:t>
      </w:r>
      <w:r>
        <w:rPr>
          <w:rFonts w:ascii="Times New Roman" w:hAnsi="Times New Roman"/>
          <w:sz w:val="20"/>
          <w:u w:val="single"/>
        </w:rPr>
        <w:t>Tax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customary salary, bonus and other benefits payable to employees, directors, officers and managers of any direct or indirect parent company of Bidco to the extent such salaries, bonuses and other benefits are attributable to the ownership or operation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general corporate operating and overhead costs and expenses of any direct or indirect parent company of Bidco to the extent such costs and expenses are attributable to the ownership or operation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fees and expenses other than to Affiliates of Bidco related to any equity or debt offering of such parent entity (whether or not successful); </w:t>
      </w:r>
    </w:p>
    <w:p>
      <w:pPr>
        <w:pStyle w:val="TextBody"/>
        <w:bidi w:val="0"/>
        <w:spacing w:before="120" w:after="0"/>
        <w:jc w:val="left"/>
        <w:rPr>
          <w:rFonts w:ascii="Times New Roman" w:hAnsi="Times New Roman"/>
          <w:sz w:val="20"/>
        </w:rPr>
      </w:pPr>
      <w:r>
        <w:rPr>
          <w:rFonts w:ascii="Times New Roman" w:hAnsi="Times New Roman"/>
          <w:sz w:val="20"/>
        </w:rPr>
        <w:t xml:space="preserve">(F) reasonable and customary indemnification claims made by members of the board of directors or officers, employees, directors, managers, consultants or independent contractors of such parent entity attributable to the ownership or operations of Bidco and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fees and expenses (x) due and payable by Bidco and its Restricted Subsidiaries related to the Transactions and (y) otherwise permitted to be paid by Bidco and any Restricted Subsidiaries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to the extent constituting a Restricted Payment, amounts due and payable pursuant to the Sponsor Management Agreement or any other investor management agreement entered into with the Investors after the Effective Date, which agreement shall be on terms not materially less favorable to Bidco and its Restricted Subsidiaries than the terms of the Sponsor Management Agreement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 to finance any Investment that, if made by Bidco, would be permitted by this Agreement; </w:t>
      </w:r>
      <w:r>
        <w:rPr>
          <w:rFonts w:ascii="Times New Roman" w:hAnsi="Times New Roman"/>
          <w:sz w:val="20"/>
          <w:u w:val="single"/>
        </w:rPr>
        <w:t>provided</w:t>
      </w:r>
      <w:r>
        <w:rPr>
          <w:rFonts w:ascii="Times New Roman" w:hAnsi="Times New Roman"/>
          <w:sz w:val="20"/>
        </w:rPr>
        <w:t xml:space="preserve"> that (A) such Restricted Payment shall be made substantially concurrently with the closing of such Investment and (B) such direct or indirect parent company shall, immediately following the closing thereof, cause (1) all property acquired (whether assets or Equity Interests but not including any loans or advances made pursuant to clause (16) of the definition of “Permitted Investments”) to be contributed to Bidco or its Restricted Subsidiaries or (2) the Person formed or acquired to merge into or amalgamate or consolidate with Bidco or any of the Restricted Subsidiaries to the extent such merger, amalgamation or consolidation is permitted under </w:t>
      </w:r>
      <w:r>
        <w:rPr>
          <w:rFonts w:ascii="Times New Roman" w:hAnsi="Times New Roman"/>
          <w:sz w:val="20"/>
          <w:u w:val="single"/>
        </w:rPr>
        <w:t>Section 6.03</w:t>
      </w:r>
      <w:r>
        <w:rPr>
          <w:rFonts w:ascii="Times New Roman" w:hAnsi="Times New Roman"/>
          <w:sz w:val="20"/>
        </w:rPr>
        <w:t xml:space="preserve"> in order to consummate such Investment (any such property or assets so contributed, merged or amalgamated shall constitute “</w:t>
      </w:r>
      <w:r>
        <w:rPr>
          <w:rFonts w:ascii="Times New Roman" w:hAnsi="Times New Roman"/>
          <w:sz w:val="20"/>
          <w:u w:val="single"/>
        </w:rPr>
        <w:t>Contributed Holdings Investments</w:t>
      </w:r>
      <w:r>
        <w:rPr>
          <w:rFonts w:ascii="Times New Roman" w:hAnsi="Times New Roman"/>
          <w:sz w:val="20"/>
        </w:rPr>
        <w:t xml:space="preserve">” and shall be disregarded for purposes of determining any amount calculated under this Agreement with respect to contributions to the capital of Bidco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(J) amounts that would otherwise be permitted to be paid pursuant to clauses (ii), (v), (vii), (viii), (ix) and (xiii) of </w:t>
      </w:r>
      <w:r>
        <w:rPr>
          <w:rFonts w:ascii="Times New Roman" w:hAnsi="Times New Roman"/>
          <w:sz w:val="20"/>
          <w:u w:val="single"/>
        </w:rPr>
        <w:t>Section 5.17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(xvi) the distribution, by dividend or otherwise, of shares of Equity Interests of, or Indebtedness owed to direct and indirect parent companies of Bidco, Bidco or any Restricted Subsidiary by, Unrestricted Subsidiaries (or a Restricted Subsidiary that owns one or more Unrestricted Subsidiaries and no other material assets) (other than Unrestricted Subsidiaries, the primary assets of which are cash and/or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(xvii) any other Restricted Payment; </w:t>
      </w:r>
      <w:r>
        <w:rPr>
          <w:rFonts w:ascii="Times New Roman" w:hAnsi="Times New Roman"/>
          <w:sz w:val="20"/>
          <w:u w:val="single"/>
        </w:rPr>
        <w:t>provided</w:t>
      </w:r>
      <w:r>
        <w:rPr>
          <w:rFonts w:ascii="Times New Roman" w:hAnsi="Times New Roman"/>
          <w:sz w:val="20"/>
        </w:rPr>
        <w:t xml:space="preserve"> that (i) on a Pro Forma Basis after giving effect to such Restricted Payment, (x) with respect to any Restricted Payment, other than a Restricted Debt Payment, the Senior Secured First Lien Net Leverage Ratio is equal to or less than 4.10 to 1.00 and (y) with respect to any Restricted Debt Payments, the Senior Secured First Lien Net Leverage Ratio is equal to or less than 4.10 to 1.00 and (ii) no Specified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(xviii) redemptions in whole or in part of any of its Equity Interests for another class of its Equity Interests (other than Disqualified Equity Interests) or with proceeds from substantially concurrent equity contributions or issuances of new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(xix) payments to Bidco or direct and indirect parent companies of Bidco to permit such Person to (a) pay cash in lieu of fractional Equity Interests in connection with any dividend, split or combination thereof or any Investment permitted under this Agreement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payments or distributions to dissenting stockholders pursuant to applicable law, pursuant to or in connection with a consolidation, merger or transfer of all or substantially all of the assets of Bidco and its Restricted Subsidiaries, taken as a whole, that complies with the covenant described under </w:t>
      </w:r>
      <w:r>
        <w:rPr>
          <w:rFonts w:ascii="Times New Roman" w:hAnsi="Times New Roman"/>
          <w:sz w:val="20"/>
          <w:u w:val="single"/>
        </w:rPr>
        <w:t>Section 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 the conversion of any Subordinated Indebtedness to Equity Interests (other than Disqualified Equity Interests) of Bidco or any of its direct or indirect parent companies, and any payment that is intended to prevent any Subordinated Indebtedness from being treated as an “applicable high yield discount obligation” within the meaning of Section 163(i)(1) of the Code; </w:t>
      </w:r>
    </w:p>
    <w:p>
      <w:pPr>
        <w:pStyle w:val="TextBody"/>
        <w:bidi w:val="0"/>
        <w:spacing w:before="120" w:after="0"/>
        <w:jc w:val="left"/>
        <w:rPr>
          <w:rFonts w:ascii="Times New Roman" w:hAnsi="Times New Roman"/>
          <w:sz w:val="20"/>
        </w:rPr>
      </w:pPr>
      <w:r>
        <w:rPr>
          <w:rFonts w:ascii="Times New Roman" w:hAnsi="Times New Roman"/>
          <w:sz w:val="20"/>
        </w:rPr>
        <w:t xml:space="preserve">(xxii) mandatory redemptions of Disqualified Equity Interests issued as a Restricted Payment or as consideration for a Permitted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(xxiii) any Restricted Payment made in connection with a Permitted Intercompany Activity and a Permitted Tax Restructuring.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6.05</w:t>
      </w:r>
      <w:r>
        <w:rPr>
          <w:rFonts w:ascii="Times New Roman" w:hAnsi="Times New Roman"/>
          <w:sz w:val="20"/>
        </w:rPr>
        <w:t xml:space="preserve">, in the event that a proposed Restricted Payment (or a portion thereof) meets the criteria of clauses (i) through (xxiii) of </w:t>
      </w:r>
      <w:r>
        <w:rPr>
          <w:rFonts w:ascii="Times New Roman" w:hAnsi="Times New Roman"/>
          <w:sz w:val="20"/>
          <w:u w:val="single"/>
        </w:rPr>
        <w:t>Section 6.05(b)</w:t>
      </w:r>
      <w:r>
        <w:rPr>
          <w:rFonts w:ascii="Times New Roman" w:hAnsi="Times New Roman"/>
          <w:sz w:val="20"/>
        </w:rPr>
        <w:t xml:space="preserve"> hereof or is entitled to be made pursuant to </w:t>
      </w:r>
      <w:r>
        <w:rPr>
          <w:rFonts w:ascii="Times New Roman" w:hAnsi="Times New Roman"/>
          <w:sz w:val="20"/>
          <w:u w:val="single"/>
        </w:rPr>
        <w:t>Section 6.05(a)</w:t>
      </w:r>
      <w:r>
        <w:rPr>
          <w:rFonts w:ascii="Times New Roman" w:hAnsi="Times New Roman"/>
          <w:sz w:val="20"/>
        </w:rPr>
        <w:t xml:space="preserve"> hereof and/or one or more of the clauses contained in the definition of “Permitted Investments,” Bidco shall be entitled to classify or later reclassify (based on circumstances existing on the date of such reclassification) such Restricted Payment or Investment (or portion thereof) between such clauses (i) through (xxiii) of </w:t>
      </w:r>
      <w:r>
        <w:rPr>
          <w:rFonts w:ascii="Times New Roman" w:hAnsi="Times New Roman"/>
          <w:sz w:val="20"/>
          <w:u w:val="single"/>
        </w:rPr>
        <w:t>Section 6.05(b)</w:t>
      </w:r>
      <w:r>
        <w:rPr>
          <w:rFonts w:ascii="Times New Roman" w:hAnsi="Times New Roman"/>
          <w:sz w:val="20"/>
        </w:rPr>
        <w:t xml:space="preserve"> hereof and </w:t>
      </w:r>
      <w:r>
        <w:rPr>
          <w:rFonts w:ascii="Times New Roman" w:hAnsi="Times New Roman"/>
          <w:sz w:val="20"/>
          <w:u w:val="single"/>
        </w:rPr>
        <w:t>Section 6.05(a)</w:t>
      </w:r>
      <w:r>
        <w:rPr>
          <w:rFonts w:ascii="Times New Roman" w:hAnsi="Times New Roman"/>
          <w:sz w:val="20"/>
        </w:rPr>
        <w:t xml:space="preserve"> hereof and/or one or more of the clauses contained in the definition of “Permitted Investments,” in a manner that otherwise complies with this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Bidco shall not permit any Unrestricted Subsidiary to become a Restricted Subsidiary except pursuant to </w:t>
      </w:r>
      <w:r>
        <w:rPr>
          <w:rFonts w:ascii="Times New Roman" w:hAnsi="Times New Roman"/>
          <w:sz w:val="20"/>
          <w:u w:val="single"/>
        </w:rPr>
        <w:t>Section 5.13</w:t>
      </w:r>
      <w:r>
        <w:rPr>
          <w:rFonts w:ascii="Times New Roman" w:hAnsi="Times New Roman"/>
          <w:sz w:val="20"/>
        </w:rPr>
        <w:t xml:space="preserve">. For purposes of designating any Restricted Subsidiary as an Unrestricted Subsidiary, all outstanding Investments by Bidco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and/or Permitted Investment in such amount would be permitted at such time, whether pursuant to </w:t>
      </w:r>
      <w:r>
        <w:rPr>
          <w:rFonts w:ascii="Times New Roman" w:hAnsi="Times New Roman"/>
          <w:sz w:val="20"/>
          <w:u w:val="single"/>
        </w:rPr>
        <w:t>Section 6.05(a)</w:t>
      </w:r>
      <w:r>
        <w:rPr>
          <w:rFonts w:ascii="Times New Roman" w:hAnsi="Times New Roman"/>
          <w:sz w:val="20"/>
        </w:rPr>
        <w:t xml:space="preserve"> hereof or under clause (x), (xi), (xvii) or (xviii) of </w:t>
      </w:r>
      <w:r>
        <w:rPr>
          <w:rFonts w:ascii="Times New Roman" w:hAnsi="Times New Roman"/>
          <w:sz w:val="20"/>
          <w:u w:val="single"/>
        </w:rPr>
        <w:t>Section 6.05(b)</w:t>
      </w:r>
      <w:r>
        <w:rPr>
          <w:rFonts w:ascii="Times New Roman" w:hAnsi="Times New Roman"/>
          <w:sz w:val="20"/>
        </w:rPr>
        <w:t xml:space="preserve"> hereof, or pursuant to the definition of “Permitted Investments,” and if such Subsidiary otherwise meets the definition of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amount of all Restricted Payments (other than cash) shall be the Fair Market Value on the date of such Restricted Payment of the asset(s) or securities proposed to be paid, transferred or issued by Bidco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Bidco acting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 Unrestricted Subsidiaries may use value transferred from Bidco and its Restricted Subsidiaries in a Permitted Investment to purchase or otherwise acquire Indebtedness or Equity Interests of Bidco, any director or indirect parent of Bidco or any of Bidco’s Restricted Subsidiaries, and to transfer value to the holders of the Equity Interests or any director or indirect parent of Bidco and to Affiliates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Bidco or a Restricted Subsidiary makes a Restricted Payment which at the time of the making of such Restricted Payment would in the good faith determination of Bidco be permitted under the provisions of this Agreement, such Restricted Payment shall be deemed to have been made in compliance with this Agreement notwithstanding any subsequent adjustments made in good faith to Bidco’s financial statements affecting Consolidated Net Income or Consolidated EBITDA of Bidco for any period. </w:t>
      </w:r>
    </w:p>
    <w:p>
      <w:pPr>
        <w:pStyle w:val="TextBody"/>
        <w:bidi w:val="0"/>
        <w:spacing w:before="36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Restrictive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restrictions contained in </w:t>
      </w:r>
      <w:r>
        <w:rPr>
          <w:rFonts w:ascii="Times New Roman" w:hAnsi="Times New Roman"/>
          <w:sz w:val="20"/>
          <w:u w:val="single"/>
        </w:rPr>
        <w:t>Section 6.06(a)</w:t>
      </w:r>
      <w:r>
        <w:rPr>
          <w:rFonts w:ascii="Times New Roman" w:hAnsi="Times New Roman"/>
          <w:sz w:val="20"/>
        </w:rPr>
        <w:t xml:space="preserve"> hereof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contractual encumbrances or restrictions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contractual encumbrances or restrictions included pursuant to (x) the Loan Documents and related Hedging Obligations or (y) the Senior Secured Notes Documents and the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(iii) purchase money obligations for property acquired in the ordinary course of business and Capitalized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(iv) applicable law or any applicable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(v) any agreement or other instrument of a Person acquired by or merged or consolidated with or into Bidco or any of its Restricted Subsidiaries in existence at the time of such acquisition or at the time it merges with or into Bidco or any of its Restricted Subsidiaries or assumed in connection with the acquisition of assets from such Person (but, in any such case, not created in contemplation thereof), which encumbrance or restriction or condition set forth in such agreement is not applicable to any Person, or the properties or assets of any Person, other than the Person and its Subsidiaries, or the property or assets of the Person and its Subsidiaries, so acquired or the property or assets assumed; </w:t>
      </w:r>
    </w:p>
    <w:p>
      <w:pPr>
        <w:pStyle w:val="TextBody"/>
        <w:bidi w:val="0"/>
        <w:spacing w:before="120" w:after="0"/>
        <w:jc w:val="left"/>
        <w:rPr>
          <w:rFonts w:ascii="Times New Roman" w:hAnsi="Times New Roman"/>
          <w:sz w:val="20"/>
        </w:rPr>
      </w:pPr>
      <w:r>
        <w:rPr>
          <w:rFonts w:ascii="Times New Roman" w:hAnsi="Times New Roman"/>
          <w:sz w:val="20"/>
        </w:rPr>
        <w:t xml:space="preserve">(vi) contracts for the sale of assets or the sale of a Subsidiary, including customary restrictions with respect to a Subsidiary of Bidco pursuant to an agreement that has been entered into for the sale or disposition of all or substantially all of the Equity Interests or assets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(vii) (a) Secured Indebtedness otherwise permitted to be incurred pursuant to </w:t>
      </w:r>
      <w:r>
        <w:rPr>
          <w:rFonts w:ascii="Times New Roman" w:hAnsi="Times New Roman"/>
          <w:sz w:val="20"/>
          <w:u w:val="single"/>
        </w:rPr>
        <w:t>Section 6.01</w:t>
      </w:r>
      <w:r>
        <w:rPr>
          <w:rFonts w:ascii="Times New Roman" w:hAnsi="Times New Roman"/>
          <w:sz w:val="20"/>
        </w:rPr>
        <w:t xml:space="preserve"> hereof and </w:t>
      </w:r>
      <w:r>
        <w:rPr>
          <w:rFonts w:ascii="Times New Roman" w:hAnsi="Times New Roman"/>
          <w:sz w:val="20"/>
          <w:u w:val="single"/>
        </w:rPr>
        <w:t>Section 6.02</w:t>
      </w:r>
      <w:r>
        <w:rPr>
          <w:rFonts w:ascii="Times New Roman" w:hAnsi="Times New Roman"/>
          <w:sz w:val="20"/>
        </w:rPr>
        <w:t xml:space="preserve"> hereof that limit the right of the debtor to dispose of the assets securing such Indebtedness, (b) restrictions on transfers of assets subject to Permitted Liens (but, with respect to any such Permitted Lien, only to the extent that such transfer restrictions apply solely to the assets that are the subject of such Permitted Lien) and (c) restrictions and conditions imposed by any documentation governing (1) other Indebtedness (other than intercompany debt owed to Bidco or the Restricted Subsidiaries) that do not materially impair Bidco’s ability to make payments on the Loans, (2) any documentation governing Indebtedness incurred pursuant to </w:t>
      </w:r>
      <w:r>
        <w:rPr>
          <w:rFonts w:ascii="Times New Roman" w:hAnsi="Times New Roman"/>
          <w:sz w:val="20"/>
          <w:u w:val="single"/>
        </w:rPr>
        <w:t>Section 6.01(a)</w:t>
      </w:r>
      <w:r>
        <w:rPr>
          <w:rFonts w:ascii="Times New Roman" w:hAnsi="Times New Roman"/>
          <w:sz w:val="20"/>
        </w:rPr>
        <w:t xml:space="preserve"> and/or </w:t>
      </w:r>
      <w:r>
        <w:rPr>
          <w:rFonts w:ascii="Times New Roman" w:hAnsi="Times New Roman"/>
          <w:sz w:val="20"/>
          <w:u w:val="single"/>
        </w:rPr>
        <w:t>Sections 6.01(b)(xi)</w:t>
      </w:r>
      <w:r>
        <w:rPr>
          <w:rFonts w:ascii="Times New Roman" w:hAnsi="Times New Roman"/>
          <w:sz w:val="20"/>
        </w:rPr>
        <w:t xml:space="preserve">, </w:t>
      </w:r>
      <w:r>
        <w:rPr>
          <w:rFonts w:ascii="Times New Roman" w:hAnsi="Times New Roman"/>
          <w:sz w:val="20"/>
          <w:u w:val="single"/>
        </w:rPr>
        <w:t>(xvi)</w:t>
      </w:r>
      <w:r>
        <w:rPr>
          <w:rFonts w:ascii="Times New Roman" w:hAnsi="Times New Roman"/>
          <w:sz w:val="20"/>
        </w:rPr>
        <w:t xml:space="preserve">, </w:t>
      </w:r>
      <w:r>
        <w:rPr>
          <w:rFonts w:ascii="Times New Roman" w:hAnsi="Times New Roman"/>
          <w:sz w:val="20"/>
          <w:u w:val="single"/>
        </w:rPr>
        <w:t>(xxiv)</w:t>
      </w:r>
      <w:r>
        <w:rPr>
          <w:rFonts w:ascii="Times New Roman" w:hAnsi="Times New Roman"/>
          <w:sz w:val="20"/>
        </w:rPr>
        <w:t xml:space="preserve"> and </w:t>
      </w:r>
      <w:r>
        <w:rPr>
          <w:rFonts w:ascii="Times New Roman" w:hAnsi="Times New Roman"/>
          <w:sz w:val="20"/>
          <w:u w:val="single"/>
        </w:rPr>
        <w:t>(xxvi)</w:t>
      </w:r>
      <w:r>
        <w:rPr>
          <w:rFonts w:ascii="Times New Roman" w:hAnsi="Times New Roman"/>
          <w:sz w:val="20"/>
        </w:rPr>
        <w:t xml:space="preserve"> and (3) any documentation governing any Refinancing Indebtedness incurred to refinance any such Indebtedness referenced in the foregoing clauses (1) and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restrictions on cash (or Cash Equivalents) or other deposits or restrictions on or net worth imposed by customers, in each case,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other Indebtedness, Disqualified Equity Interests or Preferred Stock of Foreign Subsidiaries permitted to be incurred subsequent to the Effective Date pursuant to the provisions of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(x) customary provisions in joint venture agreements or arrangements and other similar agreements relating to such joint venture; </w:t>
      </w:r>
    </w:p>
    <w:p>
      <w:pPr>
        <w:pStyle w:val="TextBody"/>
        <w:bidi w:val="0"/>
        <w:spacing w:before="120" w:after="0"/>
        <w:jc w:val="left"/>
        <w:rPr>
          <w:rFonts w:ascii="Times New Roman" w:hAnsi="Times New Roman"/>
          <w:sz w:val="20"/>
        </w:rPr>
      </w:pPr>
      <w:r>
        <w:rPr>
          <w:rFonts w:ascii="Times New Roman" w:hAnsi="Times New Roman"/>
          <w:sz w:val="20"/>
        </w:rPr>
        <w:t xml:space="preserve">(xi) customary provisions contained in leases, sub-leases, licenses, sub-licenses, asset sale agreements or similar agreements, including with respect to of intellectual property and other agreements, in each case, (i) entered into in the ordinary course of business or (ii) otherwise permitted under this Agreement so long as such restrictions relate only to the assets subject thereto; </w:t>
      </w:r>
    </w:p>
    <w:p>
      <w:pPr>
        <w:pStyle w:val="TextBody"/>
        <w:bidi w:val="0"/>
        <w:spacing w:before="120" w:after="0"/>
        <w:jc w:val="left"/>
        <w:rPr>
          <w:rFonts w:ascii="Times New Roman" w:hAnsi="Times New Roman"/>
          <w:sz w:val="20"/>
        </w:rPr>
      </w:pPr>
      <w:r>
        <w:rPr>
          <w:rFonts w:ascii="Times New Roman" w:hAnsi="Times New Roman"/>
          <w:sz w:val="20"/>
        </w:rPr>
        <w:t xml:space="preserve">(xii) restrictions created in connection with any Receivables Facility that, in the good faith determination of Bidco, are necessary or advisable to effect such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(xiii) restrictions on cash (or Cash Equivalents) or other deposits imposed by agreements entered into in the ordinary course of business (or other restrictions on cash or deposits constituting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(xiv) customary provisions restricting subletting or assignment of any lease governing a leasehold interest of direct or indirect parent companies of Bidco, Bidco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(xv) customary net worth provisions contained in real property leases entered into by Subsidiaries, so long as Bidco has determined in good faith that such net worth provisions could not reasonably be expected to impair the ability of Bidco and its Subsidiaries to meet their ongoing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(xvi) restrictions or conditions contained in any trading, netting, operating, construction, service, supply, purchase, sale or other agreement to which Bidco or any of its Restricted Subsidiaries is a party entered into in the ordinary course of business; </w:t>
      </w:r>
      <w:r>
        <w:rPr>
          <w:rFonts w:ascii="Times New Roman" w:hAnsi="Times New Roman"/>
          <w:sz w:val="20"/>
          <w:u w:val="single"/>
        </w:rPr>
        <w:t>provided</w:t>
      </w:r>
      <w:r>
        <w:rPr>
          <w:rFonts w:ascii="Times New Roman" w:hAnsi="Times New Roman"/>
          <w:sz w:val="20"/>
        </w:rPr>
        <w:t xml:space="preserve"> that such agreement prohibits the encumbrance of solely the property or assets of Bidco or such Restricted Subsidiary that are the subject of such agreement, the payment rights arising thereunder or the proceeds thereof and does not extend to any other asset or property of Bidco or such Restricted Subsidiary or the assets or property of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(xvii) any encumbrance or restriction arising pursuant to an agreement or instrument which, if it relates to any Indebtedness, shall only be permitted if such Indebtedness is permitted to be incurred pursuant to </w:t>
      </w:r>
      <w:r>
        <w:rPr>
          <w:rFonts w:ascii="Times New Roman" w:hAnsi="Times New Roman"/>
          <w:sz w:val="20"/>
          <w:u w:val="single"/>
        </w:rPr>
        <w:t>Section 6.01</w:t>
      </w:r>
      <w:r>
        <w:rPr>
          <w:rFonts w:ascii="Times New Roman" w:hAnsi="Times New Roman"/>
          <w:sz w:val="20"/>
        </w:rPr>
        <w:t xml:space="preserve"> if the encumbrances and restrictions contained in any such agreement or instrument taken as a whole (i) are not materially less favorable to the Permitted Holders than the encumbrances and restrictions contained in this Agreement, together with the security documents associated therewith as in effect on the Effective Date (as determined by Bidco) or (ii) either (A) Bidco determines at the time of entry into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instrument that such encumbrances or restrictions shall not adversely affect, in any material respect, Bidco’s ability to make principal or interest payments on the Loans or (B) such encumbrance or restriction applies only during the continuance of a default relating to such agreement or instrument; </w:t>
      </w:r>
    </w:p>
    <w:p>
      <w:pPr>
        <w:pStyle w:val="TextBody"/>
        <w:bidi w:val="0"/>
        <w:spacing w:before="120" w:after="0"/>
        <w:jc w:val="left"/>
        <w:rPr>
          <w:rFonts w:ascii="Times New Roman" w:hAnsi="Times New Roman"/>
          <w:sz w:val="20"/>
        </w:rPr>
      </w:pPr>
      <w:r>
        <w:rPr>
          <w:rFonts w:ascii="Times New Roman" w:hAnsi="Times New Roman"/>
          <w:sz w:val="20"/>
        </w:rPr>
        <w:t xml:space="preserve">(xviii) any encumbrance or restriction with respect to a Guarantor or a Foreign Subsidiary or Receivables Subsidiary which was previously an Unrestricted Subsidiary pursuant to or by reason of an agreement that such Subsidiary is a party to or entered into before the date on which such Subsidiary became a Restricted Subsidiary; </w:t>
      </w:r>
      <w:r>
        <w:rPr>
          <w:rFonts w:ascii="Times New Roman" w:hAnsi="Times New Roman"/>
          <w:sz w:val="20"/>
          <w:u w:val="single"/>
        </w:rPr>
        <w:t>provided</w:t>
      </w:r>
      <w:r>
        <w:rPr>
          <w:rFonts w:ascii="Times New Roman" w:hAnsi="Times New Roman"/>
          <w:sz w:val="20"/>
        </w:rPr>
        <w:t xml:space="preserve"> that such agreement was not entered into in anticipation of an Unrestricted Subsidiary becoming a Restricted Subsidiary and any such encumbrance or restriction does not extend to any assets or property of Bidco or any other Restricted Subsidiary other than the assets and property of such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(xix) any encumbrances or restrictions imposed by any amendments, extensions, modifications, restatements, renewals, increases, supplements, refundings, replacements or refinancings of the contracts, instruments or obligations referred to in clauses (i) through (xviii) of this </w:t>
      </w:r>
      <w:r>
        <w:rPr>
          <w:rFonts w:ascii="Times New Roman" w:hAnsi="Times New Roman"/>
          <w:sz w:val="20"/>
          <w:u w:val="single"/>
        </w:rPr>
        <w:t>Section 6.06(b)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amendments, extensions, modifications, restatements, renewals, increases, supplements, refundings, replacements or refinancings are, in the good faith judgment of Bidco,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before="36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Financial Performance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Solely with respect to the Revolving Facility, if on the last day of any Test Period (commencing with the Test Period ending March 31, 2020), the sum of (i) the aggregate principal amount of Revolving Loans then outstanding (other than (x) for the first four full fiscal quarters following the Effective Date, Revolving Loans borrowed to finance the Transactions (including Transaction Costs) and (y) any Revolving Loans borrowed to fund any upfront fees or original issue discount imposed pursuant to the “interest rate flex” provisions of the Fee Letter), </w:t>
      </w:r>
      <w:r>
        <w:rPr>
          <w:rFonts w:ascii="Times New Roman" w:hAnsi="Times New Roman"/>
          <w:sz w:val="20"/>
          <w:u w:val="single"/>
        </w:rPr>
        <w:t>plus</w:t>
      </w:r>
      <w:r>
        <w:rPr>
          <w:rFonts w:ascii="Times New Roman" w:hAnsi="Times New Roman"/>
          <w:sz w:val="20"/>
        </w:rPr>
        <w:t xml:space="preserve"> (ii) the aggregate principal amount of Swingline Loans then outstanding </w:t>
      </w:r>
      <w:r>
        <w:rPr>
          <w:rFonts w:ascii="Times New Roman" w:hAnsi="Times New Roman"/>
          <w:sz w:val="20"/>
          <w:u w:val="single"/>
        </w:rPr>
        <w:t>plus</w:t>
      </w:r>
      <w:r>
        <w:rPr>
          <w:rFonts w:ascii="Times New Roman" w:hAnsi="Times New Roman"/>
          <w:sz w:val="20"/>
        </w:rPr>
        <w:t xml:space="preserve"> (iii) the aggregate amount of LC Disbursements that have not been reimbursed within two (2) Business Days by or on behalf of the Borrowers at such time, exceeds the greater of (x) $280,000,000 and (y) 40% of the aggregate principal amount of Revolving Commitments then in effect (after including any Incremental Revolving Commitment Increase then in effect), Bidco and its Restricted Subsidiaries will not permit the Senior Secured First Lien Net Leverage Ratio to exceed 9.00 to 1.00 on the last day of such Test Period.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any of the following events (any such event,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any Loan Party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Loan Party shall fail to pay any interest on any Loan or any fee or any other amount (other than an amount referred to in paragraph (a) of this </w:t>
      </w:r>
      <w:r>
        <w:rPr>
          <w:rFonts w:ascii="Times New Roman" w:hAnsi="Times New Roman"/>
          <w:sz w:val="20"/>
          <w:u w:val="single"/>
        </w:rPr>
        <w:t>Section 7.01</w:t>
      </w:r>
      <w:r>
        <w:rPr>
          <w:rFonts w:ascii="Times New Roman" w:hAnsi="Times New Roman"/>
          <w:sz w:val="20"/>
        </w:rPr>
        <w:t xml:space="preserve">) payable under any Loan Document, when and as the same shall become due and payable, and such failure shall continue unremedied for a period of five (5)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representation or warranty made or deemed made by or on behalf of Holdings, any Intermediate Parent, Bidco or any of the Restricted Subsidiaries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shall remain incorrect for a period of 30 days after written notice thereof from the Administrative Agent to Bidco and the Borrowers; </w:t>
      </w:r>
      <w:r>
        <w:rPr>
          <w:rFonts w:ascii="Times New Roman" w:hAnsi="Times New Roman"/>
          <w:sz w:val="20"/>
          <w:u w:val="single"/>
        </w:rPr>
        <w:t>provided</w:t>
      </w:r>
      <w:r>
        <w:rPr>
          <w:rFonts w:ascii="Times New Roman" w:hAnsi="Times New Roman"/>
          <w:sz w:val="20"/>
        </w:rPr>
        <w:t xml:space="preserve"> that this clause (c) shall be limited on the Effective Date to the Major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(d) (i) Holdings, Bidco or any of the Restricted Subsidiaries shall fail to observe or perform any covenant, condition or agreement contained in </w:t>
      </w:r>
      <w:r>
        <w:rPr>
          <w:rFonts w:ascii="Times New Roman" w:hAnsi="Times New Roman"/>
          <w:sz w:val="20"/>
          <w:u w:val="single"/>
        </w:rPr>
        <w:t>Sections 5.02</w:t>
      </w:r>
      <w:r>
        <w:rPr>
          <w:rFonts w:ascii="Times New Roman" w:hAnsi="Times New Roman"/>
          <w:sz w:val="20"/>
        </w:rPr>
        <w:t xml:space="preserve">, </w:t>
      </w:r>
      <w:r>
        <w:rPr>
          <w:rFonts w:ascii="Times New Roman" w:hAnsi="Times New Roman"/>
          <w:sz w:val="20"/>
          <w:u w:val="single"/>
        </w:rPr>
        <w:t>5.04</w:t>
      </w:r>
      <w:r>
        <w:rPr>
          <w:rFonts w:ascii="Times New Roman" w:hAnsi="Times New Roman"/>
          <w:sz w:val="20"/>
        </w:rPr>
        <w:t xml:space="preserve"> (with respect to the existence of Holdings, any Intermediate Parent, Bidco or such Restricted Subsidiaries), </w:t>
      </w:r>
      <w:r>
        <w:rPr>
          <w:rFonts w:ascii="Times New Roman" w:hAnsi="Times New Roman"/>
          <w:sz w:val="20"/>
          <w:u w:val="single"/>
        </w:rPr>
        <w:t>5.10</w:t>
      </w:r>
      <w:r>
        <w:rPr>
          <w:rFonts w:ascii="Times New Roman" w:hAnsi="Times New Roman"/>
          <w:sz w:val="20"/>
        </w:rPr>
        <w:t xml:space="preserve">, </w:t>
      </w:r>
      <w:r>
        <w:rPr>
          <w:rFonts w:ascii="Times New Roman" w:hAnsi="Times New Roman"/>
          <w:sz w:val="20"/>
          <w:u w:val="single"/>
        </w:rPr>
        <w:t>5.14</w:t>
      </w:r>
      <w:r>
        <w:rPr>
          <w:rFonts w:ascii="Times New Roman" w:hAnsi="Times New Roman"/>
          <w:sz w:val="20"/>
        </w:rPr>
        <w:t xml:space="preserve"> or in </w:t>
      </w:r>
      <w:r>
        <w:rPr>
          <w:rFonts w:ascii="Times New Roman" w:hAnsi="Times New Roman"/>
          <w:sz w:val="20"/>
          <w:u w:val="single"/>
        </w:rPr>
        <w:t>Article VI</w:t>
      </w:r>
      <w:r>
        <w:rPr>
          <w:rFonts w:ascii="Times New Roman" w:hAnsi="Times New Roman"/>
          <w:sz w:val="20"/>
        </w:rPr>
        <w:t xml:space="preserve"> (other than the Financial Performance Covenant); or </w:t>
      </w:r>
    </w:p>
    <w:p>
      <w:pPr>
        <w:pStyle w:val="TextBody"/>
        <w:bidi w:val="0"/>
        <w:spacing w:before="120" w:after="0"/>
        <w:jc w:val="left"/>
        <w:rPr>
          <w:rFonts w:ascii="Times New Roman" w:hAnsi="Times New Roman"/>
          <w:sz w:val="20"/>
        </w:rPr>
      </w:pPr>
      <w:r>
        <w:rPr>
          <w:rFonts w:ascii="Times New Roman" w:hAnsi="Times New Roman"/>
          <w:sz w:val="20"/>
        </w:rPr>
        <w:t xml:space="preserve">(ii) Bidco or any of the Restricted Subsidiaries shall fail to observe or perform the Financial Performance Covenant; </w:t>
      </w:r>
      <w:r>
        <w:rPr>
          <w:rFonts w:ascii="Times New Roman" w:hAnsi="Times New Roman"/>
          <w:sz w:val="20"/>
          <w:u w:val="single"/>
        </w:rPr>
        <w:t>provided</w:t>
      </w:r>
      <w:r>
        <w:rPr>
          <w:rFonts w:ascii="Times New Roman" w:hAnsi="Times New Roman"/>
          <w:sz w:val="20"/>
        </w:rPr>
        <w:t xml:space="preserve"> that (a) any Event of Default under </w:t>
      </w:r>
      <w:r>
        <w:rPr>
          <w:rFonts w:ascii="Times New Roman" w:hAnsi="Times New Roman"/>
          <w:sz w:val="20"/>
          <w:u w:val="single"/>
        </w:rPr>
        <w:t>Section 6.07</w:t>
      </w:r>
      <w:r>
        <w:rPr>
          <w:rFonts w:ascii="Times New Roman" w:hAnsi="Times New Roman"/>
          <w:sz w:val="20"/>
        </w:rPr>
        <w:t xml:space="preserve"> is subject to cure as provided in </w:t>
      </w:r>
      <w:r>
        <w:rPr>
          <w:rFonts w:ascii="Times New Roman" w:hAnsi="Times New Roman"/>
          <w:sz w:val="20"/>
          <w:u w:val="single"/>
        </w:rPr>
        <w:t>Section 7.02</w:t>
      </w:r>
      <w:r>
        <w:rPr>
          <w:rFonts w:ascii="Times New Roman" w:hAnsi="Times New Roman"/>
          <w:sz w:val="20"/>
        </w:rPr>
        <w:t xml:space="preserve"> and an Event of Default with respect to such Section shall not occur until the expiration of the tenth (10th) Business Day subsequent to the date on which the financial statements with respect to the applicable fiscal quarter (or the fiscal year ended on the last day of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and (b) a Default under </w:t>
      </w:r>
      <w:r>
        <w:rPr>
          <w:rFonts w:ascii="Times New Roman" w:hAnsi="Times New Roman"/>
          <w:sz w:val="20"/>
          <w:u w:val="single"/>
        </w:rPr>
        <w:t>Section 6.07</w:t>
      </w:r>
      <w:r>
        <w:rPr>
          <w:rFonts w:ascii="Times New Roman" w:hAnsi="Times New Roman"/>
          <w:sz w:val="20"/>
        </w:rPr>
        <w:t xml:space="preserve"> shall not constitute an Event of Default with respect to the Term Loans unless and until the Revolving Lenders have actually declared all such obligations to be immediately due and payable or terminated the Revolving Commitments in accordance with this Agreement and such declaration has not been rescinded by the Required Revolving Lenders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(e) Holdings, Bidco or any of the Restricted Subsidiaries shall fail to observe or perform any covenant, condition or agreement contained in any Loan Document (other than those specified in paragraph (a), (b) or (d) of this </w:t>
      </w:r>
      <w:r>
        <w:rPr>
          <w:rFonts w:ascii="Times New Roman" w:hAnsi="Times New Roman"/>
          <w:sz w:val="20"/>
          <w:u w:val="single"/>
        </w:rPr>
        <w:t>Section 7.01</w:t>
      </w:r>
      <w:r>
        <w:rPr>
          <w:rFonts w:ascii="Times New Roman" w:hAnsi="Times New Roman"/>
          <w:sz w:val="20"/>
        </w:rPr>
        <w:t xml:space="preserve">), and such failure shall continue unremedied for a period of thirty (30) days after written notice thereof from the Administrative Agent to Bidco and the Borrowers; </w:t>
      </w:r>
      <w:r>
        <w:rPr>
          <w:rFonts w:ascii="Times New Roman" w:hAnsi="Times New Roman"/>
          <w:sz w:val="20"/>
          <w:u w:val="single"/>
        </w:rPr>
        <w:t>provided</w:t>
      </w:r>
      <w:r>
        <w:rPr>
          <w:rFonts w:ascii="Times New Roman" w:hAnsi="Times New Roman"/>
          <w:sz w:val="20"/>
        </w:rPr>
        <w:t xml:space="preserve"> that any Default or Event of Default which may occur as a result of the failure to timely meet any delivery requirements under the Loan Documents shall cease to exist upon any delivery otherwise in compliance with such requirement. </w:t>
      </w:r>
    </w:p>
    <w:p>
      <w:pPr>
        <w:pStyle w:val="TextBody"/>
        <w:bidi w:val="0"/>
        <w:spacing w:before="240" w:after="0"/>
        <w:jc w:val="left"/>
        <w:rPr>
          <w:rFonts w:ascii="Times New Roman" w:hAnsi="Times New Roman"/>
          <w:sz w:val="20"/>
        </w:rPr>
      </w:pPr>
      <w:r>
        <w:rPr>
          <w:rFonts w:ascii="Times New Roman" w:hAnsi="Times New Roman"/>
          <w:sz w:val="20"/>
        </w:rPr>
        <w:t xml:space="preserve">(f) Holdings, Bidco or any of the Restricted Subsidiaries shall fail to make any payment (whether of principal or interest and regardless of amount) in respect of any Material Indebtedness, when and as the same shall become due and payable (after giving effect to any applicable grace period); </w:t>
      </w:r>
    </w:p>
    <w:p>
      <w:pPr>
        <w:pStyle w:val="TextBody"/>
        <w:bidi w:val="0"/>
        <w:spacing w:before="240" w:after="0"/>
        <w:jc w:val="left"/>
        <w:rPr>
          <w:rFonts w:ascii="Times New Roman" w:hAnsi="Times New Roman"/>
          <w:sz w:val="20"/>
        </w:rPr>
      </w:pPr>
      <w:r>
        <w:rPr>
          <w:rFonts w:ascii="Times New Roman" w:hAnsi="Times New Roman"/>
          <w:sz w:val="20"/>
        </w:rPr>
        <w:t xml:space="preserve">(g)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termination events or similar events occurring under any Swap Agreement that constitutes Material Indebtedness (it being understood that paragraph (f) of this </w:t>
      </w:r>
      <w:r>
        <w:rPr>
          <w:rFonts w:ascii="Times New Roman" w:hAnsi="Times New Roman"/>
          <w:sz w:val="20"/>
          <w:u w:val="single"/>
        </w:rPr>
        <w:t>Section 7.01</w:t>
      </w:r>
      <w:r>
        <w:rPr>
          <w:rFonts w:ascii="Times New Roman" w:hAnsi="Times New Roman"/>
          <w:sz w:val="20"/>
        </w:rPr>
        <w:t xml:space="preserve"> will apply to any failure to make any payment required as a result of any such termination or similar event);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court protection, reorganization or other relief in respect of Holdings, any Intermediate Parent, Bidco, any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any Intermediate Parent, Bidco, any Borrower or any Material Subsidiary or for a material part of its assets, and, in any such case, such proceeding or petition shall continue undismissed and unstayed for 60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(i) Holdings, any Intermediate Parent, Bidco, any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w:t>
      </w:r>
      <w:r>
        <w:rPr>
          <w:rFonts w:ascii="Times New Roman" w:hAnsi="Times New Roman"/>
          <w:sz w:val="20"/>
          <w:u w:val="single"/>
        </w:rPr>
        <w:t>Section 7.01</w:t>
      </w:r>
      <w:r>
        <w:rPr>
          <w:rFonts w:ascii="Times New Roman" w:hAnsi="Times New Roman"/>
          <w:sz w:val="20"/>
        </w:rPr>
        <w:t xml:space="preserve">, (iii) apply for or consent to the appointment of a receiver, trustee, examiner, custodian, sequestrator, conservator or similar official for Holdings, any Intermediate Parent, Bidco, any Borrower or any Material Subsidiary or for a material part of its assets, (iv) file an answer admitting the material allegations of a petition filed against it in any such proceeding or (v) make a general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(j) one or more enforceable judgments for the payment of money in an aggregate amount in excess of $500,000,000 (to the extent not covered by insurance as to which the insurer has been notified of such judgment or order and has not denied coverage) shall be rendered against Holdings, any Intermediate Parent, Bidco and any of the Restricted Subsidiaries or any combination thereof and the same shall remain undischarged for a period of 90 consecutive days during which execution shall not be effectively stayed, or any judgment creditor shall legally attach or levy upon assets of such Loan Party that are material to the businesses and operations of Holdings, any Intermediate Parent, Bidco and the Restricted Subsidiaries, taken as a whole, to enforce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(k) an ERISA Event occurs that has resulted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financing statements or (iii) as a result of acts or omissions of the Administrative Agent or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any material provision of any Loan Document or any Guarantee of the Loan Document Obligations shall for any reason be asserted in writing by any Loan Party not to be a legal, valid and binding obligation of any Loan Party thereto other than as expressly permitted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(n) any Guarantees of the Loan Document Obligations by any Loan Party pursuant to the Guarantee Agreement shall cease to be in full force and effect (in each case, other than in accordance with the terms of the Loan Documents); or </w:t>
      </w:r>
    </w:p>
    <w:p>
      <w:pPr>
        <w:pStyle w:val="TextBody"/>
        <w:bidi w:val="0"/>
        <w:spacing w:before="240" w:after="0"/>
        <w:jc w:val="left"/>
        <w:rPr>
          <w:rFonts w:ascii="Times New Roman" w:hAnsi="Times New Roman"/>
          <w:sz w:val="20"/>
        </w:rPr>
      </w:pPr>
      <w:r>
        <w:rPr>
          <w:rFonts w:ascii="Times New Roman" w:hAnsi="Times New Roman"/>
          <w:sz w:val="20"/>
        </w:rPr>
        <w:t xml:space="preserve">(o) a Change of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Holdings, any Intermediate Parent, Bidco or a Borrower described in paragraph (h) or (i) of this </w:t>
      </w:r>
      <w:r>
        <w:rPr>
          <w:rFonts w:ascii="Times New Roman" w:hAnsi="Times New Roman"/>
          <w:sz w:val="20"/>
          <w:u w:val="single"/>
        </w:rPr>
        <w:t>Section 7.01</w:t>
      </w:r>
      <w:r>
        <w:rPr>
          <w:rFonts w:ascii="Times New Roman" w:hAnsi="Times New Roman"/>
          <w:sz w:val="20"/>
        </w:rPr>
        <w:t xml:space="preserve">), and during the continuance of such event (with respect to clauses (b) (with respect to expenses only), (c), (d), (e), (f), (g), (j), (k) and (o) of this </w:t>
      </w:r>
      <w:r>
        <w:rPr>
          <w:rFonts w:ascii="Times New Roman" w:hAnsi="Times New Roman"/>
          <w:sz w:val="20"/>
          <w:u w:val="single"/>
        </w:rPr>
        <w:t>Section 7.01</w:t>
      </w:r>
      <w:r>
        <w:rPr>
          <w:rFonts w:ascii="Times New Roman" w:hAnsi="Times New Roman"/>
          <w:sz w:val="20"/>
        </w:rPr>
        <w:t xml:space="preserve">, at any time up to two years following the first public notice or notice of the Administrative Agent and Lenders of such event), the Administrative Agent may, and at the request of the Required Lenders (or, in the case of an Event of Default under </w:t>
      </w:r>
      <w:r>
        <w:rPr>
          <w:rFonts w:ascii="Times New Roman" w:hAnsi="Times New Roman"/>
          <w:sz w:val="20"/>
          <w:u w:val="single"/>
        </w:rPr>
        <w:t>Section 7.01(d)(ii)</w:t>
      </w:r>
      <w:r>
        <w:rPr>
          <w:rFonts w:ascii="Times New Roman" w:hAnsi="Times New Roman"/>
          <w:sz w:val="20"/>
        </w:rPr>
        <w:t xml:space="preserve"> after giving effect to the proviso, the Required Revolving Lenders (with respect to the Revolving Commitments and the Revolving Loans)) shall, by notice to Bidco and the Borrowers,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Borrowers deposit cash collateral with the Administrative Agent as contemplated by </w:t>
      </w:r>
      <w:r>
        <w:rPr>
          <w:rFonts w:ascii="Times New Roman" w:hAnsi="Times New Roman"/>
          <w:sz w:val="20"/>
          <w:u w:val="single"/>
        </w:rPr>
        <w:t>Section 2.04(j)</w:t>
      </w:r>
      <w:r>
        <w:rPr>
          <w:rFonts w:ascii="Times New Roman" w:hAnsi="Times New Roman"/>
          <w:sz w:val="20"/>
        </w:rPr>
        <w:t xml:space="preserve"> in the aggregate LC Exposure of all outstanding Letters of Credit and thereupon the principal of the Loans and the LC Exposure of all Letters of Credit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Holdings, Bidco or a Borrower described in paragraph (h) or (i) of this </w:t>
      </w:r>
      <w:r>
        <w:rPr>
          <w:rFonts w:ascii="Times New Roman" w:hAnsi="Times New Roman"/>
          <w:sz w:val="20"/>
          <w:u w:val="single"/>
        </w:rPr>
        <w:t>Section 7.01</w:t>
      </w:r>
      <w:r>
        <w:rPr>
          <w:rFonts w:ascii="Times New Roman" w:hAnsi="Times New Roman"/>
          <w:sz w:val="20"/>
        </w:rPr>
        <w:t xml:space="preserv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Any time period to cure any actual or alleged Default or Event of Default may be extended or stayed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any “going concern” or like qualification or exception in connection with (x) an upcoming maturity date of any Indebtedness, (y) any actual failure to satisfy a financial maintenance covenant or any potential inability to satisfy a financial maintenance covenant on a future date or in a future period or (z) any projected Default or Event of Default or a civil investigative demand, subpoena or similar request arising from any investigation by any Governmental Authority or any claim, litigation, investigation or proceeding arising from or relating to any of the foregoing, in each case in connection with financial statements delivered pursuant to </w:t>
      </w:r>
      <w:r>
        <w:rPr>
          <w:rFonts w:ascii="Times New Roman" w:hAnsi="Times New Roman"/>
          <w:sz w:val="20"/>
          <w:u w:val="single"/>
        </w:rPr>
        <w:t>Section 5.01(a)</w:t>
      </w:r>
      <w:r>
        <w:rPr>
          <w:rFonts w:ascii="Times New Roman" w:hAnsi="Times New Roman"/>
          <w:sz w:val="20"/>
        </w:rPr>
        <w:t xml:space="preserve"> shall not be a Default or Event of Default and (ii) any Default or Event of Default which may have occurred shall cease to exist upon compliance with such requirement, including with respect to an Event of Default pursuant to (x) </w:t>
      </w:r>
      <w:r>
        <w:rPr>
          <w:rFonts w:ascii="Times New Roman" w:hAnsi="Times New Roman"/>
          <w:sz w:val="20"/>
          <w:u w:val="single"/>
        </w:rPr>
        <w:t>Section 7.01(a)</w:t>
      </w:r>
      <w:r>
        <w:rPr>
          <w:rFonts w:ascii="Times New Roman" w:hAnsi="Times New Roman"/>
          <w:sz w:val="20"/>
        </w:rPr>
        <w:t xml:space="preserve"> or </w:t>
      </w:r>
      <w:r>
        <w:rPr>
          <w:rFonts w:ascii="Times New Roman" w:hAnsi="Times New Roman"/>
          <w:sz w:val="20"/>
          <w:u w:val="single"/>
        </w:rPr>
        <w:t>Section 7.01(b)</w:t>
      </w:r>
      <w:r>
        <w:rPr>
          <w:rFonts w:ascii="Times New Roman" w:hAnsi="Times New Roman"/>
          <w:sz w:val="20"/>
        </w:rPr>
        <w:t xml:space="preserve">, upon payment of any overdue amounts and (y) the failure to timely meet any delivery requirements under the Loan Documents, upon any delivery otherwise in compliance with such requirement and (iii) the failure of any representation or warranty (other than the Major Representations) to be true and correct on the Effective Date will not constitute a Default or Event of Default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of any Loan Document, during the Certain Funds Period none of the Lenders shall: </w:t>
      </w:r>
    </w:p>
    <w:p>
      <w:pPr>
        <w:pStyle w:val="TextBody"/>
        <w:bidi w:val="0"/>
        <w:spacing w:before="240" w:after="0"/>
        <w:jc w:val="left"/>
        <w:rPr>
          <w:rFonts w:ascii="Times New Roman" w:hAnsi="Times New Roman"/>
          <w:sz w:val="20"/>
        </w:rPr>
      </w:pPr>
      <w:r>
        <w:rPr>
          <w:rFonts w:ascii="Times New Roman" w:hAnsi="Times New Roman"/>
          <w:sz w:val="20"/>
        </w:rPr>
        <w:t xml:space="preserve">(a) refuse to participate in or make available any Certain Funds Utilization, provided that the conditions in paragraphs (a) through (l) of </w:t>
      </w:r>
      <w:r>
        <w:rPr>
          <w:rFonts w:ascii="Times New Roman" w:hAnsi="Times New Roman"/>
          <w:sz w:val="20"/>
          <w:u w:val="single"/>
        </w:rPr>
        <w:t>Section 4.01</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be entitled to take any action to rescind, terminate or cancel this Agreement (or any provision hereof or obligation hereunder) or any utilization of any Loan or Commitment; </w:t>
      </w:r>
    </w:p>
    <w:p>
      <w:pPr>
        <w:pStyle w:val="TextBody"/>
        <w:bidi w:val="0"/>
        <w:spacing w:before="240" w:after="0"/>
        <w:jc w:val="left"/>
        <w:rPr>
          <w:rFonts w:ascii="Times New Roman" w:hAnsi="Times New Roman"/>
          <w:sz w:val="20"/>
        </w:rPr>
      </w:pPr>
      <w:r>
        <w:rPr>
          <w:rFonts w:ascii="Times New Roman" w:hAnsi="Times New Roman"/>
          <w:sz w:val="20"/>
        </w:rPr>
        <w:t xml:space="preserve">(c) exercise any right of set-off or counterclaim in respect of any utilization of any Loan or Commitment; </w:t>
      </w:r>
    </w:p>
    <w:p>
      <w:pPr>
        <w:pStyle w:val="TextBody"/>
        <w:bidi w:val="0"/>
        <w:spacing w:before="240" w:after="0"/>
        <w:jc w:val="left"/>
        <w:rPr>
          <w:rFonts w:ascii="Times New Roman" w:hAnsi="Times New Roman"/>
          <w:sz w:val="20"/>
        </w:rPr>
      </w:pPr>
      <w:r>
        <w:rPr>
          <w:rFonts w:ascii="Times New Roman" w:hAnsi="Times New Roman"/>
          <w:sz w:val="20"/>
        </w:rPr>
        <w:t xml:space="preserve">(d) accelerate any utilization of any Loan or otherwise demand or require repayment or prepayment of any sum from any Loan Party; or </w:t>
      </w:r>
    </w:p>
    <w:p>
      <w:pPr>
        <w:pStyle w:val="TextBody"/>
        <w:bidi w:val="0"/>
        <w:spacing w:before="240" w:after="0"/>
        <w:jc w:val="left"/>
        <w:rPr>
          <w:rFonts w:ascii="Times New Roman" w:hAnsi="Times New Roman"/>
          <w:sz w:val="20"/>
        </w:rPr>
      </w:pPr>
      <w:r>
        <w:rPr>
          <w:rFonts w:ascii="Times New Roman" w:hAnsi="Times New Roman"/>
          <w:sz w:val="20"/>
        </w:rPr>
        <w:t xml:space="preserve">(e) enforce (or instruct the Administrative Agent and/or Collateral Agent to enforce) any Collateral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unless at any time the conditions in paragraph (i) of </w:t>
      </w:r>
      <w:r>
        <w:rPr>
          <w:rFonts w:ascii="Times New Roman" w:hAnsi="Times New Roman"/>
          <w:sz w:val="20"/>
          <w:u w:val="single"/>
        </w:rPr>
        <w:t>Section 4.01</w:t>
      </w:r>
      <w:r>
        <w:rPr>
          <w:rFonts w:ascii="Times New Roman" w:hAnsi="Times New Roman"/>
          <w:sz w:val="20"/>
        </w:rPr>
        <w:t xml:space="preserve"> is not satisfied (which, in respect of paragraph (i)(ii) of </w:t>
      </w:r>
      <w:r>
        <w:rPr>
          <w:rFonts w:ascii="Times New Roman" w:hAnsi="Times New Roman"/>
          <w:sz w:val="20"/>
          <w:u w:val="single"/>
        </w:rPr>
        <w:t>Section 4.01</w:t>
      </w:r>
      <w:r>
        <w:rPr>
          <w:rFonts w:ascii="Times New Roman" w:hAnsi="Times New Roman"/>
          <w:sz w:val="20"/>
        </w:rPr>
        <w:t xml:space="preserve">, shall allow the relevant Lender to take such action in respect of itself only and shall not permit any other Lender to take such action), </w:t>
      </w:r>
      <w:r>
        <w:rPr>
          <w:rFonts w:ascii="Times New Roman" w:hAnsi="Times New Roman"/>
          <w:sz w:val="20"/>
          <w:u w:val="single"/>
        </w:rPr>
        <w:t>provided</w:t>
      </w:r>
      <w:r>
        <w:rPr>
          <w:rFonts w:ascii="Times New Roman" w:hAnsi="Times New Roman"/>
          <w:sz w:val="20"/>
        </w:rPr>
        <w:t xml:space="preserve"> that, immediately upon the expiry of the Certain Funds Period, all such rights, remedies and entitlements shall be available to the Lenders, notwithstanding that they may not have been used or been available for use during the Certain Funds Period. </w:t>
      </w:r>
    </w:p>
    <w:p>
      <w:pPr>
        <w:pStyle w:val="TextBody"/>
        <w:bidi w:val="0"/>
        <w:spacing w:before="36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 to Cure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contained in </w:t>
      </w:r>
      <w:r>
        <w:rPr>
          <w:rFonts w:ascii="Times New Roman" w:hAnsi="Times New Roman"/>
          <w:sz w:val="20"/>
          <w:u w:val="single"/>
        </w:rPr>
        <w:t>Section 7.01</w:t>
      </w:r>
      <w:r>
        <w:rPr>
          <w:rFonts w:ascii="Times New Roman" w:hAnsi="Times New Roman"/>
          <w:sz w:val="20"/>
        </w:rPr>
        <w:t xml:space="preserve">, in the event that Bidco and the Restricted Subsidiaries fail to comply with the requirements of the Financial Performance Covenant (if applicable) as of the last day of any applicable fiscal quarter of Bidco,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as applicable, Holdings shall have the right to issue Qualified Equity Interests for cash or otherwise receive cash contributions to the capital of Holdings as cash common equity or other Qualified Equity Interests or Subordinated Shareholder Liabilities (which Holdings shall contribute, through its subsidiaries if applicable, to Bidco as cash common equity or other Qualified Equity Interests) (collectively, the “</w:t>
      </w:r>
      <w:r>
        <w:rPr>
          <w:rFonts w:ascii="Times New Roman" w:hAnsi="Times New Roman"/>
          <w:sz w:val="20"/>
          <w:u w:val="single"/>
        </w:rPr>
        <w:t>Cure Right</w:t>
      </w:r>
      <w:r>
        <w:rPr>
          <w:rFonts w:ascii="Times New Roman" w:hAnsi="Times New Roman"/>
          <w:sz w:val="20"/>
        </w:rPr>
        <w:t>”), and upon the receipt by Bidco of the Net Proceeds of such issuance (the “</w:t>
      </w:r>
      <w:r>
        <w:rPr>
          <w:rFonts w:ascii="Times New Roman" w:hAnsi="Times New Roman"/>
          <w:sz w:val="20"/>
          <w:u w:val="single"/>
        </w:rPr>
        <w:t>Cure Amount</w:t>
      </w:r>
      <w:r>
        <w:rPr>
          <w:rFonts w:ascii="Times New Roman" w:hAnsi="Times New Roman"/>
          <w:sz w:val="20"/>
        </w:rPr>
        <w:t xml:space="preserve">”) pursuant to the exercise by Holdings of such </w:t>
      </w:r>
      <w:r>
        <w:rPr>
          <w:rFonts w:ascii="Times New Roman" w:hAnsi="Times New Roman"/>
          <w:sz w:val="20"/>
          <w:u w:val="single"/>
        </w:rPr>
        <w:t>Cure Right</w:t>
      </w:r>
      <w:r>
        <w:rPr>
          <w:rFonts w:ascii="Times New Roman" w:hAnsi="Times New Roman"/>
          <w:sz w:val="20"/>
        </w:rPr>
        <w:t xml:space="preserve">, the Financial Performance Covenant shall be recalculated giving effect to one of the following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 </w:t>
      </w:r>
    </w:p>
    <w:p>
      <w:pPr>
        <w:pStyle w:val="TextBody"/>
        <w:bidi w:val="0"/>
        <w:spacing w:before="120" w:after="0"/>
        <w:jc w:val="left"/>
        <w:rPr>
          <w:rFonts w:ascii="Times New Roman" w:hAnsi="Times New Roman"/>
          <w:sz w:val="20"/>
        </w:rPr>
      </w:pPr>
      <w:r>
        <w:rPr>
          <w:rFonts w:ascii="Times New Roman" w:hAnsi="Times New Roman"/>
          <w:sz w:val="20"/>
        </w:rPr>
        <w:t xml:space="preserve">(ii) Revolving Borrowings with respect to such applicable fiscal quarter shall be reduced to an amount below the greater of (x) $280,000,000 and (y) 40% of the aggregate principal amount of Revolving Commitments then in effect (after including any Incremental Revolving Commitment Increase then in effect) such that the Financial Performance Covenant would not have been required to have been tested on the last day of such fiscal quarter;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after giving effect to either of the foregoing Pro Forma Adjustments, Bidco and the Restricted Subsidiaries shall then be in compliance with the Senior Secured First Lien Net Leverage Ratio contained in the Financial Performance Covenant or the Financial Performance Covenant is not applicable for such fiscal quarter, Bidco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 in each four consecutive fiscal quarter period of Bidco there shall be at least one (1) fiscal quarter in which the Cure Right is not exercised, (ii) during the term of this Agreement, the Cure Right shall not be exercised more than five (5) times and (iii) for purposes of this </w:t>
      </w:r>
      <w:r>
        <w:rPr>
          <w:rFonts w:ascii="Times New Roman" w:hAnsi="Times New Roman"/>
          <w:sz w:val="20"/>
          <w:u w:val="single"/>
        </w:rPr>
        <w:t>Section 7.02</w:t>
      </w:r>
      <w:r>
        <w:rPr>
          <w:rFonts w:ascii="Times New Roman" w:hAnsi="Times New Roman"/>
          <w:sz w:val="20"/>
        </w:rPr>
        <w:t xml:space="preserve">, the Cure Amount shall be no greater than the amount required for purposes of complying with the Senior Secured First Lien Net Leverage Ratio contained in the Financial Performance Covenant or reducing the outstanding Revolving Borrowings to below the greater of (x) $280,000.000 and (y) 40% of the aggregate principal amount of Revolving Commitments then in effect (after including any Incremental Revolving Commitment Increase then in effect), as applicable,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w:t>
      </w:r>
      <w:r>
        <w:rPr>
          <w:rFonts w:ascii="Times New Roman" w:hAnsi="Times New Roman"/>
          <w:sz w:val="20"/>
          <w:u w:val="single"/>
        </w:rPr>
        <w:t>Article VI</w:t>
      </w:r>
      <w:r>
        <w:rPr>
          <w:rFonts w:ascii="Times New Roman" w:hAnsi="Times New Roman"/>
          <w:sz w:val="20"/>
        </w:rPr>
        <w:t xml:space="preserve"> of this Agreement. For the avoidance of doubt, to the extent such Cure Amounts are applied to prepay Indebtedness, such reduction may be given effect in determining compliance with the Financial Performance Covenant for fiscal quarters after the fiscal quarter in which such Cure Right was made and there shall not have been a breach of any covenant under </w:t>
      </w:r>
      <w:r>
        <w:rPr>
          <w:rFonts w:ascii="Times New Roman" w:hAnsi="Times New Roman"/>
          <w:sz w:val="20"/>
          <w:u w:val="single"/>
        </w:rPr>
        <w:t>Article VI</w:t>
      </w:r>
      <w:r>
        <w:rPr>
          <w:rFonts w:ascii="Times New Roman" w:hAnsi="Times New Roman"/>
          <w:sz w:val="20"/>
        </w:rPr>
        <w:t xml:space="preserve"> of this Agreement by reason of having no longer included such Cure Amount in any basket during the relevant period. </w:t>
      </w:r>
    </w:p>
    <w:p>
      <w:pPr>
        <w:pStyle w:val="TextBody"/>
        <w:bidi w:val="0"/>
        <w:spacing w:before="36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Application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exercise of remedies provided for in </w:t>
      </w:r>
      <w:r>
        <w:rPr>
          <w:rFonts w:ascii="Times New Roman" w:hAnsi="Times New Roman"/>
          <w:sz w:val="20"/>
          <w:u w:val="single"/>
        </w:rPr>
        <w:t>Section 7.01</w:t>
      </w:r>
      <w:r>
        <w:rPr>
          <w:rFonts w:ascii="Times New Roman" w:hAnsi="Times New Roman"/>
          <w:sz w:val="20"/>
        </w:rPr>
        <w:t xml:space="preserve">, any amounts received on account of the Secured Obligations shall be applied by the Administrative Agent, in accordance with the following provision and/or the similar provisions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any applicable intercreditor agreement then in effect and contemplated by this Agreement, the Collateral Agent shall apply the proceeds of any collection or sale of Collateral, including any Collateral consisting of cash, as follows: </w:t>
      </w:r>
    </w:p>
    <w:p>
      <w:pPr>
        <w:pStyle w:val="TextBody"/>
        <w:bidi w:val="0"/>
        <w:spacing w:before="120" w:after="0"/>
        <w:jc w:val="left"/>
        <w:rPr>
          <w:rFonts w:ascii="Times New Roman" w:hAnsi="Times New Roman"/>
          <w:sz w:val="20"/>
        </w:rPr>
      </w:pPr>
      <w:r>
        <w:rPr>
          <w:rFonts w:ascii="Times New Roman" w:hAnsi="Times New Roman"/>
          <w:sz w:val="20"/>
        </w:rPr>
        <w:t>FIRST, to the payment of all reasonable and documented or invoiced out-of-pocket costs and expenses incurred by the Administrative Agent and the Collateral Agent in connection with such collection or sale or otherwise in connection with this Agreement, any other Loan Document or any of the Secured Obligations, including all reasonable and documented or invoiced out-of-pocket court costs and the fees and expenses of its agents and legal counsel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w:t>
      </w:r>
      <w:r>
        <w:rPr>
          <w:rFonts w:ascii="Times New Roman" w:hAnsi="Times New Roman"/>
          <w:color w:val="0000FF"/>
          <w:sz w:val="20"/>
          <w:u w:val="single"/>
          <w:bdr w:val="double" w:sz="2" w:space="1" w:color="000000"/>
        </w:rPr>
        <w:t xml:space="preserve"> of the Initial Term Loans or the Amendment No. 1 Refinancing Term Loans</w:t>
      </w:r>
      <w:r>
        <w:rPr>
          <w:rFonts w:ascii="Times New Roman" w:hAnsi="Times New Roman"/>
          <w:sz w:val="20"/>
        </w:rPr>
        <w:t xml:space="preserve">, to occur on or prior to or otherwise in connection with the Effective Date) and to the extent reasonably determined by the Administrative Agent to be necessary, one local counsel in each relevant material jurisdiction and, in the case of an actual or perceived conflict of interest 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Collateral Agent or any Lender affected by such conflict notifies the Borrower of the existence of such conflict and thereafter retains its own counsel, one additional conflicts counsel and (y) the fees and expenses of any other advisor or consultant, to the reasonable, documented and invoiced fees, charges and disbursements of such advisor or consultant, but solely to the extent that such consultant or advisor has been retained with the Borrower’s consent (such consent not to be unreasonably withheld or delayed)), the repayment of all advances made by the Administrative Agent or the Collateral Agent hereunder or under any other Loan Document on behalf of any Grantor and any other costs or expenses incurred in connection with the exercise of any right or remedy hereunder or under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SECOND, to the payment in full of the Secured Obligations (the amounts so applied to be distributed among the Secured Parties pro rata in accordance with the amounts of the Secured Obligations owed to them on the date of any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THIRD, to any agent of any junior secured debt, in accordance with any applicable intercreditor agreement then in effect and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FOURTH, to the Loan Parties, their successors or assigns, or as a court of competent jurisdiction may otherwise direct.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Agent shall have sole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 and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Lenders and the Issuing Bank hereby irrevocably appoints Barclays Bank PLC to act on its behalf as the Administrative Agent and Collateral Agent hereunder and under the other Loan Documents and authorizes the Administrative Agent to take such actions on its behalf and to exercise such powers as are delegated to the Administrative Agent and Collateral Agent by the terms hereof or thereof, together with such actions and powers as are reasonably incidental thereto. The provisions of this </w:t>
      </w:r>
      <w:r>
        <w:rPr>
          <w:rFonts w:ascii="Times New Roman" w:hAnsi="Times New Roman"/>
          <w:sz w:val="20"/>
          <w:u w:val="single"/>
        </w:rPr>
        <w:t>Article VIII</w:t>
      </w:r>
      <w:r>
        <w:rPr>
          <w:rFonts w:ascii="Times New Roman" w:hAnsi="Times New Roman"/>
          <w:sz w:val="20"/>
        </w:rPr>
        <w:t xml:space="preserve"> are solely for the benefit of the Administrative Agent and the Collateral Agent, the Lenders and the Issuing Bank, and neither Bidco nor any other Loan Party shall have rights as a third party beneficiary of any of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also act as the “Collateral Agent” under the Loan Documents, and each of the Lenders and the Issuing Bank hereby irrevocably appoints and authorizes the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incidental thereto. In this connection, the Collateral Agent and any co-agents, sub-agents and attorneys-in-fact appointed by the Administrative Agent and Collateral Agent pursuant to </w:t>
      </w:r>
      <w:r>
        <w:rPr>
          <w:rFonts w:ascii="Times New Roman" w:hAnsi="Times New Roman"/>
          <w:sz w:val="20"/>
          <w:u w:val="single"/>
        </w:rPr>
        <w:t>Section 8.05</w:t>
      </w:r>
      <w:r>
        <w:rPr>
          <w:rFonts w:ascii="Times New Roman" w:hAnsi="Times New Roman"/>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(including </w:t>
      </w:r>
      <w:r>
        <w:rPr>
          <w:rFonts w:ascii="Times New Roman" w:hAnsi="Times New Roman"/>
          <w:sz w:val="20"/>
          <w:u w:val="single"/>
        </w:rPr>
        <w:t>Section 9.03</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as a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Bidco or any Subsidiary or other Affiliate thereof as if such Person were not the Administrative Agent hereunder and without any duty to account therefor to the Lenders. </w:t>
      </w:r>
    </w:p>
    <w:p>
      <w:pPr>
        <w:pStyle w:val="TextBody"/>
        <w:bidi w:val="0"/>
        <w:spacing w:before="36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have any duties or obligations except those expressly set forth herein and in the other Loan Documents. Without limiting the generality of the foregoing,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Bidco or any of its Affiliates that is communicated to or obtained by the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and in the last paragraph of </w:t>
      </w:r>
      <w:r>
        <w:rPr>
          <w:rFonts w:ascii="Times New Roman" w:hAnsi="Times New Roman"/>
          <w:sz w:val="20"/>
          <w:u w:val="single"/>
        </w:rPr>
        <w:t>Section 7.01</w:t>
      </w:r>
      <w:r>
        <w:rPr>
          <w:rFonts w:ascii="Times New Roman" w:hAnsi="Times New Roman"/>
          <w:sz w:val="20"/>
        </w:rPr>
        <w:t xml:space="preserve">) or (ii) in the absence of its own gross negligence, bad faith or willful misconduct as determined by a court of competent jurisdiction by final and non-appealable judgment; </w:t>
      </w:r>
      <w:r>
        <w:rPr>
          <w:rFonts w:ascii="Times New Roman" w:hAnsi="Times New Roman"/>
          <w:sz w:val="20"/>
          <w:u w:val="single"/>
        </w:rPr>
        <w:t>provided</w:t>
      </w:r>
      <w:r>
        <w:rPr>
          <w:rFonts w:ascii="Times New Roman" w:hAnsi="Times New Roman"/>
          <w:sz w:val="20"/>
        </w:rPr>
        <w:t xml:space="preserve"> that the Administrative Agent shall be deemed not to have knowledge of any Default unless and until written notice describing such Default is given to the Administrative Agent by Bidco, a Borrower, a Lender or the Issuing Bank;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36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Bidco), independent accountants and other experts selected by it, and shall not be liable for any action taken or not taken by it in accordance with the advice of any such counsel, accountants or experts. </w:t>
      </w:r>
    </w:p>
    <w:p>
      <w:pPr>
        <w:pStyle w:val="TextBody"/>
        <w:bidi w:val="0"/>
        <w:spacing w:before="36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Delegation of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hAnsi="Times New Roman"/>
          <w:sz w:val="20"/>
          <w:u w:val="single"/>
        </w:rPr>
        <w:t>Article VIII</w:t>
      </w:r>
      <w:r>
        <w:rPr>
          <w:rFonts w:ascii="Times New Roman" w:hAnsi="Times New Roman"/>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w:t>
      </w:r>
    </w:p>
    <w:p>
      <w:pPr>
        <w:pStyle w:val="TextBody"/>
        <w:bidi w:val="0"/>
        <w:spacing w:before="36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Resignation of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appointment and acceptance of a successor Administrative Agent as provided in this paragraph, the Administrative Agent may resign upon thirty (30) days’ notice to the Lenders, the Issuing Banks, Bidco and the Borrowers. Upon receipt of any such notice of resignation, the Required Lenders shall have the right, with Bidco’s consent (unless a Specified Event of Default has occurred and is continuing)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such resignation shall nevertheless be effective and the retiring Administrative Agent may (but shall not be obligated to) on behalf of the Lenders and the Issuing Banks,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appoint a successor Administrative Agent, which shall be an Approved Bank with an office in New York, New York, or an Affiliate of any such Approved Bank (the date upon which the retiring Administrative Agent is replaced, the “</w:t>
      </w:r>
      <w:r>
        <w:rPr>
          <w:rFonts w:ascii="Times New Roman" w:hAnsi="Times New Roman"/>
          <w:sz w:val="20"/>
          <w:u w:val="single"/>
        </w:rPr>
        <w:t>Resignation Effective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 Administrative Agent shall notify Bidco, the Borrowers and the Lenders that no qualifying Person accepted such appointment, then such resignation shall nonetheless become effective in accordance with such notice. </w:t>
      </w:r>
    </w:p>
    <w:p>
      <w:pPr>
        <w:pStyle w:val="TextBody"/>
        <w:bidi w:val="0"/>
        <w:spacing w:before="240" w:after="0"/>
        <w:jc w:val="left"/>
        <w:rPr>
          <w:rFonts w:ascii="Times New Roman" w:hAnsi="Times New Roman"/>
          <w:sz w:val="20"/>
        </w:rPr>
      </w:pPr>
      <w:r>
        <w:rPr>
          <w:rFonts w:ascii="Times New Roman" w:hAnsi="Times New Roman"/>
          <w:sz w:val="20"/>
        </w:rPr>
        <w:t>If the Person serving as Administrative Agent is a Defaulting Lender, the Required Lenders and Holdings may, to the extent permitted by applicable law, by notice in writing to such Person remove such Person as Administrative Agent and, with the consent of Bidco, appoint a successor. If no such successor shall have been so appointed by the Required Lenders and shall have accepted such appointment within thirty (30) days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all steps necessary to assign or otherwise transfer the security to the successor Administrative Agent (and perfect such transfer or assignment) have been completed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w:t>
      </w:r>
      <w:r>
        <w:rPr>
          <w:rFonts w:ascii="Times New Roman" w:hAnsi="Times New Roman"/>
          <w:sz w:val="20"/>
          <w:u w:val="single"/>
        </w:rPr>
        <w:t>Section 8.06</w:t>
      </w:r>
      <w:r>
        <w:rPr>
          <w:rFonts w:ascii="Times New Roman" w:hAnsi="Times New Roman"/>
          <w:sz w:val="20"/>
        </w:rPr>
        <w:t xml:space="preserve">.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Section 9.04</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sz w:val="20"/>
          <w:u w:val="single"/>
        </w:rPr>
        <w:t>Section 2.04(l)</w:t>
      </w:r>
      <w:r>
        <w:rPr>
          <w:rFonts w:ascii="Times New Roman" w:hAnsi="Times New Roman"/>
          <w:sz w:val="20"/>
        </w:rPr>
        <w:t xml:space="preserve">, any resignation by Barclays Bank PLC as Administrative Agent pursuant to this </w:t>
      </w:r>
      <w:r>
        <w:rPr>
          <w:rFonts w:ascii="Times New Roman" w:hAnsi="Times New Roman"/>
          <w:sz w:val="20"/>
          <w:u w:val="single"/>
        </w:rPr>
        <w:t>Section 8.06</w:t>
      </w:r>
      <w:r>
        <w:rPr>
          <w:rFonts w:ascii="Times New Roman" w:hAnsi="Times New Roman"/>
          <w:sz w:val="20"/>
        </w:rPr>
        <w:t xml:space="preserve"> shall, unless Barclays Bank PLC gives notice to Bidco and the Borrowers otherwise, also constitute its resignation as an Issuing Bank and Swingline Lender and such resignation as an Issuing Bank and Swingline Lender shall become effective simultaneously with the discharge of the Administrative Agent from its duties and obligations as set forth in the immediately preceding paragraph (except as to already outstanding Letters of Credit, as to which such Issuing Bank shall continue in such capacities until the LC Exposure relating thereto shall be reduced to zero, or until the successor Administrative Agent shall succeed to the role of an Issuing Bank in accordance with the next sentence and perform the actions required by the next sentence). Upon the acceptance of a successor’s appointment as Administrative Agent hereunder, unless Barclays Bank PLC and such successor give notice to Bidco and the Borrowers otherwise, (i) such successor shall succeed to and become vested with all of the rights, powers, privileges and duties of the retiring Issuing Bank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36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Non-Reliance on Administrative Agent and Other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and the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 </w:t>
      </w:r>
    </w:p>
    <w:p>
      <w:pPr>
        <w:pStyle w:val="TextBody"/>
        <w:bidi w:val="0"/>
        <w:spacing w:before="36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No Other Duties,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the Issuing Bank 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Administrative Agent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proceeding under any Debtor Relief Law or any other judicial proceeding relative to any Loan Party, the Administrative Agent (irrespective of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of any Loan or outstanding Letter of Credit shall then be due and payable as herein expressed or by declaration or otherwise and irrespective of whether the Administrative Agent shall have made any demand on the Borrowers)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interim receiver,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the Issuing Bank any plan of reorganization, arrangement, adjustment or composition affecting the Secured Obligations or the rights of any Lender or the Issuing Bank to authorize the Administrative Agent to vote in respect of the claim of any Lender or the Issuing Bank or in any such proceeding. </w:t>
      </w:r>
    </w:p>
    <w:p>
      <w:pPr>
        <w:pStyle w:val="TextBody"/>
        <w:bidi w:val="0"/>
        <w:spacing w:before="36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No Waiver; Cumulative Remedies; Enforcement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failure by any Lender, any Issuing Bank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Article VII</w:t>
      </w:r>
      <w:r>
        <w:rPr>
          <w:rFonts w:ascii="Times New Roman" w:hAnsi="Times New Roman"/>
          <w:sz w:val="20"/>
        </w:rPr>
        <w:t xml:space="preserve"> for the benefit of all the Lenders and the Issuing Banks;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Banks or the Swingline Lender from exercising the rights and remedies that inure to its benefit (solely in its capacity as Issuing Bank or Swingline Lender, as the case may be) hereunder and under the other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(c) any Lender from exercising setoff rights in accordance with </w:t>
      </w:r>
      <w:r>
        <w:rPr>
          <w:rFonts w:ascii="Times New Roman" w:hAnsi="Times New Roman"/>
          <w:sz w:val="20"/>
          <w:u w:val="single"/>
        </w:rPr>
        <w:t>Section 9.08</w:t>
      </w:r>
      <w:r>
        <w:rPr>
          <w:rFonts w:ascii="Times New Roman" w:hAnsi="Times New Roman"/>
          <w:sz w:val="20"/>
        </w:rPr>
        <w:t xml:space="preserve"> (subject to the terms of </w:t>
      </w:r>
      <w:r>
        <w:rPr>
          <w:rFonts w:ascii="Times New Roman" w:hAnsi="Times New Roman"/>
          <w:sz w:val="20"/>
          <w:u w:val="single"/>
        </w:rPr>
        <w:t>Section 2.17</w:t>
      </w:r>
      <w:r>
        <w:rPr>
          <w:rFonts w:ascii="Times New Roman" w:hAnsi="Times New Roman"/>
          <w:sz w:val="20"/>
        </w:rPr>
        <w:t xml:space="preserve">), or (d)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Article VII</w:t>
      </w:r>
      <w:r>
        <w:rPr>
          <w:rFonts w:ascii="Times New Roman" w:hAnsi="Times New Roman"/>
          <w:sz w:val="20"/>
        </w:rPr>
        <w:t xml:space="preserve"> and (ii) in addition to the matters set forth in clauses (b), (c) and (d) of the preceding proviso and subject to </w:t>
      </w:r>
      <w:r>
        <w:rPr>
          <w:rFonts w:ascii="Times New Roman" w:hAnsi="Times New Roman"/>
          <w:sz w:val="20"/>
          <w:u w:val="single"/>
        </w:rPr>
        <w:t>Section 2.17</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36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Withholding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sz w:val="20"/>
          <w:u w:val="single"/>
        </w:rPr>
        <w:t>Section 2.16</w:t>
      </w:r>
      <w:r>
        <w:rPr>
          <w:rFonts w:ascii="Times New Roman" w:hAnsi="Times New Roman"/>
          <w:sz w:val="20"/>
        </w:rPr>
        <w:t xml:space="preserve">, to the extent required by any applicable Requirements of Law (as determined in good faith by the Administrative Agent), the Administrative Agent may deduct or withhold from any payment to any Lender an amount equivalent to any applicable withholding Tax. Without limiting or expanding the provisions of </w:t>
      </w:r>
      <w:r>
        <w:rPr>
          <w:rFonts w:ascii="Times New Roman" w:hAnsi="Times New Roman"/>
          <w:sz w:val="20"/>
          <w:u w:val="single"/>
        </w:rPr>
        <w:t>Section 2.16</w:t>
      </w:r>
      <w:r>
        <w:rPr>
          <w:rFonts w:ascii="Times New Roman" w:hAnsi="Times New Roman"/>
          <w:sz w:val="20"/>
        </w:rPr>
        <w:t xml:space="preserve">,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 w:hAnsi="Times New Roman"/>
          <w:sz w:val="20"/>
          <w:u w:val="single"/>
        </w:rPr>
        <w:t>Section 8.11</w:t>
      </w:r>
      <w:r>
        <w:rPr>
          <w:rFonts w:ascii="Times New Roman" w:hAnsi="Times New Roman"/>
          <w:sz w:val="20"/>
        </w:rPr>
        <w:t xml:space="preserve">. For the avoidance of doubt, a “Lender” shall, for purposes of this </w:t>
      </w:r>
      <w:r>
        <w:rPr>
          <w:rFonts w:ascii="Times New Roman" w:hAnsi="Times New Roman"/>
          <w:sz w:val="20"/>
          <w:u w:val="single"/>
        </w:rPr>
        <w:t>Section 8.11</w:t>
      </w:r>
      <w:r>
        <w:rPr>
          <w:rFonts w:ascii="Times New Roman" w:hAnsi="Times New Roman"/>
          <w:sz w:val="20"/>
        </w:rPr>
        <w:t xml:space="preserve">, include any Issuing Bank and the Swingline Lender. The agreements in this </w:t>
      </w:r>
      <w:r>
        <w:rPr>
          <w:rFonts w:ascii="Times New Roman" w:hAnsi="Times New Roman"/>
          <w:sz w:val="20"/>
          <w:u w:val="single"/>
        </w:rPr>
        <w:t>Section 8.11</w:t>
      </w:r>
      <w:r>
        <w:rPr>
          <w:rFonts w:ascii="Times New Roman" w:hAnsi="Times New Roman"/>
          <w:sz w:val="20"/>
        </w:rPr>
        <w:t xml:space="preserve"> shall survive the resignation and/or replacement of the Administrative Agent, any assignment of rights by, or the replacement of, a Lender, the termination of the Commitments and the repayment, satisfaction or discharge of all other Loan Document Obligations. </w:t>
      </w:r>
    </w:p>
    <w:p>
      <w:pPr>
        <w:pStyle w:val="TextBody"/>
        <w:bidi w:val="0"/>
        <w:spacing w:before="36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29 CFR § 2510.3-101, as modified by Section 3(42) of ERISA) of one or more Benefit Plans in connection with the Loans, the Letters of Credit or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and (C) the entrance into, participation in, administration of and performance of the Loans, the Letters of Credit, the Commitments and this Agreement satisfies the requirements of sub-sections (a) through (g) of Part I of PTE 84-14.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Agent and their respective Affiliates, and not, for the avoidance of doubt, to or for the benefit of Bidco or any other Loan Party,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Holdings, Bidco, a Borrower, the Administrative Agent, any Issuing Bank or the Swingline Lender, to the address, fax number, e-mail address or telephone number specified for such Person on </w:t>
      </w:r>
      <w:r>
        <w:rPr>
          <w:rFonts w:ascii="Times New Roman" w:hAnsi="Times New Roman"/>
          <w:sz w:val="20"/>
          <w:u w:val="single"/>
        </w:rPr>
        <w:t>Schedule 9.01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Bidco).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any Issuing Bank or the Swingline Lender pursuant to </w:t>
      </w:r>
      <w:r>
        <w:rPr>
          <w:rFonts w:ascii="Times New Roman" w:hAnsi="Times New Roman"/>
          <w:sz w:val="20"/>
          <w:u w:val="single"/>
        </w:rPr>
        <w:t>Article II</w:t>
      </w:r>
      <w:r>
        <w:rPr>
          <w:rFonts w:ascii="Times New Roman" w:hAnsi="Times New Roman"/>
          <w:sz w:val="20"/>
        </w:rPr>
        <w:t xml:space="preserve"> if such Lender, the Issuing Bank or Swingline Lender, as applicable, has notified the Administrative Agent that it is incapable of receiving notices under such Article by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Holdings, Bidco, the Borrowers, any Lender, any Issuing Bank or any other Person for losses, claims, damages, liabilities or expenses of any kind (whether in tort, contract or otherwise) arising out of Bidco,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Holdings, Bidco, the Borrowers, any Lender, any Issuing Bank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Holdings, Bidco, the Borrowers, the Administrative Agent, any Issuing Bank and the Swingline Lender may change its address, electronic mail address, fax or telephone number, if applicable, for notices and other communications or website hereunder by notice to the other parties hereto. Each other Lender may change its address, fax or telephone number for notices and other communications hereunder by notice to Bidco, the Borrowers, the Administrative Agent, any Issuing Bank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Issuing Bank and Lenders</w:t>
      </w:r>
      <w:r>
        <w:rPr>
          <w:rFonts w:ascii="Times New Roman" w:hAnsi="Times New Roman"/>
          <w:sz w:val="20"/>
        </w:rPr>
        <w:t xml:space="preserve">. The Administrative Agent, each Issuing Bank and the Lenders shall be entitled to rely and act upon any notices purportedly given by or on behalf of Bidco or the Borrowers even if (i) such notices were not made in a manner specified herein, were incomplete or were not preceded or followed by any other form of notice specified herein, or (ii) the terms thereof, as understood by the recipient, varied from any confirmation thereof. Bidco shall indemnify the Administrative Agent, each Issuing Bank, each Lender and the Related Parties from all losses, costs, expenses and liabilities resulting from the reliance by such Person on each notice purportedly given by or on behalf of Bidco in the absence of gross negligence or willful misconduct as determined in a final and non-appealable judgment by a court of competent jurisdiction. All telephonic communications with the Administrative Agent may be recorded by the Administrative Agent and each of the parties hereto hereby consents to such recording. </w:t>
      </w:r>
    </w:p>
    <w:p>
      <w:pPr>
        <w:pStyle w:val="TextBody"/>
        <w:bidi w:val="0"/>
        <w:spacing w:before="36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w:t>
      </w:r>
      <w:r>
        <w:rPr>
          <w:rFonts w:ascii="Times New Roman" w:hAnsi="Times New Roman"/>
          <w:sz w:val="20"/>
          <w:u w:val="single"/>
        </w:rPr>
        <w:t>Section 9.02</w:t>
      </w:r>
      <w:r>
        <w:rPr>
          <w:rFonts w:ascii="Times New Roman" w:hAnsi="Times New Roman"/>
          <w:sz w:val="20"/>
        </w:rPr>
        <w:t xml:space="preserve">,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Bidco or Holdings in any case shall entitle Bidco or Holdings to any other or further notice or demand in similar or other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2.19</w:t>
      </w:r>
      <w:r>
        <w:rPr>
          <w:rFonts w:ascii="Times New Roman" w:hAnsi="Times New Roman"/>
          <w:sz w:val="20"/>
        </w:rPr>
        <w:t xml:space="preserve"> with respect to any Incremental Facility Amendment, </w:t>
      </w:r>
      <w:r>
        <w:rPr>
          <w:rFonts w:ascii="Times New Roman" w:hAnsi="Times New Roman"/>
          <w:sz w:val="20"/>
          <w:u w:val="single"/>
        </w:rPr>
        <w:t>Section 2.20</w:t>
      </w:r>
      <w:r>
        <w:rPr>
          <w:rFonts w:ascii="Times New Roman" w:hAnsi="Times New Roman"/>
          <w:sz w:val="20"/>
        </w:rPr>
        <w:t xml:space="preserve"> with respect to any Refinancing Amendment or </w:t>
      </w:r>
      <w:r>
        <w:rPr>
          <w:rFonts w:ascii="Times New Roman" w:hAnsi="Times New Roman"/>
          <w:sz w:val="20"/>
          <w:u w:val="single"/>
        </w:rPr>
        <w:t>Section 2.23</w:t>
      </w:r>
      <w:r>
        <w:rPr>
          <w:rFonts w:ascii="Times New Roman" w:hAnsi="Times New Roman"/>
          <w:sz w:val="20"/>
        </w:rPr>
        <w:t xml:space="preserve"> with respect to any Permitted Amendment, neither this Agreement, any Loan Document nor any provision hereof or thereof may be waived, amended or modified except, in the case of this Agreement, pursuant to an agreement or agreements in writing entered into by Holdings, Bidco, the Borrowers,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(other than with respect to any waiver, amendment or modification contemplated in the first proviso below)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hAnsi="Times New Roman"/>
          <w:sz w:val="20"/>
          <w:u w:val="single"/>
        </w:rPr>
        <w:t>provided</w:t>
      </w:r>
      <w:r>
        <w:rPr>
          <w:rFonts w:ascii="Times New Roman" w:hAnsi="Times New Roman"/>
          <w:sz w:val="20"/>
        </w:rPr>
        <w:t xml:space="preserve"> that no such agreement shall (i) increase the Commitment of any Lender without the written consent of such Lender (it being understood that a waiver of any condition precedent set forth in </w:t>
      </w:r>
      <w:r>
        <w:rPr>
          <w:rFonts w:ascii="Times New Roman" w:hAnsi="Times New Roman"/>
          <w:sz w:val="20"/>
          <w:u w:val="single"/>
        </w:rPr>
        <w:t>Section 4.02</w:t>
      </w:r>
      <w:r>
        <w:rPr>
          <w:rFonts w:ascii="Times New Roman" w:hAnsi="Times New Roman"/>
          <w:sz w:val="20"/>
        </w:rPr>
        <w:t xml:space="preserve">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Borrowers for the LC Exposure at such time (it being understood that a waiver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hAnsi="Times New Roman"/>
          <w:sz w:val="20"/>
          <w:u w:val="single"/>
        </w:rPr>
        <w:t>provided</w:t>
      </w:r>
      <w:r>
        <w:rPr>
          <w:rFonts w:ascii="Times New Roman" w:hAnsi="Times New Roman"/>
          <w:sz w:val="20"/>
        </w:rPr>
        <w:t xml:space="preserve"> that only the consent of the Required Lenders shall be necessary to waive any obligation of the Borrowers to pay default interest pursuant to </w:t>
      </w:r>
      <w:r>
        <w:rPr>
          <w:rFonts w:ascii="Times New Roman" w:hAnsi="Times New Roman"/>
          <w:sz w:val="20"/>
          <w:u w:val="single"/>
        </w:rPr>
        <w:t>Section 2.12(c)</w:t>
      </w:r>
      <w:r>
        <w:rPr>
          <w:rFonts w:ascii="Times New Roman" w:hAnsi="Times New Roman"/>
          <w:sz w:val="20"/>
        </w:rPr>
        <w:t xml:space="preserve">,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w:t>
      </w:r>
      <w:r>
        <w:rPr>
          <w:rFonts w:ascii="Times New Roman" w:hAnsi="Times New Roman"/>
          <w:sz w:val="20"/>
          <w:u w:val="single"/>
        </w:rPr>
        <w:t>Section 2.09</w:t>
      </w:r>
      <w:r>
        <w:rPr>
          <w:rFonts w:ascii="Times New Roman" w:hAnsi="Times New Roman"/>
          <w:sz w:val="20"/>
        </w:rPr>
        <w:t xml:space="preserve">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this </w:t>
      </w:r>
      <w:r>
        <w:rPr>
          <w:rFonts w:ascii="Times New Roman" w:hAnsi="Times New Roman"/>
          <w:sz w:val="20"/>
          <w:u w:val="single"/>
        </w:rPr>
        <w:t>Section 9.02</w:t>
      </w:r>
      <w:r>
        <w:rPr>
          <w:rFonts w:ascii="Times New Roman" w:hAnsi="Times New Roman"/>
          <w:sz w:val="20"/>
        </w:rPr>
        <w:t xml:space="preserve"> without the written consent of each Lender directly and adversely affected thereby; </w:t>
      </w:r>
      <w:r>
        <w:rPr>
          <w:rFonts w:ascii="Times New Roman" w:hAnsi="Times New Roman"/>
          <w:sz w:val="20"/>
          <w:u w:val="single"/>
        </w:rPr>
        <w:t>provided</w:t>
      </w:r>
      <w:r>
        <w:rPr>
          <w:rFonts w:ascii="Times New Roman" w:hAnsi="Times New Roman"/>
          <w:sz w:val="20"/>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Guarantee Agreement (except as expressly provided in the Loan Documents) without the written consent of each Lender (other than a Defaulting Lender), or (vii) release all or substantially all the Collateral from the Liens of the Security Documents, without the written consent of each Lender (other than a Defaulting Lender), except as expressly provided in the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no such agreement shall amend, modify or otherwise affect the rights or duties of the Administrative Agent or any Issuing Bank or the Swingline Lender without the prior written consent of the Administrative Agent, such Issuing Bank or the Swingline Lender, as the case may be, (B) any provision of this Agreement or any other Loan Document may be amended by an agreement in writing entered into by Holdings, Bidco, the Borrowers and the Administrative Agent to cure any ambiguity, omission, mistake, defect or inconsistency (as reasonably determined by the Administrative Agent and Bidco)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Bidco, the Borrowers and the requisite percentage in interest of the affected Class of Lenders stating that would be required to consent thereto under this </w:t>
      </w:r>
      <w:r>
        <w:rPr>
          <w:rFonts w:ascii="Times New Roman" w:hAnsi="Times New Roman"/>
          <w:sz w:val="20"/>
          <w:u w:val="single"/>
        </w:rPr>
        <w:t>Section 9.02</w:t>
      </w:r>
      <w:r>
        <w:rPr>
          <w:rFonts w:ascii="Times New Roman" w:hAnsi="Times New Roman"/>
          <w:sz w:val="20"/>
        </w:rPr>
        <w:t xml:space="preserve"> if such Class of Lenders were the only Class of Lenders hereunder at the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this Agreement may be amended (or amended and restated) with the written consent of the Required Lenders, the Administrative Agent, Holdings, Bidco and the Borrowers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same basis as the Lenders prior to such inclusion and (B) guarantees, collateral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Bidco without the need to obtain the consent of any other Lender if such amendment or waiver is delivered in order (i) to comply with local law or advice of local counsel, (ii) to cure ambiguities, defects, omissions or inconsistencies or to make related modifications to provisions of other Loan Documents, (iii) to cause any guarantee, collateral security document or other document to be consistent with this Agreement and the other Loan Documents, (iv) to give effect to the provisions of </w:t>
      </w:r>
      <w:r>
        <w:rPr>
          <w:rFonts w:ascii="Times New Roman" w:hAnsi="Times New Roman"/>
          <w:sz w:val="20"/>
          <w:u w:val="single"/>
        </w:rPr>
        <w:t>Section 2.13(b)</w:t>
      </w:r>
      <w:r>
        <w:rPr>
          <w:rFonts w:ascii="Times New Roman" w:hAnsi="Times New Roman"/>
          <w:sz w:val="20"/>
        </w:rPr>
        <w:t xml:space="preserve"> or (v) to integrate any Incremental Facility or Credit Agreement Refinancing Indebtedness in a manner consistent with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(c) In connection with any proposed amendment, modification, waiver or termination (a “</w:t>
      </w:r>
      <w:r>
        <w:rPr>
          <w:rFonts w:ascii="Times New Roman" w:hAnsi="Times New Roman"/>
          <w:sz w:val="20"/>
          <w:u w:val="single"/>
        </w:rPr>
        <w:t>Proposed Change</w:t>
      </w:r>
      <w:r>
        <w:rPr>
          <w:rFonts w:ascii="Times New Roman" w:hAnsi="Times New Roman"/>
          <w:sz w:val="20"/>
        </w:rPr>
        <w:t xml:space="preserve">”) requiring the consent of all Lenders or all directly and adversely affected Lenders, if the consent of the Required Lenders (and, to the extent any Proposed Change requires the consent of Lenders holding Loans of any Class pursuant to clause (iv) of paragraph (b) of this </w:t>
      </w:r>
      <w:r>
        <w:rPr>
          <w:rFonts w:ascii="Times New Roman" w:hAnsi="Times New Roman"/>
          <w:sz w:val="20"/>
          <w:u w:val="single"/>
        </w:rPr>
        <w:t>Section 9.02</w:t>
      </w:r>
      <w:r>
        <w:rPr>
          <w:rFonts w:ascii="Times New Roman" w:hAnsi="Times New Roman"/>
          <w:sz w:val="20"/>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w:t>
      </w:r>
      <w:r>
        <w:rPr>
          <w:rFonts w:ascii="Times New Roman" w:hAnsi="Times New Roman"/>
          <w:sz w:val="20"/>
          <w:u w:val="single"/>
        </w:rPr>
        <w:t>Section 9.02</w:t>
      </w:r>
      <w:r>
        <w:rPr>
          <w:rFonts w:ascii="Times New Roman" w:hAnsi="Times New Roman"/>
          <w:sz w:val="20"/>
        </w:rPr>
        <w:t xml:space="preserve"> being referred to as a “</w:t>
      </w:r>
      <w:r>
        <w:rPr>
          <w:rFonts w:ascii="Times New Roman" w:hAnsi="Times New Roman"/>
          <w:sz w:val="20"/>
          <w:u w:val="single"/>
        </w:rPr>
        <w:t>Non-Consenting Lender</w:t>
      </w:r>
      <w:r>
        <w:rPr>
          <w:rFonts w:ascii="Times New Roman" w:hAnsi="Times New Roman"/>
          <w:sz w:val="20"/>
        </w:rPr>
        <w:t xml:space="preserve">”), then, so long as the Lender that is acting as Administrative Agent is not a Non-Consenting Lender, Bidco or any Borrower may, at its option and at its sole expense and effort, upon notice to such Non-Consenting Lender and the Administrative Agent, either (i) if no Specified Event of Default exists, permanently prepay all of the Loans of any Class owing by it to, and terminating any Commitments of, such Non-Consenting Lender or (ii) require such Non-Consenting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to an Eligible Assignee that shall assume such obligations (which Eligible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with respect to this clause (ii), (a) Bidco shall have received the prior written consent of the Administrative Agent to the extent such consent would be required under </w:t>
      </w:r>
      <w:r>
        <w:rPr>
          <w:rFonts w:ascii="Times New Roman" w:hAnsi="Times New Roman"/>
          <w:sz w:val="20"/>
          <w:u w:val="single"/>
        </w:rPr>
        <w:t>Section 9.04(b)</w:t>
      </w:r>
      <w:r>
        <w:rPr>
          <w:rFonts w:ascii="Times New Roman" w:hAnsi="Times New Roman"/>
          <w:sz w:val="20"/>
        </w:rPr>
        <w:t xml:space="preserve">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w:t>
      </w:r>
      <w:r>
        <w:rPr>
          <w:rFonts w:ascii="Times New Roman" w:hAnsi="Times New Roman"/>
          <w:sz w:val="20"/>
          <w:u w:val="single"/>
        </w:rPr>
        <w:t>Section 2.10(a)(i)</w:t>
      </w:r>
      <w:r>
        <w:rPr>
          <w:rFonts w:ascii="Times New Roman" w:hAnsi="Times New Roman"/>
          <w:sz w:val="20"/>
        </w:rPr>
        <w:t xml:space="preserve">) from the Eligible Assignee (to the extent of such outstanding principal and accrued interest and fees) or the Borrowers (in the case of all other amounts) and (c) unless waived, the Borrowers or such Eligible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Each party hereto agrees that an assignment required pursuant to this </w:t>
      </w:r>
      <w:r>
        <w:rPr>
          <w:rFonts w:ascii="Times New Roman" w:hAnsi="Times New Roman"/>
          <w:sz w:val="20"/>
          <w:u w:val="single"/>
        </w:rPr>
        <w:t>Section 9.02(c)</w:t>
      </w:r>
      <w:r>
        <w:rPr>
          <w:rFonts w:ascii="Times New Roman" w:hAnsi="Times New Roman"/>
          <w:sz w:val="20"/>
        </w:rPr>
        <w:t xml:space="preserve"> may be effected pursuant to an Assignment and Assumption executed by Bidco or a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w:t>
      </w:r>
      <w:r>
        <w:rPr>
          <w:rFonts w:ascii="Times New Roman" w:hAnsi="Times New Roman"/>
          <w:sz w:val="20"/>
          <w:u w:val="single"/>
        </w:rPr>
        <w:t>Section 9.04</w:t>
      </w:r>
      <w:r>
        <w:rPr>
          <w:rFonts w:ascii="Times New Roman" w:hAnsi="Times New Roman"/>
          <w:sz w:val="20"/>
        </w:rPr>
        <w:t xml:space="preserve"> on behalf of a Non-Consenting Lender and any such documentation so executed by the Administrative Agent shall be effective for purposes of documenting an assignment pursuant to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Agreement or the other Loan Documents to the contrary, (i)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affected Lenders of a Class), a Majority in Interest of Lenders of any Class or the Required Lenders have taken or may take any action hereunder (including any consent to any amendment or waiver pursuant to this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Disqualified Lender shall have any right to approve or disapprove any amendment, waiver or consent hereunder or under any of the Loan Documents other than as expressly provided in </w:t>
      </w:r>
      <w:r>
        <w:rPr>
          <w:rFonts w:ascii="Times New Roman" w:hAnsi="Times New Roman"/>
          <w:sz w:val="20"/>
          <w:u w:val="single"/>
        </w:rPr>
        <w:t>Section 9.04(h)</w:t>
      </w:r>
      <w:r>
        <w:rPr>
          <w:rFonts w:ascii="Times New Roman" w:hAnsi="Times New Roman"/>
          <w:b/>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or the other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hAnsi="Times New Roman"/>
          <w:sz w:val="20"/>
          <w:u w:val="single"/>
        </w:rPr>
        <w:t>provided</w:t>
      </w:r>
      <w:r>
        <w:rPr>
          <w:rFonts w:ascii="Times New Roman" w:hAnsi="Times New Roman"/>
          <w:sz w:val="20"/>
        </w:rPr>
        <w:t xml:space="preserve"> that such Affiliated Lender shall be entitled to vote in accordance with its sole discretion in connection with any plan of reorganization (a)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Bidco, (b) that would deprive such Affiliated Lender of its pro rata share of any payments to which it is entitled or (c) if such plan of reorganization requires the consent of each Lender or each affected Lender.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or the other Loan Documents to the contrary, only the consent of the Required Revolving Lenders shall be necessary to (1) waive or consent to a waiver of an Event of Default under </w:t>
      </w:r>
      <w:r>
        <w:rPr>
          <w:rFonts w:ascii="Times New Roman" w:hAnsi="Times New Roman"/>
          <w:sz w:val="20"/>
          <w:u w:val="single"/>
        </w:rPr>
        <w:t>Section 7.01(d)(ii)</w:t>
      </w:r>
      <w:r>
        <w:rPr>
          <w:rFonts w:ascii="Times New Roman" w:hAnsi="Times New Roman"/>
          <w:sz w:val="20"/>
        </w:rPr>
        <w:t xml:space="preserve"> or waive or amend the conditions set forth in </w:t>
      </w:r>
      <w:r>
        <w:rPr>
          <w:rFonts w:ascii="Times New Roman" w:hAnsi="Times New Roman"/>
          <w:sz w:val="20"/>
          <w:u w:val="single"/>
        </w:rPr>
        <w:t>Section 4.02</w:t>
      </w:r>
      <w:r>
        <w:rPr>
          <w:rFonts w:ascii="Times New Roman" w:hAnsi="Times New Roman"/>
          <w:sz w:val="20"/>
        </w:rPr>
        <w:t xml:space="preserve"> (and </w:t>
      </w:r>
      <w:r>
        <w:rPr>
          <w:rFonts w:ascii="Times New Roman" w:hAnsi="Times New Roman"/>
          <w:sz w:val="20"/>
          <w:u w:val="single"/>
        </w:rPr>
        <w:t>Section 4.02</w:t>
      </w:r>
      <w:r>
        <w:rPr>
          <w:rFonts w:ascii="Times New Roman" w:hAnsi="Times New Roman"/>
          <w:sz w:val="20"/>
        </w:rPr>
        <w:t xml:space="preserve"> may not be waived or amended in a manner that affects the making of any Revolving Borrowing without the consent of the Required Revolving Lenders), (2) modify or amend </w:t>
      </w:r>
      <w:r>
        <w:rPr>
          <w:rFonts w:ascii="Times New Roman" w:hAnsi="Times New Roman"/>
          <w:sz w:val="20"/>
          <w:u w:val="single"/>
        </w:rPr>
        <w:t>Section 6.07</w:t>
      </w:r>
      <w:r>
        <w:rPr>
          <w:rFonts w:ascii="Times New Roman" w:hAnsi="Times New Roman"/>
          <w:sz w:val="20"/>
        </w:rPr>
        <w:t xml:space="preserve"> (and </w:t>
      </w:r>
      <w:r>
        <w:rPr>
          <w:rFonts w:ascii="Times New Roman" w:hAnsi="Times New Roman"/>
          <w:sz w:val="20"/>
          <w:u w:val="single"/>
        </w:rPr>
        <w:t>Section 6.07</w:t>
      </w:r>
      <w:r>
        <w:rPr>
          <w:rFonts w:ascii="Times New Roman" w:hAnsi="Times New Roman"/>
          <w:sz w:val="20"/>
        </w:rPr>
        <w:t xml:space="preserve"> may not be modified or amended without the consent of the Required Revolving Lenders) or </w:t>
      </w:r>
      <w:r>
        <w:rPr>
          <w:rFonts w:ascii="Times New Roman" w:hAnsi="Times New Roman"/>
          <w:sz w:val="20"/>
          <w:u w:val="single"/>
        </w:rPr>
        <w:t>Section 7.02</w:t>
      </w:r>
      <w:r>
        <w:rPr>
          <w:rFonts w:ascii="Times New Roman" w:hAnsi="Times New Roman"/>
          <w:sz w:val="20"/>
        </w:rPr>
        <w:t xml:space="preserve">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in this Agreement or the other Loan Documents to the contrary, this Agreement may be amended, supplemented or otherwise modified to effect any requisite changes to the definition of “LIBO Rate” as set forth therein and such other related changes as may be applicable thereto, in each case, with only the consent of the Persons set forth in such definition of “LIBO Rate”. </w:t>
      </w:r>
    </w:p>
    <w:p>
      <w:pPr>
        <w:pStyle w:val="TextBody"/>
        <w:bidi w:val="0"/>
        <w:spacing w:before="36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pay, if the Effective Date occurs and the Transactions have been consummated, (i) all reasonable and documented and invoiced out-of-pocket costs and expenses incurred by the Administrative Agent, the Joint Lead Arrangers, each Issuing Bank, the Swingline Lender, the Lenders and their respective Affiliates (without duplication) (limited, in the case of (x) legal fees and expenses, to the reasonable and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necessary, one local counsel in each relevant material jurisdiction (which may include a single local counsel acting in multiple jurisdictions) and, in the case of an actual or perceived conflict of interest where the Administrative Agent, each Issuing Bank or any Lender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 each case for the 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Administrative Agent, each Issuing Bank or any Lender, including the fees, charges and disbursements of counsel for the Administrative Agent, the Issuing Banks and the Lenders (without duplication) (limited, in the case of (x) legal fees and expenses, to the reasonable, documented and invoiced fees, charges and disbursements of one primary counsel and to the extent reasonably determined by the Administrative Agent to be necessary, one local counsel in each relevant material jurisdiction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Bidco’s written consent (such consent not to be unreasonably withheld or delayed), in connection with the enforcement or protection of any rights or remedies (A) in connection with the Loan Documents (including all such costs and expenses incurred during any legal proceeding, including any proceeding under any Debtor Relief Laws), including its rights under this </w:t>
      </w:r>
      <w:r>
        <w:rPr>
          <w:rFonts w:ascii="Times New Roman" w:hAnsi="Times New Roman"/>
          <w:sz w:val="20"/>
          <w:u w:val="single"/>
        </w:rPr>
        <w:t>Section 9.03</w:t>
      </w:r>
      <w:r>
        <w:rPr>
          <w:rFonts w:ascii="Times New Roman" w:hAnsi="Times New Roman"/>
          <w:sz w:val="20"/>
        </w:rPr>
        <w:t xml:space="preserve"> or (B) in connection with the Loans made or Letters of Credit issued hereunder, including all such out-of-pocket costs and expenses incurred during any workout, restructuring or negotiations in respect of such Loans or Letters of Credit. </w:t>
      </w:r>
    </w:p>
    <w:p>
      <w:pPr>
        <w:pStyle w:val="TextBody"/>
        <w:bidi w:val="0"/>
        <w:spacing w:before="240" w:after="0"/>
        <w:jc w:val="left"/>
        <w:rPr>
          <w:rFonts w:ascii="Times New Roman" w:hAnsi="Times New Roman"/>
          <w:sz w:val="20"/>
        </w:rPr>
      </w:pPr>
      <w:r>
        <w:rPr>
          <w:rFonts w:ascii="Times New Roman" w:hAnsi="Times New Roman"/>
          <w:sz w:val="20"/>
        </w:rPr>
        <w:t>(b) Without duplication of the expense reimbursement obligations pursuant to clause (a) above, the Borrowers shall indemnify the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incurred by or asserted against any Indemnitee by any third party or by Bidco, any Intermediate Parent, Holdings or any Subsidiary to the extent arising out of, in connection with, or as a result of any actual or prospective claim, litigation, investigation or proceeding, whether based on contract, tort or any other theory, whether brought by a third party or by Bidco, any Intermediate Parent, Holdings or any Subsidiary or their Affiliates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regardless of whether any Indemnitee is a party thereto relating to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or the syndication of the credit facilities provided for herein, (ii) any Loan or Letter of Credit or the use of the proceeds therefrom or (iii) to the extent in any way arising from or relating to any of the foregoing, any Release or threat of Release of Hazardous Materials on, at, to or from any real property or facility owned, leased or operated by Holdings, any Intermediate Parent, Bidco or any Subsidiary, or any other Environmental Liability of Holdings, any Intermediate Parent, Bidco or any Subsidiary;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Loan Documents by such Indemnitee or its Related Parties (as determined by a court of competent jurisdiction in a final and non-appealable judgment), (y) arise from disputes between or among Indemnitees (other than disputes involving claims against the Administrative Agent, the Collateral Agent or the Joint Lead Arrangers, any Issuing Bank or the Swingline Lender, in each case, in their respective capacities) that do not involve an act or omission by Holdings, Bidco or any Restricted Subsidiary or (z) resulted from any settlement effected without Bidco’s prior written consent (such consent not to be unreasonably withheld or delayed), but if settled with Bidco’s prior written consent, Bidco will indemnify and hold harmless each Indemnitee from and against any and all losses, claims, damages, liabilities and expenses by reason of such settlement in accordance with this paragraph;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Bidco shall not, without the prior written consent of the applicable Indemnitee (which consent shall not be unreasonably withheld, delayed or conditioned), effect any settlement of any pending or threatened claim, litigation, investigation or proceeding in respect of which indemnity could have been sought hereunder by such Indemnitee unless (a) such settlement includes a full and unconditional release of such Indemnitee in form and substance reasonably satisfactory to such Indemnitee from all liability on claims that are the subject matter of such claim, litigation, investigation or proceeding and (b) does not include any statement as to or any admission of fault, culpability or a failure to act by or on behalf of such Indemnitee and (2) to the extent of any amounts paid to an Indemnitee in respect of this </w:t>
      </w:r>
      <w:r>
        <w:rPr>
          <w:rFonts w:ascii="Times New Roman" w:hAnsi="Times New Roman"/>
          <w:sz w:val="20"/>
          <w:u w:val="single"/>
        </w:rPr>
        <w:t>Section 9.03</w:t>
      </w:r>
      <w:r>
        <w:rPr>
          <w:rFonts w:ascii="Times New Roman" w:hAnsi="Times New Roman"/>
          <w:sz w:val="20"/>
        </w:rPr>
        <w:t xml:space="preserve">, such Indemnitee, by its acceptance of the benefits hereof, agrees to refund and return any and all amounts paid by the Borrowers to it if, pursuant to the operation of any of the foregoing clauses (w) through (z), such Indemnitee was not entitled to receipt of such amount.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Borrowers fail to pay any amount required to be paid by it to any Agent or any Lender under paragraph (a) or (b) of this </w:t>
      </w:r>
      <w:r>
        <w:rPr>
          <w:rFonts w:ascii="Times New Roman" w:hAnsi="Times New Roman"/>
          <w:sz w:val="20"/>
          <w:u w:val="single"/>
        </w:rPr>
        <w:t>Section 9.03</w:t>
      </w:r>
      <w:r>
        <w:rPr>
          <w:rFonts w:ascii="Times New Roman" w:hAnsi="Times New Roman"/>
          <w:sz w:val="20"/>
        </w:rPr>
        <w:t xml:space="preserve">, each Lender severally agrees to pay to such Agent or such Lender, as the case may be, such Lender’s pro rata share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such Agent or such Lender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w:t>
      </w:r>
      <w:r>
        <w:rPr>
          <w:rFonts w:ascii="Times New Roman" w:hAnsi="Times New Roman"/>
          <w:sz w:val="20"/>
          <w:u w:val="single"/>
        </w:rPr>
        <w:t>Section 2.02(a)</w:t>
      </w:r>
      <w:r>
        <w:rPr>
          <w:rFonts w:ascii="Times New Roman" w:hAnsi="Times New Roman"/>
          <w:sz w:val="20"/>
        </w:rPr>
        <w:t xml:space="preserve"> (which shall apply </w:t>
      </w:r>
      <w:r>
        <w:rPr>
          <w:rFonts w:ascii="Times New Roman" w:hAnsi="Times New Roman"/>
          <w:i/>
          <w:sz w:val="20"/>
        </w:rPr>
        <w:t>mutatis mutandis</w:t>
      </w:r>
      <w:r>
        <w:rPr>
          <w:rFonts w:ascii="Times New Roman" w:hAnsi="Times New Roman"/>
          <w:sz w:val="20"/>
        </w:rPr>
        <w:t xml:space="preserve"> to the Lenders’ obligations under this paragraph (c)).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the Borrowers fail to pay any amount required to be paid by it to any Issuing Bank under paragraph (a) or (b) of this </w:t>
      </w:r>
      <w:r>
        <w:rPr>
          <w:rFonts w:ascii="Times New Roman" w:hAnsi="Times New Roman"/>
          <w:sz w:val="20"/>
          <w:u w:val="single"/>
        </w:rPr>
        <w:t>Section 9.03</w:t>
      </w:r>
      <w:r>
        <w:rPr>
          <w:rFonts w:ascii="Times New Roman" w:hAnsi="Times New Roman"/>
          <w:sz w:val="20"/>
        </w:rPr>
        <w:t xml:space="preserve">, each Revolving Lender severally agrees to pay to such Issuing Bank such Revolving Lender’s pro rata share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such Issuing Bank in its capacity as such. For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hereof, a Revolving Lender’s “pro rata share” shall be determined based upon its share of the aggregate Revolving Exposures. The obligations of the Revolving Lenders under this paragraph (d) are subject to the last sentence of </w:t>
      </w:r>
      <w:r>
        <w:rPr>
          <w:rFonts w:ascii="Times New Roman" w:hAnsi="Times New Roman"/>
          <w:sz w:val="20"/>
          <w:u w:val="single"/>
        </w:rPr>
        <w:t>Section 2.02(a)</w:t>
      </w:r>
      <w:r>
        <w:rPr>
          <w:rFonts w:ascii="Times New Roman" w:hAnsi="Times New Roman"/>
          <w:sz w:val="20"/>
        </w:rPr>
        <w:t xml:space="preserve"> (which shall apply </w:t>
      </w:r>
      <w:r>
        <w:rPr>
          <w:rFonts w:ascii="Times New Roman" w:hAnsi="Times New Roman"/>
          <w:i/>
          <w:sz w:val="20"/>
        </w:rPr>
        <w:t>mutatis mutandis</w:t>
      </w:r>
      <w:r>
        <w:rPr>
          <w:rFonts w:ascii="Times New Roman" w:hAnsi="Times New Roman"/>
          <w:sz w:val="20"/>
        </w:rPr>
        <w:t xml:space="preserve"> to the Revolving Lenders’ obligations under this paragraph (d)).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loss of profits, business or anticipated savings) (whether or not the claim therefor is based on contract, tort or duty imposed by any applicable legal requirement)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hAnsi="Times New Roman"/>
          <w:sz w:val="20"/>
          <w:u w:val="single"/>
        </w:rPr>
        <w:t>provided</w:t>
      </w:r>
      <w:r>
        <w:rPr>
          <w:rFonts w:ascii="Times New Roman" w:hAnsi="Times New Roman"/>
          <w:sz w:val="20"/>
        </w:rPr>
        <w:t xml:space="preserve"> that the foregoing shall in no event limit the Borrowers’ indemnification obligations under clause (b) above. </w:t>
      </w:r>
    </w:p>
    <w:p>
      <w:pPr>
        <w:pStyle w:val="TextBody"/>
        <w:bidi w:val="0"/>
        <w:spacing w:before="240" w:after="0"/>
        <w:jc w:val="left"/>
        <w:rPr>
          <w:rFonts w:ascii="Times New Roman" w:hAnsi="Times New Roman"/>
          <w:sz w:val="20"/>
        </w:rPr>
      </w:pPr>
      <w:r>
        <w:rPr>
          <w:rFonts w:ascii="Times New Roman" w:hAnsi="Times New Roman"/>
          <w:sz w:val="20"/>
        </w:rPr>
        <w:t xml:space="preserve">(f) In case any proceeding is instituted involving any Indemnitee for which indemnification is to be sought hereunder by such Indemnitee, then such Indemnitee will promptly notify Bidco and the Borrowers of the commencement of any proceeding;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do so will not relieve the Borrowers from any liability that it may have to such Indemnitee hereunder, except to the extent that the Borrowers are materially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Agreement, to the extent permitted by applicable law, no party hereto nor any Indemnitee shall assert, and each hereby waives, any claim against any other Person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except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(h) All amounts due under this </w:t>
      </w:r>
      <w:r>
        <w:rPr>
          <w:rFonts w:ascii="Times New Roman" w:hAnsi="Times New Roman"/>
          <w:sz w:val="20"/>
          <w:u w:val="single"/>
        </w:rPr>
        <w:t>Section 9.03</w:t>
      </w:r>
      <w:r>
        <w:rPr>
          <w:rFonts w:ascii="Times New Roman" w:hAnsi="Times New Roman"/>
          <w:sz w:val="20"/>
        </w:rPr>
        <w:t xml:space="preserve"> shall be payable not later than ten (10) Business Days after written demand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or otherwise transfer any of their rights or obligations hereunder without the prior written consent of each Lender, each Issuing Bank and the acknowledgement of the Administrative Agent (and any attempted assignment or transfer by the Borrowers without such consent shall be null and void), (ii) no assignment shall be made to any Defaulting Lender or any of its Subsidiaries, or any Persons who, upon becoming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hereunder, would constitute any of the foregoing Persons described in this clause (ii) and (iii) no Lender may assign or otherwise transfer its rights or obligations hereunder except in accordance with this </w:t>
      </w:r>
      <w:r>
        <w:rPr>
          <w:rFonts w:ascii="Times New Roman" w:hAnsi="Times New Roman"/>
          <w:sz w:val="20"/>
          <w:u w:val="single"/>
        </w:rPr>
        <w:t>Section 9.04</w:t>
      </w:r>
      <w:r>
        <w:rPr>
          <w:rFonts w:ascii="Times New Roman" w:hAnsi="Times New Roman"/>
          <w:sz w:val="20"/>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w:t>
      </w:r>
      <w:r>
        <w:rPr>
          <w:rFonts w:ascii="Times New Roman" w:hAnsi="Times New Roman"/>
          <w:sz w:val="20"/>
          <w:u w:val="single"/>
        </w:rPr>
        <w:t>Section 9.04)</w:t>
      </w:r>
      <w:r>
        <w:rPr>
          <w:rFonts w:ascii="Times New Roman" w:hAnsi="Times New Roman"/>
          <w:sz w:val="20"/>
        </w:rPr>
        <w:t xml:space="preserve">, the Indemnitees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 Subject to the conditions set forth in paragraphs (b)(ii), (f) and (j)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Bidco) not to be unreasonably withheld or delayed) of (A) Bidco; </w:t>
      </w:r>
      <w:r>
        <w:rPr>
          <w:rFonts w:ascii="Times New Roman" w:hAnsi="Times New Roman"/>
          <w:sz w:val="20"/>
          <w:u w:val="single"/>
        </w:rPr>
        <w:t>provided</w:t>
      </w:r>
      <w:r>
        <w:rPr>
          <w:rFonts w:ascii="Times New Roman" w:hAnsi="Times New Roman"/>
          <w:sz w:val="20"/>
        </w:rPr>
        <w:t xml:space="preserve"> that no consent of Bidco shall be required for an assignment (w) by any Joint Lead Arranger (or its Affiliate) to the extent that an assignment by such Joint Lead Arranger (or such Affiliate) is made in the primary syndication to Eligible Assignees to whom Bidco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or an Affiliate of a Revolving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assignee contemplated by the immediately preceding proviso shall be entitled to receive any greater payment under </w:t>
      </w:r>
      <w:r>
        <w:rPr>
          <w:rFonts w:ascii="Times New Roman" w:hAnsi="Times New Roman"/>
          <w:sz w:val="20"/>
          <w:u w:val="single"/>
        </w:rPr>
        <w:t>Section 2.14</w:t>
      </w:r>
      <w:r>
        <w:rPr>
          <w:rFonts w:ascii="Times New Roman" w:hAnsi="Times New Roman"/>
          <w:sz w:val="20"/>
        </w:rPr>
        <w:t xml:space="preserve"> than the applicable assignor would have been entitled to receive with respect to the assignment made to such assignee, unless the assignment to such assignee is made with Bidco’s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shall have the right to withhold its consent to any assignment if in order for such assignment to comply with applicable law, Bidco would be required to obtain the consent of, or make any filing or registration with, any Governmental Authority, (B)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a Term Loan to (x) a Lender, an Affiliate of a Lender or an Approved Fund or (y) subject to </w:t>
      </w:r>
      <w:r>
        <w:rPr>
          <w:rFonts w:ascii="Times New Roman" w:hAnsi="Times New Roman"/>
          <w:sz w:val="20"/>
          <w:u w:val="single"/>
        </w:rPr>
        <w:t>Section 9.04(f)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an Affiliated Lender, Holdings, Bidco or any of its Subsidiaries and (C) solely in the case of Revolving Loans and Revolving Commitments, each Issuing Bank and the Swingline Lender (not to be unreasonably withheld or delayed); </w:t>
      </w:r>
      <w:r>
        <w:rPr>
          <w:rFonts w:ascii="Times New Roman" w:hAnsi="Times New Roman"/>
          <w:sz w:val="20"/>
          <w:u w:val="single"/>
        </w:rPr>
        <w:t>provided</w:t>
      </w:r>
      <w:r>
        <w:rPr>
          <w:rFonts w:ascii="Times New Roman" w:hAnsi="Times New Roman"/>
          <w:sz w:val="20"/>
        </w:rPr>
        <w:t xml:space="preserve"> that, for the avoidance of doubt, no consent of any Issuing Bank or the Swingline Lender shall be required for an assignment of all or any portion of a Term Loan or Term Commitment. Notwithstanding anything in this </w:t>
      </w:r>
      <w:r>
        <w:rPr>
          <w:rFonts w:ascii="Times New Roman" w:hAnsi="Times New Roman"/>
          <w:sz w:val="20"/>
          <w:u w:val="single"/>
        </w:rPr>
        <w:t>Section 9.04</w:t>
      </w:r>
      <w:r>
        <w:rPr>
          <w:rFonts w:ascii="Times New Roman" w:hAnsi="Times New Roman"/>
          <w:sz w:val="20"/>
        </w:rPr>
        <w:t xml:space="preserve"> to the contrary, if Bidco has not given the Administrative Agent written notice of its objection to an assignment of Term Loans within ten (10) Business Days after written notice of such assignment, Bidco shall be deemed to have consented to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$2,500,000 (and integral multiples thereof) or, in the case of a Term Loan, $1,000,000 (and integral multiples thereof), unless Bidco and the Administrative Agent otherwise consent (in each case, such consent not to be unreasonably withheld or delayed); </w:t>
      </w:r>
      <w:r>
        <w:rPr>
          <w:rFonts w:ascii="Times New Roman" w:hAnsi="Times New Roman"/>
          <w:sz w:val="20"/>
          <w:u w:val="single"/>
        </w:rPr>
        <w:t>provided</w:t>
      </w:r>
      <w:r>
        <w:rPr>
          <w:rFonts w:ascii="Times New Roman" w:hAnsi="Times New Roman"/>
          <w:sz w:val="20"/>
        </w:rPr>
        <w:t xml:space="preserve"> that no such consent of Bidco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(B) shall not be construed to prohibit assignment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Times New Roman" w:hAnsi="Times New Roman"/>
          <w:sz w:val="20"/>
          <w:u w:val="single"/>
        </w:rPr>
        <w:t>provided</w:t>
      </w:r>
      <w:r>
        <w:rPr>
          <w:rFonts w:ascii="Times New Roman" w:hAnsi="Times New Roman"/>
          <w:sz w:val="20"/>
        </w:rPr>
        <w:t xml:space="preserve"> that the Administrative Agent, in its sole discretion, may elect to waive or reduce such processing and recordation fee;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and Assumption shall include a representation by the assignee that the assignee is not a Disqualified Lender or an Affiliate of a Disqualified Lender; </w:t>
      </w:r>
      <w:r>
        <w:rPr>
          <w:rFonts w:ascii="Times New Roman" w:hAnsi="Times New Roman"/>
          <w:sz w:val="20"/>
          <w:u w:val="single"/>
        </w:rPr>
        <w:t>provided further</w:t>
      </w:r>
      <w:r>
        <w:rPr>
          <w:rFonts w:ascii="Times New Roman" w:hAnsi="Times New Roman"/>
          <w:sz w:val="20"/>
        </w:rPr>
        <w:t xml:space="preserve"> that assignments made pursuant to </w:t>
      </w:r>
      <w:r>
        <w:rPr>
          <w:rFonts w:ascii="Times New Roman" w:hAnsi="Times New Roman"/>
          <w:sz w:val="20"/>
          <w:u w:val="single"/>
        </w:rPr>
        <w:t>Section 2.18(b)</w:t>
      </w:r>
      <w:r>
        <w:rPr>
          <w:rFonts w:ascii="Times New Roman" w:hAnsi="Times New Roman"/>
          <w:sz w:val="20"/>
        </w:rPr>
        <w:t xml:space="preserve"> or </w:t>
      </w:r>
      <w:r>
        <w:rPr>
          <w:rFonts w:ascii="Times New Roman" w:hAnsi="Times New Roman"/>
          <w:sz w:val="20"/>
          <w:u w:val="single"/>
        </w:rPr>
        <w:t>Section 9.02(c)</w:t>
      </w:r>
      <w:r>
        <w:rPr>
          <w:rFonts w:ascii="Times New Roman" w:hAnsi="Times New Roman"/>
          <w:sz w:val="20"/>
        </w:rPr>
        <w:t xml:space="preserve"> shall not require the signature of the assigning Lender to become effective, (D) the assignee, if it shall not be a Lender, shall deliver to the Administrative Agent any tax forms required by </w:t>
      </w:r>
      <w:r>
        <w:rPr>
          <w:rFonts w:ascii="Times New Roman" w:hAnsi="Times New Roman"/>
          <w:sz w:val="20"/>
          <w:u w:val="single"/>
        </w:rPr>
        <w:t>Section 2.16(e)</w:t>
      </w:r>
      <w:r>
        <w:rPr>
          <w:rFonts w:ascii="Times New Roman" w:hAnsi="Times New Roman"/>
          <w:sz w:val="20"/>
        </w:rPr>
        <w:t xml:space="preserve"> and an Administrative Questionnaire in which the assignee designates one or more credit contacts to whom all syndicate-level information (which may contain Material Non-Public Information about Bidco, the Loan Parties and their Related Parties or their respective securities) will be made available and who may receive such information in accordance with the assignee’s compliance procedures and applicable laws, including Federal and state securities laws and (E) unless Bidco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w:t>
      </w:r>
      <w:r>
        <w:rPr>
          <w:rFonts w:ascii="Times New Roman" w:hAnsi="Times New Roman"/>
          <w:sz w:val="20"/>
          <w:u w:val="single"/>
        </w:rPr>
        <w:t>Section 2.04(b)</w:t>
      </w:r>
      <w:r>
        <w:rPr>
          <w:rFonts w:ascii="Times New Roman" w:hAnsi="Times New Roman"/>
          <w:sz w:val="20"/>
        </w:rPr>
        <w:t xml:space="preserve"> by an amount not to exceed the difference between the assignor’s Revolving Commitment prior to such assignment and the assignor’s Revolving Commitment following such assignment; </w:t>
      </w:r>
      <w:r>
        <w:rPr>
          <w:rFonts w:ascii="Times New Roman" w:hAnsi="Times New Roman"/>
          <w:sz w:val="20"/>
          <w:u w:val="single"/>
        </w:rPr>
        <w:t>provided</w:t>
      </w:r>
      <w:r>
        <w:rPr>
          <w:rFonts w:ascii="Times New Roman" w:hAnsi="Times New Roman"/>
          <w:sz w:val="20"/>
        </w:rPr>
        <w:t xml:space="preserve"> that no such consent of Bidco shall be required if a Specified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(b)(v) of this </w:t>
      </w:r>
      <w:r>
        <w:rPr>
          <w:rFonts w:ascii="Times New Roman" w:hAnsi="Times New Roman"/>
          <w:sz w:val="20"/>
          <w:u w:val="single"/>
        </w:rPr>
        <w:t>Section 9.04</w:t>
      </w:r>
      <w:r>
        <w:rPr>
          <w:rFonts w:ascii="Times New Roman" w:hAnsi="Times New Roman"/>
          <w:sz w:val="20"/>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to any fees payable hereunder that have accrued for such Lender’s account but have not yet been paid). Any assignment or transfer by a Lender of rights or obligations under this Agreement that does not comply with this </w:t>
      </w:r>
      <w:r>
        <w:rPr>
          <w:rFonts w:ascii="Times New Roman" w:hAnsi="Times New Roman"/>
          <w:sz w:val="20"/>
          <w:u w:val="single"/>
        </w:rPr>
        <w:t>Section 9.04</w:t>
      </w:r>
      <w:r>
        <w:rPr>
          <w:rFonts w:ascii="Times New Roman" w:hAnsi="Times New Roman"/>
          <w:sz w:val="20"/>
        </w:rPr>
        <w:t xml:space="preserve"> shall be treated for purposes of this Agreement as a sale by such Lender of a participation in such rights and obligations in accordance with paragraph (c)(i) of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Bidco,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Notwithstanding the foregoing, in no event shall the Administrative Agent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obligated to ascertain, monitor or inquire as to whether any Lender is an Affiliated Lender, nor shall the Administrative Agent be obligated to monitor the aggregate amount of the Loans held by Affiliated Lenders. The entries in the Register shall be conclusive absent manifest error, and Holdings, Bidco,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Bidco, the Borrowers, the Issuing Banks (with respect to Revolving Lenders only), the Collateral Agent, affiliates of the Administrative Agent and any Lender (in each case as to its own interest, but not the interest of any other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and an assignee, the assignee’s completed Administrative Questionnaire and any tax forms required by </w:t>
      </w:r>
      <w:r>
        <w:rPr>
          <w:rFonts w:ascii="Times New Roman" w:hAnsi="Times New Roman"/>
          <w:sz w:val="20"/>
          <w:u w:val="single"/>
        </w:rPr>
        <w:t>Section 2.16(e)</w:t>
      </w:r>
      <w:r>
        <w:rPr>
          <w:rFonts w:ascii="Times New Roman" w:hAnsi="Times New Roman"/>
          <w:sz w:val="20"/>
        </w:rPr>
        <w:t xml:space="preserve"> (unless the assignee shall already be a Lender hereunder), the processing and recordation fee referred to in paragraph (b) of this </w:t>
      </w:r>
      <w:r>
        <w:rPr>
          <w:rFonts w:ascii="Times New Roman" w:hAnsi="Times New Roman"/>
          <w:sz w:val="20"/>
          <w:u w:val="single"/>
        </w:rPr>
        <w:t>Section 9.04</w:t>
      </w:r>
      <w:r>
        <w:rPr>
          <w:rFonts w:ascii="Times New Roman" w:hAnsi="Times New Roman"/>
          <w:sz w:val="20"/>
        </w:rPr>
        <w:t xml:space="preserve"> and any written consent to such assignment required by paragraph (b) of this </w:t>
      </w:r>
      <w:r>
        <w:rPr>
          <w:rFonts w:ascii="Times New Roman" w:hAnsi="Times New Roman"/>
          <w:sz w:val="20"/>
          <w:u w:val="single"/>
        </w:rPr>
        <w:t>Section 9.04</w:t>
      </w:r>
      <w:r>
        <w:rPr>
          <w:rFonts w:ascii="Times New Roman" w:hAnsi="Times New Roman"/>
          <w:sz w:val="20"/>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Bidco, the Borrowers, the Administrative Agent, the Issuing Banks or the Swingline Lender, sell participations to one or more banks or other Persons (other than to a Person that is not an Eligible Assignee)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Holdings, Bidco,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clauses (i), (ii), (iii), (vi) and (vii) of the first proviso to </w:t>
      </w:r>
      <w:r>
        <w:rPr>
          <w:rFonts w:ascii="Times New Roman" w:hAnsi="Times New Roman"/>
          <w:sz w:val="20"/>
          <w:u w:val="single"/>
        </w:rPr>
        <w:t>Section 9.02(b)</w:t>
      </w:r>
      <w:r>
        <w:rPr>
          <w:rFonts w:ascii="Times New Roman" w:hAnsi="Times New Roman"/>
          <w:sz w:val="20"/>
        </w:rPr>
        <w:t xml:space="preserve"> that directly and adversely affects such Participant. Subject to paragraph (c)(iii) of this Section, Bidco agrees that each Participant shall be entitled to the benefits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2.16</w:t>
      </w:r>
      <w:r>
        <w:rPr>
          <w:rFonts w:ascii="Times New Roman" w:hAnsi="Times New Roman"/>
          <w:sz w:val="20"/>
        </w:rPr>
        <w:t xml:space="preserve"> (subject to the obligations and limitations thereof and </w:t>
      </w:r>
      <w:r>
        <w:rPr>
          <w:rFonts w:ascii="Times New Roman" w:hAnsi="Times New Roman"/>
          <w:sz w:val="20"/>
          <w:u w:val="single"/>
        </w:rPr>
        <w:t>Section 2.18</w:t>
      </w:r>
      <w:r>
        <w:rPr>
          <w:rFonts w:ascii="Times New Roman" w:hAnsi="Times New Roman"/>
          <w:sz w:val="20"/>
        </w:rPr>
        <w:t xml:space="preserve">, it being understood that any tax forms required by </w:t>
      </w:r>
      <w:r>
        <w:rPr>
          <w:rFonts w:ascii="Times New Roman" w:hAnsi="Times New Roman"/>
          <w:sz w:val="20"/>
          <w:u w:val="single"/>
        </w:rPr>
        <w:t>Section 2.16(e)</w:t>
      </w:r>
      <w:r>
        <w:rPr>
          <w:rFonts w:ascii="Times New Roman" w:hAnsi="Times New Roman"/>
          <w:sz w:val="20"/>
        </w:rPr>
        <w:t xml:space="preserve"> shall be provided solely to the participating Lender) to the same extent as if it were a Lender and had acquired its interest by assignment pursuant to paragraph (b) of this </w:t>
      </w:r>
      <w:r>
        <w:rPr>
          <w:rFonts w:ascii="Times New Roman" w:hAnsi="Times New Roman"/>
          <w:sz w:val="20"/>
          <w:u w:val="single"/>
        </w:rPr>
        <w:t>Section 9.04</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9.08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2.17(c)</w:t>
      </w:r>
      <w:r>
        <w:rPr>
          <w:rFonts w:ascii="Times New Roman" w:hAnsi="Times New Roman"/>
          <w:sz w:val="20"/>
        </w:rPr>
        <w:t xml:space="preserve"> as though it were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Each Lender that sells a participation shall, acting solely for this purpose as a non-fiduciary agent of Bidco, maintain a register on which it enters the name and address of each Participant and the principal amounts (and related interest amounts)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(iii) A Participant (other than a Revolving Lender pursuant to </w:t>
      </w:r>
      <w:r>
        <w:rPr>
          <w:rFonts w:ascii="Times New Roman" w:hAnsi="Times New Roman"/>
          <w:sz w:val="20"/>
          <w:u w:val="single"/>
        </w:rPr>
        <w:t>Section 2.04(e)</w:t>
      </w:r>
      <w:r>
        <w:rPr>
          <w:rFonts w:ascii="Times New Roman" w:hAnsi="Times New Roman"/>
          <w:sz w:val="20"/>
        </w:rPr>
        <w:t xml:space="preserve">) shall not be entitled to receive any greater payment under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Bidco’s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without the consent of Bidco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Times New Roman" w:hAnsi="Times New Roman"/>
          <w:sz w:val="20"/>
          <w:u w:val="single"/>
        </w:rPr>
        <w:t>Section 9.04</w:t>
      </w:r>
      <w:r>
        <w:rPr>
          <w:rFonts w:ascii="Times New Roman" w:hAnsi="Times New Roman"/>
          <w:sz w:val="20"/>
        </w:rPr>
        <w:t xml:space="preserve">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Bidco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herein, any Lender may, at any time, assign all or a portion of its rights and obligations under this Agreement to an Affiliated Lender subject to the following limitations: </w:t>
      </w:r>
    </w:p>
    <w:p>
      <w:pPr>
        <w:pStyle w:val="TextBody"/>
        <w:bidi w:val="0"/>
        <w:spacing w:before="120" w:after="0"/>
        <w:jc w:val="left"/>
        <w:rPr>
          <w:rFonts w:ascii="Times New Roman" w:hAnsi="Times New Roman"/>
          <w:sz w:val="20"/>
        </w:rPr>
      </w:pPr>
      <w:r>
        <w:rPr>
          <w:rFonts w:ascii="Times New Roman" w:hAnsi="Times New Roman"/>
          <w:sz w:val="20"/>
        </w:rPr>
        <w:t xml:space="preserve">(i) Affiliated Lenders (other than Affiliated Debt Funds) will not receive information provided solely to Lenders by the Administrative Agent or any Lender and will not be permitted to attend or participate in meetings attended solely by the Lenders and the Administrative Agent, other than the right to receives notices of Borrowings, notices of prepayments and other administrative notices in respect of its Loans or Commitments required to be delivered to Lenders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for purposes of any amendment, waiver or modification of any Loan Document (including such modifications pursuant to </w:t>
      </w:r>
      <w:r>
        <w:rPr>
          <w:rFonts w:ascii="Times New Roman" w:hAnsi="Times New Roman"/>
          <w:sz w:val="20"/>
          <w:u w:val="single"/>
        </w:rPr>
        <w:t>Section 9.02</w:t>
      </w:r>
      <w:r>
        <w:rPr>
          <w:rFonts w:ascii="Times New Roman" w:hAnsi="Times New Roman"/>
          <w:sz w:val="20"/>
        </w:rPr>
        <w:t xml:space="preserve">), or, subject to </w:t>
      </w:r>
      <w:r>
        <w:rPr>
          <w:rFonts w:ascii="Times New Roman" w:hAnsi="Times New Roman"/>
          <w:sz w:val="20"/>
          <w:u w:val="single"/>
        </w:rPr>
        <w:t>Section 9.02(e)</w:t>
      </w:r>
      <w:r>
        <w:rPr>
          <w:rFonts w:ascii="Times New Roman" w:hAnsi="Times New Roman"/>
          <w:sz w:val="20"/>
        </w:rPr>
        <w:t xml:space="preserve">, any plan of reorganization pursuant to the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 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Times New Roman" w:hAnsi="Times New Roman"/>
          <w:sz w:val="20"/>
          <w:u w:val="single"/>
        </w:rPr>
        <w:t>provided</w:t>
      </w:r>
      <w:r>
        <w:rPr>
          <w:rFonts w:ascii="Times New Roman" w:hAnsi="Times New Roman"/>
          <w:sz w:val="20"/>
        </w:rPr>
        <w:t xml:space="preserve"> that Affiliated Debt Funds, will not be subject to such voting limitations and will be entitled to vote as any other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Affiliated Debt Funds may not account for more than 49.9% of the “Required Lenders” in any Required Lender vote;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principal amount of Term Loans purchased by assignment pursuant to this </w:t>
      </w:r>
      <w:r>
        <w:rPr>
          <w:rFonts w:ascii="Times New Roman" w:hAnsi="Times New Roman"/>
          <w:sz w:val="20"/>
          <w:u w:val="single"/>
        </w:rPr>
        <w:t>Section 9.04</w:t>
      </w:r>
      <w:r>
        <w:rPr>
          <w:rFonts w:ascii="Times New Roman" w:hAnsi="Times New Roman"/>
          <w:sz w:val="20"/>
        </w:rPr>
        <w:t xml:space="preserve"> and held at any one time by Affiliated Lenders (other than Affiliated Debt Funds) may not exceed 25% of the aggregate principal amount of all Term Loans outstanding at the time of such purchase, after giving effect to any substantially simultaneous cancellations thereof; </w:t>
      </w:r>
    </w:p>
    <w:p>
      <w:pPr>
        <w:pStyle w:val="TextBody"/>
        <w:bidi w:val="0"/>
        <w:spacing w:before="120" w:after="0"/>
        <w:jc w:val="left"/>
        <w:rPr>
          <w:rFonts w:ascii="Times New Roman" w:hAnsi="Times New Roman"/>
          <w:sz w:val="20"/>
        </w:rPr>
      </w:pPr>
      <w:r>
        <w:rPr>
          <w:rFonts w:ascii="Times New Roman" w:hAnsi="Times New Roman"/>
          <w:sz w:val="20"/>
        </w:rPr>
        <w:t xml:space="preserve">(iv) Affiliated Lenders shall clearly identify themselves as an Affiliated Lender in the loan assignment documentation. In no event shall the Administrative Agent be obligated to ascertain, monitor or inquire as to whether any lender is an Affiliated Lender or Affiliated Debt Fund nor shall the Administrative Agent be obligated to monitor the number of Affiliated Lenders or Affiliated Debt Funds or the aggregate amount of Term Loans or Incremental Term Loans held by Affiliated Lenders or Affiliated Debt Funds; </w:t>
      </w:r>
    </w:p>
    <w:p>
      <w:pPr>
        <w:pStyle w:val="TextBody"/>
        <w:bidi w:val="0"/>
        <w:spacing w:before="120" w:after="0"/>
        <w:jc w:val="left"/>
        <w:rPr>
          <w:rFonts w:ascii="Times New Roman" w:hAnsi="Times New Roman"/>
          <w:sz w:val="20"/>
        </w:rPr>
      </w:pPr>
      <w:r>
        <w:rPr>
          <w:rFonts w:ascii="Times New Roman" w:hAnsi="Times New Roman"/>
          <w:sz w:val="20"/>
        </w:rPr>
        <w:t xml:space="preserve">(v) 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laws or otherwise, with respect to the nondisclosure of the Material Non-Public Information. Each Lender entering into such an assignment further acknowledges that the Material Non-Public Information may not be available to the Administrative Agent or the other Lenders; and </w:t>
      </w:r>
    </w:p>
    <w:p>
      <w:pPr>
        <w:pStyle w:val="TextBody"/>
        <w:bidi w:val="0"/>
        <w:spacing w:before="120" w:after="0"/>
        <w:jc w:val="left"/>
        <w:rPr>
          <w:rFonts w:ascii="Times New Roman" w:hAnsi="Times New Roman"/>
          <w:sz w:val="20"/>
        </w:rPr>
      </w:pPr>
      <w:r>
        <w:rPr>
          <w:rFonts w:ascii="Times New Roman" w:hAnsi="Times New Roman"/>
          <w:sz w:val="20"/>
        </w:rPr>
        <w:t xml:space="preserve">(vi) Affiliated Lenders may not purchase Revolving Loans, including pursuant to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w:t>
      </w:r>
      <w:r>
        <w:rPr>
          <w:rFonts w:ascii="Times New Roman" w:hAnsi="Times New Roman"/>
          <w:sz w:val="20"/>
          <w:u w:val="single"/>
        </w:rPr>
        <w:t>Section 2.10(a)(ii)</w:t>
      </w:r>
      <w:r>
        <w:rPr>
          <w:rFonts w:ascii="Times New Roman" w:hAnsi="Times New Roman"/>
          <w:sz w:val="20"/>
        </w:rPr>
        <w:t xml:space="preserve"> or other customary procedures acceptable to the Administrative Agent and/or (y) open market purchases on a non-pro rata basis, </w:t>
      </w:r>
      <w:r>
        <w:rPr>
          <w:rFonts w:ascii="Times New Roman" w:hAnsi="Times New Roman"/>
          <w:sz w:val="20"/>
          <w:u w:val="single"/>
        </w:rPr>
        <w:t>provided</w:t>
      </w:r>
      <w:r>
        <w:rPr>
          <w:rFonts w:ascii="Times New Roman" w:hAnsi="Times New Roman"/>
          <w:sz w:val="20"/>
        </w:rPr>
        <w:t xml:space="preserve"> that (i) the Borrowers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the foregoing, no assignment may be made or participation sold to a Disqualified Lender without the prior written consent of Bidco; </w:t>
      </w:r>
      <w:r>
        <w:rPr>
          <w:rFonts w:ascii="Times New Roman" w:hAnsi="Times New Roman"/>
          <w:sz w:val="20"/>
          <w:u w:val="single"/>
        </w:rPr>
        <w:t>provided</w:t>
      </w:r>
      <w:r>
        <w:rPr>
          <w:rFonts w:ascii="Times New Roman" w:hAnsi="Times New Roman"/>
          <w:sz w:val="20"/>
        </w:rPr>
        <w:t xml:space="preserve"> that,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Bidco to such Lender and the Administrative Agent and otherwise in accordance with </w:t>
      </w:r>
      <w:r>
        <w:rPr>
          <w:rFonts w:ascii="Times New Roman" w:hAnsi="Times New Roman"/>
          <w:sz w:val="20"/>
          <w:u w:val="single"/>
        </w:rPr>
        <w:t>Section 2.18(b)</w:t>
      </w:r>
      <w:r>
        <w:rPr>
          <w:rFonts w:ascii="Times New Roman" w:hAnsi="Times New Roman"/>
          <w:sz w:val="20"/>
        </w:rPr>
        <w:t xml:space="preserve">, as applicable: (1) such Lender shall promptly assign all Loans and Commitments held by such Lender to an Eligible Assignee; </w:t>
      </w:r>
      <w:r>
        <w:rPr>
          <w:rFonts w:ascii="Times New Roman" w:hAnsi="Times New Roman"/>
          <w:sz w:val="20"/>
          <w:u w:val="single"/>
        </w:rPr>
        <w:t>provided</w:t>
      </w:r>
      <w:r>
        <w:rPr>
          <w:rFonts w:ascii="Times New Roman" w:hAnsi="Times New Roman"/>
          <w:sz w:val="20"/>
        </w:rPr>
        <w:t xml:space="preserve"> that (A) the Administrative Agent shall not have any obligation to Bidco, such Lender or any other Person to find such a replacement Lender, (B) Bidco shall not have any obligation to such Disqualified Lender or any other Person to find such a replacement Lender or accept or consent to any such assignment to itself or any other Person subject to Bidco’s consent in accordance with </w:t>
      </w:r>
      <w:r>
        <w:rPr>
          <w:rFonts w:ascii="Times New Roman" w:hAnsi="Times New Roman"/>
          <w:sz w:val="20"/>
          <w:u w:val="single"/>
        </w:rPr>
        <w:t>Section 9.04(b)(i)</w:t>
      </w:r>
      <w:r>
        <w:rPr>
          <w:rFonts w:ascii="Times New Roman" w:hAnsi="Times New Roman"/>
          <w:sz w:val="20"/>
        </w:rPr>
        <w:t xml:space="preserve">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 all affected Lenders (or all affected Lenders of any Class), a Majority in Interest of Lenders of any Class or the Required Lenders have taken or may take any action hereunder (including any consent to any amendment or waiver pursuant to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the foregoing, any Affiliated Lender shall be permitted, at its option, to contribute any Term Loans so assigned to such Affiliated Lender pursuant to this </w:t>
      </w:r>
      <w:r>
        <w:rPr>
          <w:rFonts w:ascii="Times New Roman" w:hAnsi="Times New Roman"/>
          <w:sz w:val="20"/>
          <w:u w:val="single"/>
        </w:rPr>
        <w:t>Section 9.04</w:t>
      </w:r>
      <w:r>
        <w:rPr>
          <w:rFonts w:ascii="Times New Roman" w:hAnsi="Times New Roman"/>
          <w:sz w:val="20"/>
        </w:rPr>
        <w:t xml:space="preserve"> to Holdings or any of its subsidiaries for purposes of cancellation, which contribution may be made (including, with Bidco’s consent, to Bidco, whether through Holdings or any Intermediate Parent or otherwise), in exchange for Qualified Equity Interests of Holdings, any Intermediate Parent or Bidco or Indebtedness of Bidco to the extent such Indebtedness is permitted to be incurred pursuant to </w:t>
      </w:r>
      <w:r>
        <w:rPr>
          <w:rFonts w:ascii="Times New Roman" w:hAnsi="Times New Roman"/>
          <w:sz w:val="20"/>
          <w:u w:val="single"/>
        </w:rPr>
        <w:t>Section 6.01</w:t>
      </w:r>
      <w:r>
        <w:rPr>
          <w:rFonts w:ascii="Times New Roman" w:hAnsi="Times New Roman"/>
          <w:sz w:val="20"/>
        </w:rPr>
        <w:t xml:space="preserve"> at such time. </w:t>
      </w:r>
    </w:p>
    <w:p>
      <w:pPr>
        <w:pStyle w:val="TextBody"/>
        <w:bidi w:val="0"/>
        <w:spacing w:before="240" w:after="0"/>
        <w:jc w:val="left"/>
        <w:rPr>
          <w:rFonts w:ascii="Times New Roman" w:hAnsi="Times New Roman"/>
          <w:sz w:val="20"/>
        </w:rPr>
      </w:pPr>
      <w:r>
        <w:rPr>
          <w:rFonts w:ascii="Times New Roman" w:hAnsi="Times New Roman"/>
          <w:sz w:val="20"/>
        </w:rPr>
        <w:t>(j) Notwithstanding anything to the contrary in any Loan Document, on or prior to the expiry of the Certain Funds Period: (i) any assignment transfer, sub-participation or other syndication by a Lender of all or a portion of its rights and obligations under this Agreement (including all or a portion of its Commitment and the Loans at the time owing to it) shall require the prior written consent of Bidco (in its sole discretion) and (ii) if any Lender as at the date of this Agreement (an “</w:t>
      </w:r>
      <w:r>
        <w:rPr>
          <w:rFonts w:ascii="Times New Roman" w:hAnsi="Times New Roman"/>
          <w:sz w:val="20"/>
          <w:u w:val="single"/>
        </w:rPr>
        <w:t>Existing Lender</w:t>
      </w:r>
      <w:r>
        <w:rPr>
          <w:rFonts w:ascii="Times New Roman" w:hAnsi="Times New Roman"/>
          <w:sz w:val="20"/>
        </w:rPr>
        <w:t xml:space="preserve">”) assigns, transfers, sub-participates or syndicates its rights and obligations under this Agreement (including all or a portion of its Commitment and the Loans at the time owing to it) to an Eligible Assignee, the Existing Lender shall remain on risk and liable to fund any amount which any Eligible Assignee (or subsequent Eligible Assignee) is obliged to fund during the Certain Funds Period but has failed to fund on that date, as if such transfer never occurred. </w:t>
      </w:r>
    </w:p>
    <w:p>
      <w:pPr>
        <w:pStyle w:val="TextBody"/>
        <w:bidi w:val="0"/>
        <w:spacing w:before="240" w:after="0"/>
        <w:jc w:val="left"/>
        <w:rPr>
          <w:rFonts w:ascii="Times New Roman" w:hAnsi="Times New Roman"/>
          <w:sz w:val="20"/>
        </w:rPr>
      </w:pPr>
      <w:r>
        <w:rPr>
          <w:rFonts w:ascii="Times New Roman" w:hAnsi="Times New Roman"/>
          <w:sz w:val="20"/>
        </w:rPr>
        <w:t xml:space="preserve">(k) Each party agrees that in case of any assignment, transfer and/or novation permitted under, and made in accordance with, the provisions of this Agreement or any Loan Document, any security interest provided pursuant to a Security Document and the guarantees given under this Agreement shall be preserved for the benefit of the Collateral Agent, the new Lender, the Participant and the remaining Secured Parties (including for purposes of article 1278 and article 1281 of the Luxembourg Civil Code). </w:t>
      </w:r>
    </w:p>
    <w:p>
      <w:pPr>
        <w:pStyle w:val="TextBody"/>
        <w:bidi w:val="0"/>
        <w:spacing w:before="36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w:t>
      </w:r>
      <w:r>
        <w:rPr>
          <w:rFonts w:ascii="Times New Roman" w:hAnsi="Times New Roman"/>
          <w:sz w:val="20"/>
          <w:u w:val="single"/>
        </w:rPr>
        <w:t>8.11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survive and remain in full force and effect regardless of the consummation of the transactions contemplated hereby, the repayment of the Loans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pursuant to arrangements reasonably satisfactory to the applicable Issuing Bank),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 w:hAnsi="Times New Roman"/>
          <w:sz w:val="20"/>
          <w:u w:val="single"/>
        </w:rPr>
        <w:t>Section 2.04(e)</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r>
        <w:rPr>
          <w:rFonts w:ascii="Times New Roman" w:hAnsi="Times New Roman"/>
          <w:color w:val="0000FF"/>
          <w:sz w:val="20"/>
          <w:u w:val="single"/>
          <w:bdr w:val="double" w:sz="2" w:space="1" w:color="000000"/>
        </w:rPr>
        <w:t xml:space="preserve"> For the avoidance of doubt, the words “execution,” “signed,” “signature,” and words of like import in this Agreement, any other Loan Document or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hAnsi="Times New Roman"/>
          <w:sz w:val="20"/>
          <w:u w:val="single"/>
        </w:rPr>
        <w:t>Section 9.07</w:t>
      </w:r>
      <w:r>
        <w:rPr>
          <w:rFonts w:ascii="Times New Roman" w:hAnsi="Times New Roman"/>
          <w:sz w:val="20"/>
        </w:rPr>
        <w:t xml:space="preserve">, if and to the extent that the enforceability of any provisions in this Agreement relating to Defaulting Lenders shall be limited by Debtor Relief Laws or the Legal Reservations, as determined in good faith by the Administrative Agent, the Issuing Banks or the Swingline Lender, as applicable, then such provisions shall be deemed to be in effect only to the extent not so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a Borrower (excluding, for the avoidance of doubt, any Settlement Assets except to effect Settlement Payments such Lender is obligated to make to a third party in respect of such Settlement Assets or as otherwise agreed in writing between the applicable Borrower and such Lender) against any of and all the obligations of the Borrowers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 xml:space="preserve">Section 2.21 </w:t>
      </w:r>
      <w:r>
        <w:rPr>
          <w:rFonts w:ascii="Times New Roman" w:hAnsi="Times New Roman"/>
          <w:sz w:val="20"/>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applicable Borrower and the Administrative Agent of such setoff and application; </w:t>
      </w:r>
      <w:r>
        <w:rPr>
          <w:rFonts w:ascii="Times New Roman" w:hAnsi="Times New Roman"/>
          <w:sz w:val="20"/>
          <w:u w:val="single"/>
        </w:rPr>
        <w:t>provided</w:t>
      </w:r>
      <w:r>
        <w:rPr>
          <w:rFonts w:ascii="Times New Roman" w:hAnsi="Times New Roman"/>
          <w:sz w:val="20"/>
        </w:rPr>
        <w:t xml:space="preserve"> that any failure to give or any delay in giving such notice shall not affect the validity of any such setoff and application under this </w:t>
      </w:r>
      <w:r>
        <w:rPr>
          <w:rFonts w:ascii="Times New Roman" w:hAnsi="Times New Roman"/>
          <w:sz w:val="20"/>
          <w:u w:val="single"/>
        </w:rPr>
        <w:t>Section 9.08</w:t>
      </w:r>
      <w:r>
        <w:rPr>
          <w:rFonts w:ascii="Times New Roman" w:hAnsi="Times New Roman"/>
          <w:sz w:val="20"/>
        </w:rPr>
        <w:t xml:space="preserve">. The rights of each Lender and each Issuing Bank under this </w:t>
      </w:r>
      <w:r>
        <w:rPr>
          <w:rFonts w:ascii="Times New Roman" w:hAnsi="Times New Roman"/>
          <w:sz w:val="20"/>
          <w:u w:val="single"/>
        </w:rPr>
        <w:t>Section 9.08</w:t>
      </w:r>
      <w:r>
        <w:rPr>
          <w:rFonts w:ascii="Times New Roman" w:hAnsi="Times New Roman"/>
          <w:sz w:val="20"/>
        </w:rPr>
        <w:t xml:space="preserve"> are in addition to other rights and remedies (including other rights of setoff) that such Lender or such Issuing Bank may have. Notwithstanding the foregoing, no amount set off from any Loan Party (other than the Borrowers) shall be applied to any Excluded Swap Obligation of such Loan Party (other than the Borrowers). </w:t>
      </w:r>
    </w:p>
    <w:p>
      <w:pPr>
        <w:pStyle w:val="TextBody"/>
        <w:bidi w:val="0"/>
        <w:spacing w:before="36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to enforce any award or judgment or exercise any rights under the Security Documents against any Collateral in any other forum in which Collateral is located.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w:t>
      </w:r>
      <w:r>
        <w:rPr>
          <w:rFonts w:ascii="Times New Roman" w:hAnsi="Times New Roman"/>
          <w:sz w:val="20"/>
          <w:u w:val="single"/>
        </w:rPr>
        <w:t>Section 9.09</w:t>
      </w:r>
      <w:r>
        <w:rPr>
          <w:rFonts w:ascii="Times New Roman" w:hAnsi="Times New Roman"/>
          <w:sz w:val="20"/>
        </w:rPr>
        <w:t xml:space="preserve">. Each of the parties hereto hereby irrevocably waives, to the fullest extent permitted by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w:t>
      </w:r>
      <w:r>
        <w:rPr>
          <w:rFonts w:ascii="Times New Roman" w:hAnsi="Times New Roman"/>
          <w:sz w:val="20"/>
          <w:u w:val="single"/>
        </w:rPr>
        <w:t>Section 9.01</w:t>
      </w:r>
      <w:r>
        <w:rPr>
          <w:rFonts w:ascii="Times New Roman" w:hAnsi="Times New Roman"/>
          <w:sz w:val="20"/>
        </w:rPr>
        <w:t xml:space="preserve">. Nothing in any Loan Document will affect the right of any party to this Agreement to serve process in any other manner permitted by law. Without limiting the other provisions of this </w:t>
      </w:r>
      <w:r>
        <w:rPr>
          <w:rFonts w:ascii="Times New Roman" w:hAnsi="Times New Roman"/>
          <w:sz w:val="20"/>
          <w:u w:val="single"/>
        </w:rPr>
        <w:t>Section 9.09</w:t>
      </w:r>
      <w:r>
        <w:rPr>
          <w:rFonts w:ascii="Times New Roman" w:hAnsi="Times New Roman"/>
          <w:sz w:val="20"/>
        </w:rPr>
        <w:t xml:space="preserve"> and in addition to the service of process provided for herein, the Finco Borrower, Bidco and Holdings hereby irrevocably designate, appoints and empowers the U.S. Borrower (and the U.S. Borrower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If for any reason the U.S. Borrower shall cease to be available to act as such, the Finco Borrower, Bidco and Holdings agree to promptly designate a new authorized designee, appointee and agent in New York City on the terms and for the purposes of this provision reasonably satisfactory to the Administrative Agent under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w:t>
      </w:r>
      <w:r>
        <w:rPr>
          <w:rFonts w:ascii="Times New Roman" w:hAnsi="Times New Roman"/>
          <w:sz w:val="20"/>
          <w:u w:val="single"/>
        </w:rPr>
        <w:t>Section 9.12</w:t>
      </w:r>
      <w:r>
        <w:rPr>
          <w:rFonts w:ascii="Times New Roman" w:hAnsi="Times New Roman"/>
          <w:sz w:val="20"/>
        </w:rPr>
        <w:t xml:space="preserve"> shall constitute a breach of this </w:t>
      </w:r>
      <w:r>
        <w:rPr>
          <w:rFonts w:ascii="Times New Roman" w:hAnsi="Times New Roman"/>
          <w:sz w:val="20"/>
          <w:u w:val="single"/>
        </w:rPr>
        <w:t>Section 9.12</w:t>
      </w:r>
      <w:r>
        <w:rPr>
          <w:rFonts w:ascii="Times New Roman" w:hAnsi="Times New Roman"/>
          <w:sz w:val="20"/>
        </w:rPr>
        <w:t xml:space="preserve"> by the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hAnsi="Times New Roman"/>
          <w:sz w:val="20"/>
          <w:u w:val="single"/>
        </w:rPr>
        <w:t>provided</w:t>
      </w:r>
      <w:r>
        <w:rPr>
          <w:rFonts w:ascii="Times New Roman" w:hAnsi="Times New Roman"/>
          <w:sz w:val="20"/>
        </w:rPr>
        <w:t xml:space="preserve"> that (x) solely to the extent permitted by law and other than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routine audits and reviews by regulatory and self-regulatory authorities, each Lender and the Administrative Agent shall notify Bidco and the Borrowers as promptly as practicable of any such requested or required disclosure in connection with any legal or regulatory proceeding and (y) in the case of clause (ii) only, each Lender and the Administrative Agent shall use commercially reasonable efforts to ensure that such Information is kept confidential in connection with the exercise of such remedies;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any Lender or the Administrative Agent be obligated or required to return any materials furnished by Bidco or any Subsidiary of Holdings, (iii) to any other party to this Agreement, (iv) subject to an agreement containing confidentiality undertakings substantially similar to those of this </w:t>
      </w:r>
      <w:r>
        <w:rPr>
          <w:rFonts w:ascii="Times New Roman" w:hAnsi="Times New Roman"/>
          <w:sz w:val="20"/>
          <w:u w:val="single"/>
        </w:rPr>
        <w:t>Section 9.12</w:t>
      </w:r>
      <w:r>
        <w:rPr>
          <w:rFonts w:ascii="Times New Roman" w:hAnsi="Times New Roman"/>
          <w:sz w:val="20"/>
        </w:rPr>
        <w:t xml:space="preserve">,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w:t>
      </w:r>
      <w:r>
        <w:rPr>
          <w:rFonts w:ascii="Times New Roman" w:hAnsi="Times New Roman"/>
          <w:sz w:val="20"/>
          <w:u w:val="single"/>
        </w:rPr>
        <w:t>Section 9.04(d)</w:t>
      </w:r>
      <w:r>
        <w:rPr>
          <w:rFonts w:ascii="Times New Roman" w:hAnsi="Times New Roman"/>
          <w:sz w:val="20"/>
        </w:rPr>
        <w:t xml:space="preserve">, (v) if required by any rating agency; </w:t>
      </w:r>
      <w:r>
        <w:rPr>
          <w:rFonts w:ascii="Times New Roman" w:hAnsi="Times New Roman"/>
          <w:sz w:val="20"/>
          <w:u w:val="single"/>
        </w:rPr>
        <w:t>provided</w:t>
      </w:r>
      <w:r>
        <w:rPr>
          <w:rFonts w:ascii="Times New Roman" w:hAnsi="Times New Roman"/>
          <w:sz w:val="20"/>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w:t>
      </w:r>
      <w:r>
        <w:rPr>
          <w:rFonts w:ascii="Times New Roman" w:hAnsi="Times New Roman"/>
          <w:sz w:val="20"/>
          <w:u w:val="single"/>
        </w:rPr>
        <w:t>e.g</w:t>
      </w:r>
      <w:r>
        <w:rPr>
          <w:rFonts w:ascii="Times New Roman" w:hAnsi="Times New Roman"/>
          <w:sz w:val="20"/>
        </w:rPr>
        <w:t xml:space="preserve">., identities of parties, maturity dates, interest rates, etc.) on a confidential basis, or (vii) to the extent such Information (x) becomes publicly available other than as a result of a breach of this </w:t>
      </w:r>
      <w:r>
        <w:rPr>
          <w:rFonts w:ascii="Times New Roman" w:hAnsi="Times New Roman"/>
          <w:sz w:val="20"/>
          <w:u w:val="single"/>
        </w:rPr>
        <w:t>Section 9.12</w:t>
      </w:r>
      <w:r>
        <w:rPr>
          <w:rFonts w:ascii="Times New Roman" w:hAnsi="Times New Roman"/>
          <w:sz w:val="20"/>
        </w:rPr>
        <w:t>, (y) becomes available to the Administrative Agent, any Issuing Bank, any Lender or any of their respective Affiliates on a nonconfidential basis from a source other than Holdings, Bidco or any Subsidiary, which source is not known by the recipient of such information to be subject to a confidentiality obligation or (z) is independently developed without the use of other Information. For the purposes hereof, “</w:t>
      </w:r>
      <w:r>
        <w:rPr>
          <w:rFonts w:ascii="Times New Roman" w:hAnsi="Times New Roman"/>
          <w:sz w:val="20"/>
          <w:u w:val="single"/>
        </w:rPr>
        <w:t>Information</w:t>
      </w:r>
      <w:r>
        <w:rPr>
          <w:rFonts w:ascii="Times New Roman" w:hAnsi="Times New Roman"/>
          <w:sz w:val="20"/>
        </w:rPr>
        <w:t xml:space="preserve">” means all information received from or on behalf of Holdings or Bidco relating to Holdings, Bidco, any other Subsidiary or their business, other than any such information that is available to the Administrative Agent, any Issuing Bank or any Lender on a nonconfidential basis prior to disclosure by Holdings, Bidco or any Subsidiary; </w:t>
      </w:r>
      <w:r>
        <w:rPr>
          <w:rFonts w:ascii="Times New Roman" w:hAnsi="Times New Roman"/>
          <w:sz w:val="20"/>
          <w:u w:val="single"/>
        </w:rPr>
        <w:t>provided</w:t>
      </w:r>
      <w:r>
        <w:rPr>
          <w:rFonts w:ascii="Times New Roman" w:hAnsi="Times New Roman"/>
          <w:sz w:val="20"/>
        </w:rPr>
        <w:t xml:space="preserve"> that, in the case of information received from Holdings, Bidco or any Subsidiary after the Effective Date, such information is clearly identified at the time of delivery as confidential. Any Person required to maintain the confidentiality of Information as provided in this </w:t>
      </w:r>
      <w:r>
        <w:rPr>
          <w:rFonts w:ascii="Times New Roman" w:hAnsi="Times New Roman"/>
          <w:sz w:val="20"/>
          <w:u w:val="single"/>
        </w:rPr>
        <w:t>Section 9.12</w:t>
      </w:r>
      <w:r>
        <w:rPr>
          <w:rFonts w:ascii="Times New Roman" w:hAnsi="Times New Roman"/>
          <w:sz w:val="20"/>
        </w:rPr>
        <w:t xml:space="preserve">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Bidco’s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ACKNOWLEDGES THAT INFORMATION (AS DEFINED IN </w:t>
      </w:r>
      <w:r>
        <w:rPr>
          <w:rFonts w:ascii="Times New Roman" w:hAnsi="Times New Roman"/>
          <w:sz w:val="20"/>
          <w:u w:val="single"/>
        </w:rPr>
        <w:t>SECTION 9.12(A))</w:t>
      </w:r>
      <w:r>
        <w:rPr>
          <w:rFonts w:ascii="Times New Roman" w:hAnsi="Times New Roman"/>
          <w:sz w:val="20"/>
        </w:rPr>
        <w:t xml:space="preserve"> FURNISHED TO IT PURSUANT TO THIS AGREEMENT MAY INCLUDE MATERIAL NON-PUBLIC INFORMATION CONCERNING HOLDINGS, BIDCO,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ALL INFORMATION, INCLUDING REQUESTS FOR WAIVERS AND AMENDMENTS FURNISHED BY BIDCO, THE BORROWERS OR THE ADMINISTRATIVE AGENT PURSUANT TO, OR IN THE COURSE OF ADMINISTERING, THIS AGREEMENT, WILL BE SYNDICATE-LEVEL INFORMATION, WHICH MAY CONTAIN MATERIAL NON-PUBLIC INFORMATION ABOUT HOLDINGS, BIDCO, THE LOAN PARTIES AND THEIR RELATED PARTIES OR THEIR RESPECTIVE SECURITIES. ACCORDINGLY, EACH LENDER REPRESENTS TO BIDCO AND THE BORROWERS AND THE ADMINISTRATIVE AGENT THAT IT HAS IDENTIFIED IN ITS ADMINISTRATIVE QUESTIONNAIRE A CREDIT CONTACT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RECEIVE INFORMATION THAT MAY CONTAIN MATERIAL NON-PUBLIC INFORMATION IN ACCORDANCE WITH ITS COMPLIANCE PROCEDURES AND APPLICABLE LAW, INCLUDING FEDERAL AND STATE SECURITIES LAWS. </w:t>
      </w:r>
    </w:p>
    <w:p>
      <w:pPr>
        <w:pStyle w:val="TextBody"/>
        <w:bidi w:val="0"/>
        <w:spacing w:before="36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that is subject to the USA PATRIOT Act and the Beneficial Ownership Regulation and the Administrative Agent (for itself and not on behalf of any Lender) hereby notifies Bidco and the Borrowers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 </w:t>
      </w:r>
    </w:p>
    <w:p>
      <w:pPr>
        <w:pStyle w:val="TextBody"/>
        <w:bidi w:val="0"/>
        <w:spacing w:before="36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Release of Liens and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or designation permitted by this Agreement as a result of which such Subsidiary Loan Party ceases to be a Restricted Subsidiary (including pursuant to a permitted merger with a Subsidiary that is not a Loan Party or a designation as an Unrestricted Subsidiary) or becomes an Excluded Subsidiary (other than solely as a result of becoming a Non-Wholly Owned Subsidiary) or (2) at the written election of Bidco or any Borrower, in connection with a transaction permitted under this Agreement, as a result of which such Subsidiary Loan Party ceases to be a Wholly Owned Subsidiary, unless the primary purpose (as reasonably determined by Bidco) of such transaction was to release such Subsidiary Loan Party from its obligations under the Loan Documents; </w:t>
      </w:r>
      <w:r>
        <w:rPr>
          <w:rFonts w:ascii="Times New Roman" w:hAnsi="Times New Roman"/>
          <w:sz w:val="20"/>
          <w:u w:val="single"/>
        </w:rPr>
        <w:t>provided</w:t>
      </w:r>
      <w:r>
        <w:rPr>
          <w:rFonts w:ascii="Times New Roman" w:hAnsi="Times New Roman"/>
          <w:sz w:val="20"/>
        </w:rPr>
        <w:t xml:space="preserve"> that, if so required by this Agreement, the Required Lenders shall have consented to such transaction and the terms of such consent shall not have provided otherwise. Upon any sale, disposition or other transfer by any Loan Party (other than to Holdings, any Intermediate Parent, Bidco, any Borrower or any Subsidiary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Loan Documents and all security interests created by the Security Documents shall be automatically released. In connection with any termination or release pursuant to this </w:t>
      </w:r>
      <w:r>
        <w:rPr>
          <w:rFonts w:ascii="Times New Roman" w:hAnsi="Times New Roman"/>
          <w:sz w:val="20"/>
          <w:u w:val="single"/>
        </w:rPr>
        <w:t>Section 9.14</w:t>
      </w:r>
      <w:r>
        <w:rPr>
          <w:rFonts w:ascii="Times New Roman" w:hAnsi="Times New Roman"/>
          <w:sz w:val="20"/>
        </w:rPr>
        <w:t xml:space="preserve">, the Administrative Agent or the Collateral Agent, as the case may be, shall execute and deliver to any Loan Party, at such Loan Party’s expense, all documents that such Loan Party shall reasonably request to file or register in any office, or to evidence such termination or release, so long as Bidco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or the Collateral Agent, as the case may be, will, at the Borrowers’ expense, execute and deliver to the applicable Loan Party or file or register in any office such documents as such Loan Party may reasonably request to subordinate its Lien on any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granted to or held by the Administrative Agent or the Collateral Agent, as the case may be, under any Loan Document to the holder of any Lien on such property that is permitted by clause (6) of the definition of “Permitted Liens” (solely with respect to the reference to </w:t>
      </w:r>
      <w:r>
        <w:rPr>
          <w:rFonts w:ascii="Times New Roman" w:hAnsi="Times New Roman"/>
          <w:sz w:val="20"/>
          <w:u w:val="single"/>
        </w:rPr>
        <w:t>Section 6.01(b)(iii))</w:t>
      </w:r>
      <w:r>
        <w:rPr>
          <w:rFonts w:ascii="Times New Roman" w:hAnsi="Times New Roman"/>
          <w:sz w:val="20"/>
        </w:rPr>
        <w:t xml:space="preserve"> and clause (8) of the definition of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Lenders and the Issuing Banks irrevocably authorizes the Administrative Agent or the Collateral Agent, as the case may be, to provide any release or evidence of release, termination or subordination contemplated by this </w:t>
      </w:r>
      <w:r>
        <w:rPr>
          <w:rFonts w:ascii="Times New Roman" w:hAnsi="Times New Roman"/>
          <w:sz w:val="20"/>
          <w:u w:val="single"/>
        </w:rPr>
        <w:t>Section 9.14</w:t>
      </w:r>
      <w:r>
        <w:rPr>
          <w:rFonts w:ascii="Times New Roman" w:hAnsi="Times New Roman"/>
          <w:sz w:val="20"/>
        </w:rPr>
        <w:t xml:space="preserve">.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No Advisory or Fiduciary Responsibility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all aspects of each transaction contemplated hereby (including in connection with any amendment, waiver or other modification hereof or of any other Loan Document), each of Bidco, the Borrowers and Holdings acknowledges and agrees that (i) (A) the arranging and other services regarding this Agreement provided by the Administrative Agent, the Joint Lead Arrangers, the Issuing Banks and the Lenders are arm’s-length commercial transactions between the Borrowers, Holdings and their respective Affiliates, on the one hand, and the Administrative Agent, the Joint Lead Arrangers, the Issuing Banks and the Lenders on the other hand, (B) each of Bidco, the Borrowers and Holdings has consulted its own legal, accounting, regulatory and tax advisors to the extent it has deemed appropriate, and (C) each of Bidco, the Borrowers and Holdings is capable of evaluating, and understands and accepts, the terms, risks and conditions of the transactions contemplated hereby and by the other Loan Documents; (ii) (A) 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Bidco, the Borrowers, Holdings, any of their respective Affiliates or any other Person and (B) none of the Administrative Agent, the Joint Lead Arrangers, the Issuing Banks and the Lenders has any obligation to Bidco, the Borrowers, Holdings or any of their respective Affiliates with respect to the transactions contemplated hereby except those obligations expressly set forth herein and in the other Loan Documents; and (iii) the Administrative Agent, the Joint Lead Arrangers, the Issuing Banks and the Lenders and their respective Affiliates may be engaged in a broad range of transactions that involve interests that differ from those of Bidco, the Borrowers, Holdings and their respective Affiliates, and none of the Administrative Agent, the Joint Lead Arrangers, the Issuing Banks and the Lenders has any obligation to disclose any of such interests to Bidco, the Borrowers, Holdings or any of their respective Affiliates. To the fullest extent permitted by law, each of Bidco, the Borrowers and Holdings hereby waives and releases any claims that it may have against the Administrative Agent, the Joint Lead Arrangers, the Issuing Banks and the Lenders with respect to any breach or alleged breach of agency or fiduciary duty in connection with any aspect of any transaction contemplated hereby. </w:t>
      </w:r>
    </w:p>
    <w:p>
      <w:pPr>
        <w:pStyle w:val="TextBody"/>
        <w:bidi w:val="0"/>
        <w:spacing w:before="36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Interest Rate Limitation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Intercreditor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or in any other Loan Document: (a) the Liens granted to the Collateral Agent in favor of the Secured Parties pursuant to the Loan Documents and the exercise of any right related to any Collateral shall be subject, in each case, to the terms of the Pari Passu Intercreditor Agreement and Customary Intercreditor Agreements then in effect, (b) in the event of any conflict between the express terms and provisions of this Agreement or any other Loan Document, on the one hand, and of the Pari Passu Intercreditor Agreement and any Customary Intercreditor Agreements then in effect, on the other hand, the terms and provisions of the Pari Passu Intercreditor Agreement and relevant Customary Intercreditor Agreements shall control, and (c) each Lender authorizes the Administrative Agent and/or the Collateral Agent to execute the Pari Passu Intercreditor Agreement and any such Customary Intercreditor Agreement (or amendment thereof) on behalf of such Lender, and such Lender agrees to be bound by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(b) Each Secured Party hereby agrees that the Administrative Agent and/or Collateral Agent may enter into any intercreditor agreement and/or subordination agreement (or amendment thereof) pursuant to, or contemplated by, the terms of this Agreement (including with respect to Indebtedness permitted pursuant to </w:t>
      </w:r>
      <w:r>
        <w:rPr>
          <w:rFonts w:ascii="Times New Roman" w:hAnsi="Times New Roman"/>
          <w:sz w:val="20"/>
          <w:u w:val="single"/>
        </w:rPr>
        <w:t>Section 6.01</w:t>
      </w:r>
      <w:r>
        <w:rPr>
          <w:rFonts w:ascii="Times New Roman" w:hAnsi="Times New Roman"/>
          <w:sz w:val="20"/>
        </w:rPr>
        <w:t xml:space="preserve">, any applicable Liens on Collateral permitted pursuant to </w:t>
      </w:r>
      <w:r>
        <w:rPr>
          <w:rFonts w:ascii="Times New Roman" w:hAnsi="Times New Roman"/>
          <w:sz w:val="20"/>
          <w:u w:val="single"/>
        </w:rPr>
        <w:t>Section 6.02</w:t>
      </w:r>
      <w:r>
        <w:rPr>
          <w:rFonts w:ascii="Times New Roman" w:hAnsi="Times New Roman"/>
          <w:sz w:val="20"/>
        </w:rPr>
        <w:t xml:space="preserve"> and, in each case, together with the defined terms referenced therein) on its behalf and agrees to be bound by the terms thereof and, in each case, consents and agrees to the appointment of Barclays Bank PLC (or its affiliated designee, representative or agent) on its behalf as collateral agent, respectively, thereunder.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Pari Passu Intercreditor Agreement and/or the Second Lien Intercreditor Agreement, as applicable, shall be deemed to be reasonable and acceptable to the Administrative Agent and the Lenders, and the Administrative Agent and the Lenders shall be deemed to have consented to the use of each such intercreditor agreement (and to the Administrative Agent’s execution thereof) in connection with any Indebtedness permitted to be incurred, issued and/or assumed by the Borrower or any of its Subsidiaries pursuant to </w:t>
      </w:r>
      <w:r>
        <w:rPr>
          <w:rFonts w:ascii="Times New Roman" w:hAnsi="Times New Roman"/>
          <w:sz w:val="20"/>
          <w:u w:val="single"/>
        </w:rPr>
        <w:t>Section 6.01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Cashless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Bidco, the Administrative Agent and such Lender. </w:t>
      </w:r>
    </w:p>
    <w:p>
      <w:pPr>
        <w:pStyle w:val="TextBody"/>
        <w:bidi w:val="0"/>
        <w:spacing w:before="36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 xml:space="preserve">Acknowledgement and Consent to Bail-In of </w:t>
      </w:r>
      <w:r>
        <w:rPr>
          <w:rFonts w:ascii="Times New Roman" w:hAnsi="Times New Roman"/>
          <w:strike/>
          <w:color w:val="FF0000"/>
          <w:sz w:val="20"/>
          <w:u w:val="single"/>
        </w:rPr>
        <w:t>EEA</w:t>
      </w:r>
      <w:r>
        <w:rPr>
          <w:rFonts w:ascii="Times New Roman" w:hAnsi="Times New Roman"/>
          <w:color w:val="0000FF"/>
          <w:sz w:val="20"/>
          <w:u w:val="single"/>
          <w:bdr w:val="double" w:sz="2" w:space="1" w:color="000000"/>
        </w:rPr>
        <w:t>Affected</w:t>
      </w:r>
      <w:r>
        <w:rPr>
          <w:rFonts w:ascii="Times New Roman" w:hAnsi="Times New Roman"/>
          <w:sz w:val="20"/>
          <w:u w:val="single"/>
        </w:rPr>
        <w:t xml:space="preserve"> Financial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 arising under any Loan Document, to the extent such liability is unsecured, may be subject to the Write-Down and Conversion Powers of </w:t>
      </w:r>
      <w:r>
        <w:rPr>
          <w:rFonts w:ascii="Times New Roman" w:hAnsi="Times New Roman"/>
          <w:strike/>
          <w:color w:val="FF0000"/>
          <w:sz w:val="20"/>
        </w:rPr>
        <w:t>an EEA</w:t>
      </w:r>
      <w:r>
        <w:rPr>
          <w:rFonts w:ascii="Times New Roman" w:hAnsi="Times New Roman"/>
          <w:color w:val="0000FF"/>
          <w:sz w:val="20"/>
          <w:u w:val="single"/>
          <w:bdr w:val="double" w:sz="2" w:space="1" w:color="000000"/>
        </w:rPr>
        <w:t>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applicable</w:t>
      </w:r>
      <w:r>
        <w:rPr>
          <w:rFonts w:ascii="Times New Roman" w:hAnsi="Times New Roman"/>
          <w:sz w:val="20"/>
        </w:rPr>
        <w:t xml:space="preserv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w:t>
      </w:r>
      <w:r>
        <w:rPr>
          <w:rFonts w:ascii="Times New Roman" w:hAnsi="Times New Roman"/>
          <w:strike/>
          <w:color w:val="FF0000"/>
          <w:sz w:val="20"/>
        </w:rPr>
        <w:t>an EEA</w:t>
      </w:r>
      <w:r>
        <w:rPr>
          <w:rFonts w:ascii="Times New Roman" w:hAnsi="Times New Roman"/>
          <w:color w:val="0000FF"/>
          <w:sz w:val="20"/>
          <w:u w:val="single"/>
          <w:bdr w:val="double" w:sz="2" w:space="1" w:color="000000"/>
        </w:rPr>
        <w:t>the applicable</w:t>
      </w:r>
      <w:r>
        <w:rPr>
          <w:rFonts w:ascii="Times New Roman" w:hAnsi="Times New Roman"/>
          <w:sz w:val="20"/>
        </w:rPr>
        <w:t xml:space="preserve"> Resolution Authority to any such liabilities arising hereunder which may be payable to it by any party hereto that is an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w:t>
      </w:r>
      <w:r>
        <w:rPr>
          <w:rFonts w:ascii="Times New Roman" w:hAnsi="Times New Roman"/>
          <w:strike/>
          <w:color w:val="FF0000"/>
          <w:sz w:val="20"/>
        </w:rPr>
        <w:t>any EEA</w:t>
      </w:r>
      <w:r>
        <w:rPr>
          <w:rFonts w:ascii="Times New Roman" w:hAnsi="Times New Roman"/>
          <w:color w:val="0000FF"/>
          <w:sz w:val="20"/>
          <w:u w:val="single"/>
          <w:bdr w:val="double" w:sz="2" w:space="1" w:color="000000"/>
        </w:rPr>
        <w:t>the applicable</w:t>
      </w:r>
      <w:r>
        <w:rPr>
          <w:rFonts w:ascii="Times New Roman" w:hAnsi="Times New Roman"/>
          <w:sz w:val="20"/>
        </w:rPr>
        <w:t xml:space="preserv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any Swap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9.20</w:t>
      </w:r>
      <w:r>
        <w:rPr>
          <w:rFonts w:ascii="Times New Roman" w:hAnsi="Times New Roman"/>
          <w:sz w:val="20"/>
        </w:rPr>
        <w:t xml:space="preserve">, the following terms have the following meanings: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Joint and Several Liability</w:t>
      </w:r>
      <w:r>
        <w:rPr>
          <w:rFonts w:ascii="Times New Roman" w:hAnsi="Times New Roman"/>
          <w:sz w:val="20"/>
        </w:rPr>
        <w:t xml:space="preserve">. Each Borrower agrees that it is jointly and severally liable for the obligations of the other Borrowers hereunder, including with respect to the payment of principal of and interest on all Loans and the payment of fees and indemnities and reimbursement of costs and expenses. This shall not prejudice the obligations of any Borrower (solely in its capacity as a Guarantor) in respect of any Indebtedness that does not have a co-borrower 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applicable Agent could purchase the first currency with such other currency on the Business Day preceding that on which final judgment is given. The obligation of any Borrower in respect of any such sum due from it to the applicable Agent or the Lenders hereunder or under the other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applicable Agent of any sum adjudged to be so due in the Judgment Currency, the applicable Agent may in accordance with normal banking procedures purchase the Agreement Currency with the Judgment Currency. If the amount of the Agreement Currency so purchased is less than the sum originally due to the applicable Agent from the applicable Borrower in the Agreement Currency, the Borrowers agree, as a separate obligation and notwithstanding any such judgment, to indemnify the applicable Agent or the Person to whom such obligation was owing against such loss. If the amount of the Agreement Currency so purchased is greater than the sum originally due to the applicable Agent in such currency, the applicable Agent agrees to return the amount. </w:t>
      </w:r>
    </w:p>
    <w:p>
      <w:pPr>
        <w:pStyle w:val="TextBody"/>
        <w:bidi w:val="0"/>
        <w:spacing w:before="36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Lender Affiliates and Facility Offices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respect of a Revolving Loan or Letters of Credit to a particular Borrower (“</w:t>
      </w:r>
      <w:r>
        <w:rPr>
          <w:rFonts w:ascii="Times New Roman" w:hAnsi="Times New Roman"/>
          <w:sz w:val="20"/>
          <w:u w:val="single"/>
        </w:rPr>
        <w:t>Designated Loans</w:t>
      </w:r>
      <w:r>
        <w:rPr>
          <w:rFonts w:ascii="Times New Roman" w:hAnsi="Times New Roman"/>
          <w:sz w:val="20"/>
        </w:rPr>
        <w:t>”), a Revolving Lender (a “</w:t>
      </w:r>
      <w:r>
        <w:rPr>
          <w:rFonts w:ascii="Times New Roman" w:hAnsi="Times New Roman"/>
          <w:sz w:val="20"/>
          <w:u w:val="single"/>
        </w:rPr>
        <w:t>Designating Lender</w:t>
      </w:r>
      <w:r>
        <w:rPr>
          <w:rFonts w:ascii="Times New Roman" w:hAnsi="Times New Roman"/>
          <w:sz w:val="20"/>
        </w:rPr>
        <w:t xml:space="preserve">”) may at any time and from time to time designate (by written notice to the Administrative Agent and the Borrower Representative): </w:t>
      </w:r>
    </w:p>
    <w:p>
      <w:pPr>
        <w:pStyle w:val="TextBody"/>
        <w:bidi w:val="0"/>
        <w:spacing w:before="120" w:after="0"/>
        <w:jc w:val="left"/>
        <w:rPr>
          <w:rFonts w:ascii="Times New Roman" w:hAnsi="Times New Roman"/>
          <w:sz w:val="20"/>
        </w:rPr>
      </w:pPr>
      <w:r>
        <w:rPr>
          <w:rFonts w:ascii="Times New Roman" w:hAnsi="Times New Roman"/>
          <w:sz w:val="20"/>
        </w:rPr>
        <w:t>(i) a substitute Lending Office from which it will make Designated Loans (a “</w:t>
      </w:r>
      <w:r>
        <w:rPr>
          <w:rFonts w:ascii="Times New Roman" w:hAnsi="Times New Roman"/>
          <w:sz w:val="20"/>
          <w:u w:val="single"/>
        </w:rPr>
        <w:t>Substitute Lending Office</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nominate an Affiliate to act as the Lender of Designated Loans (a “</w:t>
      </w:r>
      <w:r>
        <w:rPr>
          <w:rFonts w:ascii="Times New Roman" w:hAnsi="Times New Roman"/>
          <w:sz w:val="20"/>
          <w:u w:val="single"/>
        </w:rPr>
        <w:t>Substitute Affiliate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 notice to nominate a Substitute Affiliate Lender must be in the form set out in </w:t>
      </w:r>
      <w:r>
        <w:rPr>
          <w:rFonts w:ascii="Times New Roman" w:hAnsi="Times New Roman"/>
          <w:sz w:val="20"/>
          <w:u w:val="single"/>
        </w:rPr>
        <w:t>Exhibit Y</w:t>
      </w:r>
      <w:r>
        <w:rPr>
          <w:rFonts w:ascii="Times New Roman" w:hAnsi="Times New Roman"/>
          <w:sz w:val="20"/>
        </w:rPr>
        <w:t xml:space="preserve"> and be countersigned by the relevant Substitute Affiliate Lender confirming it will be bound as a Lender under this Agreement in respect of the Designated Loans in respect of which it acts as Lender. </w:t>
      </w:r>
    </w:p>
    <w:p>
      <w:pPr>
        <w:pStyle w:val="TextBody"/>
        <w:bidi w:val="0"/>
        <w:spacing w:before="240" w:after="0"/>
        <w:jc w:val="left"/>
        <w:rPr>
          <w:rFonts w:ascii="Times New Roman" w:hAnsi="Times New Roman"/>
          <w:sz w:val="20"/>
        </w:rPr>
      </w:pPr>
      <w:r>
        <w:rPr>
          <w:rFonts w:ascii="Times New Roman" w:hAnsi="Times New Roman"/>
          <w:sz w:val="20"/>
        </w:rPr>
        <w:t xml:space="preserve">(c) The Designating Lender will act as the representative of any Substitute Affiliate Lender it nominates for all administrative purposes under this Agreement. The Loan Parties, the Administrative Agent, the Collateral Agent and the other Secured Parties will be entitled to deal only with the Designating Lender, except that payments will be made in respect of Designated Loans to the Lending Office of the Substitute Affiliate Lender. In particular the Commitments of the Designating Lender will not be treated as reduced by the introduction of the Substitute Affiliate Lender for voting purposes under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(d) If a Designating Lender nominates a Substitute Lending Office or a Substitute Affiliate Lender and as a result of circumstances existing at the date of such substitution, a Loan Party would be obliged to make a payment on account of, or to, the Substitute Lending Office or Substitute Affiliate Lender (as applicable) under Section 2.16 (Taxes) then the Lender acting through its Substitute Lending Office or the Substitute Affiliate Lender (as applicable) is only entitled to receive payment under Section 2.16 to the same extent as the Designating Lender would have been if the substitution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(e) Save as mentioned in clause (c) above, a Substitute Affiliate Lender will be treated as a Lender for all purposes under the Loan Documents and having a Revolving Credit Commitment equal to the principal amount of all Designated Loans in which it is participating if and for so long as it continues to be a Substitute Affiliate Lender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 Designating Lender may revoke its designation of an Affiliate as a Substitute Affiliate Lender by notice in writing to the Administrative Agent, Bidco and the Borrower Representative;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 </w:t>
      </w:r>
    </w:p>
    <w:p>
      <w:pPr>
        <w:pStyle w:val="TextBody"/>
        <w:bidi w:val="0"/>
        <w:spacing w:before="240" w:after="0"/>
        <w:jc w:val="left"/>
        <w:rPr>
          <w:rFonts w:ascii="Times New Roman" w:hAnsi="Times New Roman"/>
          <w:sz w:val="20"/>
        </w:rPr>
      </w:pPr>
      <w:r>
        <w:rPr>
          <w:rFonts w:ascii="Times New Roman" w:hAnsi="Times New Roman"/>
          <w:sz w:val="20"/>
        </w:rPr>
        <w:t xml:space="preserve">(g) If a Designating Lender designates a Substitute Lending Office or Substitute Affiliate Lender in accordance with this clause: </w:t>
      </w:r>
    </w:p>
    <w:p>
      <w:pPr>
        <w:pStyle w:val="TextBody"/>
        <w:bidi w:val="0"/>
        <w:spacing w:before="120" w:after="0"/>
        <w:jc w:val="left"/>
        <w:rPr>
          <w:rFonts w:ascii="Times New Roman" w:hAnsi="Times New Roman"/>
          <w:sz w:val="20"/>
        </w:rPr>
      </w:pPr>
      <w:r>
        <w:rPr>
          <w:rFonts w:ascii="Times New Roman" w:hAnsi="Times New Roman"/>
          <w:sz w:val="20"/>
        </w:rPr>
        <w:t xml:space="preserve">(i) any Substitute Affiliate Lender shall be treated for the purposes of Section 2.16 as having become a Lender on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w:t>
      </w:r>
      <w:r>
        <w:rPr>
          <w:rFonts w:ascii="Times New Roman" w:hAnsi="Times New Roman"/>
          <w:sz w:val="20"/>
          <w:u w:val="single"/>
        </w:rPr>
        <w:t>Section 9.23(e)</w:t>
      </w:r>
      <w:r>
        <w:rPr>
          <w:rFonts w:ascii="Times New Roman" w:hAnsi="Times New Roman"/>
          <w:sz w:val="20"/>
        </w:rPr>
        <w:t xml:space="preserve"> shall not apply to or in respect of any Substitute Lending Office or Substitute Affiliate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Interim Facilities Agreement</w:t>
      </w:r>
      <w:r>
        <w:rPr>
          <w:rFonts w:ascii="Times New Roman" w:hAnsi="Times New Roman"/>
          <w:sz w:val="20"/>
        </w:rPr>
        <w:t xml:space="preserve">. Each party to this Agreement that is a party to the Interim Facilities Agreement hereby acknowledges and agrees, in its capacity as a party to the Interim Facilities Agreement only (and, for the avoidance of doubt, without prejudice to any such party’s obligations under this Agreement), that upon, and effective as of, the borrowing of the Initial Term Loans on the Effective Date, (i) all commitments of the Interim Finance Parties under the Interim Facilities Agreement to make loans or otherwise extend credit to the Finco Borrower, in its capacity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under and as defined in the Interim Facilities Agreement, shall be terminated, and (ii) the Interim Facilities Agreement and all other Interim Finance Documents (as defined in the Interim Facilities Agreement) shall terminate and have no further force or effect, except only those provisions that are expressly specified in the Interim Facilities Agreement and all other Interim Finance Documents as surviving that respective agreement’s termination.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p>
    <w:p>
      <w:pPr>
        <w:pStyle w:val="TextBody"/>
        <w:bidi w:val="0"/>
        <w:spacing w:before="0" w:after="0"/>
        <w:jc w:val="right"/>
        <w:rPr>
          <w:rFonts w:ascii="Times New Roman" w:hAnsi="Times New Roman"/>
          <w:b/>
          <w:sz w:val="20"/>
        </w:rPr>
      </w:pPr>
      <w:bookmarkStart w:id="1237" w:name="vsat-ex10_42.htm"/>
      <w:bookmarkStart w:id="1238" w:name="ksvsatex10_42"/>
      <w:bookmarkEnd w:id="1237"/>
      <w:bookmarkEnd w:id="1238"/>
      <w:r>
        <w:rPr>
          <w:rFonts w:ascii="Times New Roman" w:hAnsi="Times New Roman"/>
          <w:b/>
          <w:sz w:val="20"/>
        </w:rPr>
        <w:t xml:space="preserve">Exhibit 10.4.2 </w:t>
      </w:r>
      <w:r>
        <w:br w:type="page"/>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NO. 2 </w:t>
      </w:r>
    </w:p>
    <w:p>
      <w:pPr>
        <w:pStyle w:val="TextBody"/>
        <w:bidi w:val="0"/>
        <w:spacing w:before="240" w:after="0"/>
        <w:jc w:val="left"/>
        <w:rPr>
          <w:rFonts w:ascii="Times New Roman" w:hAnsi="Times New Roman"/>
          <w:sz w:val="20"/>
        </w:rPr>
      </w:pPr>
      <w:r>
        <w:rPr>
          <w:rFonts w:ascii="Times New Roman" w:hAnsi="Times New Roman"/>
          <w:sz w:val="20"/>
        </w:rPr>
        <w:t>This AMENDMENT NO. 2 (this “</w:t>
      </w:r>
      <w:r>
        <w:rPr>
          <w:rFonts w:ascii="Times New Roman" w:hAnsi="Times New Roman"/>
          <w:sz w:val="20"/>
          <w:u w:val="single"/>
        </w:rPr>
        <w:t>Amendment</w:t>
      </w:r>
      <w:r>
        <w:rPr>
          <w:rFonts w:ascii="Times New Roman" w:hAnsi="Times New Roman"/>
          <w:sz w:val="20"/>
        </w:rPr>
        <w:t>”), dated as of December 17, 2021, to the Credit Agreement, dated as of December 12, 2019 (as amended by Amendment No. 1, dated as of January 25, 2021, and as further amended, restated, amended and restated, supplemented or otherwise modified from time to time prior to the date hereof, the “</w:t>
      </w:r>
      <w:r>
        <w:rPr>
          <w:rFonts w:ascii="Times New Roman" w:hAnsi="Times New Roman"/>
          <w:sz w:val="20"/>
          <w:u w:val="single"/>
        </w:rPr>
        <w:t>Credit Agreement</w:t>
      </w:r>
      <w:r>
        <w:rPr>
          <w:rFonts w:ascii="Times New Roman" w:hAnsi="Times New Roman"/>
          <w:sz w:val="20"/>
        </w:rPr>
        <w:t>”), among Connect Midco Limited (f/k/a Triton Midco (Guernsey) Limited), a private limited liability company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private limited liability company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company incorporated in Luxembourg with company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and any Additional Borrowers from time to time party thereto,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thereto and Barclays Bank PLC (“</w:t>
      </w:r>
      <w:r>
        <w:rPr>
          <w:rFonts w:ascii="Times New Roman" w:hAnsi="Times New Roman"/>
          <w:sz w:val="20"/>
          <w:u w:val="single"/>
        </w:rPr>
        <w:t>Barclays</w:t>
      </w:r>
      <w:r>
        <w:rPr>
          <w:rFonts w:ascii="Times New Roman" w:hAnsi="Times New Roman"/>
          <w:sz w:val="20"/>
        </w:rPr>
        <w:t xml:space="preserve">”), as Administrative Agent and Collateral Agent, is made and entered into by and among Initial Holdings, Bidco, the Borrowers, Lenders which collectively constitute the Required Lenders and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Borrower Representative has requested that, pursuant to Section 9.02 of the Credit Agreement, the Credit Agreement be amended in the manner provided herein (as so amended, the “</w:t>
      </w:r>
      <w:r>
        <w:rPr>
          <w:rFonts w:ascii="Times New Roman" w:hAnsi="Times New Roman"/>
          <w:sz w:val="20"/>
          <w:u w:val="single"/>
        </w:rPr>
        <w:t>Amended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on the Amendment No. 2 Effective Date, the Lenders party hereto will collectively constitute the Required Lenders, and the parties hereto wish to amend the Credit Agreement on the terms and subject to the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other good and valuable consideration, the sufficiency and receipt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b/>
          <w:i/>
          <w:sz w:val="20"/>
        </w:rPr>
        <w:t>Defined Terms; Interpretation; Etc</w:t>
      </w:r>
      <w:r>
        <w:rPr>
          <w:rFonts w:ascii="Times New Roman" w:hAnsi="Times New Roman"/>
          <w:sz w:val="20"/>
        </w:rPr>
        <w:t xml:space="preserve">. Capitalized terms used and not defined herein shall have the meanings assigned to such terms in the Credit Agreement. This Amendment is a “Loan Document” for the purposes of (and as such terms are defined in) the Credit Agreement and the other Loan Documents. 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b/>
          <w:i/>
          <w:sz w:val="20"/>
        </w:rPr>
        <w:t>Amendments</w:t>
      </w:r>
      <w:r>
        <w:rPr>
          <w:rFonts w:ascii="Times New Roman" w:hAnsi="Times New Roman"/>
          <w:sz w:val="20"/>
        </w:rPr>
        <w:t xml:space="preserve">. Subject to satisfaction (or waiver) of the conditions set forth in </w:t>
      </w:r>
      <w:r>
        <w:rPr>
          <w:rFonts w:ascii="Times New Roman" w:hAnsi="Times New Roman"/>
          <w:sz w:val="20"/>
          <w:u w:val="single"/>
        </w:rPr>
        <w:t>Section 3</w:t>
      </w:r>
      <w:r>
        <w:rPr>
          <w:rFonts w:ascii="Times New Roman" w:hAnsi="Times New Roman"/>
          <w:sz w:val="20"/>
        </w:rPr>
        <w:t xml:space="preserve"> hereof, on the Amendment No. 2 Effective Date, the Credit Agreement shall be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added double-underlined text</w:t>
      </w:r>
      <w:r>
        <w:rPr>
          <w:rFonts w:ascii="Times New Roman" w:hAnsi="Times New Roman"/>
          <w:sz w:val="20"/>
        </w:rPr>
        <w:t xml:space="preserve">) as set forth in the pages of the document attached as </w:t>
      </w:r>
      <w:r>
        <w:rPr>
          <w:rFonts w:ascii="Times New Roman" w:hAnsi="Times New Roman"/>
          <w:b/>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b/>
          <w:i/>
          <w:sz w:val="20"/>
        </w:rPr>
        <w:t>Conditions to Effectiveness.</w:t>
      </w:r>
      <w:r>
        <w:rPr>
          <w:rFonts w:ascii="Times New Roman" w:hAnsi="Times New Roman"/>
          <w:sz w:val="20"/>
        </w:rPr>
        <w:t xml:space="preserve"> This Amendment (other than this Section 3, which shall become effective on the date hereof) and each party’s consent to the amendments contemplated herein to the Credit Agreement shall become effective as of the date on which the following conditions are satisfied or waived (such time, the “</w:t>
      </w:r>
      <w:r>
        <w:rPr>
          <w:rFonts w:ascii="Times New Roman" w:hAnsi="Times New Roman"/>
          <w:sz w:val="20"/>
          <w:u w:val="single"/>
        </w:rPr>
        <w:t>Amendment No. 2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its counsel) shall have received from Initial Holdings, Bidco, the Borrowers and Lenders which collectively constitute the Required Lenders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 </w:t>
      </w:r>
    </w:p>
    <w:p>
      <w:pPr>
        <w:pStyle w:val="TextBody"/>
        <w:bidi w:val="0"/>
        <w:spacing w:before="0" w:after="0"/>
        <w:jc w:val="left"/>
        <w:rPr>
          <w:rFonts w:ascii="Times New Roman" w:hAnsi="Times New Roman"/>
          <w:sz w:val="20"/>
        </w:rPr>
      </w:pPr>
      <w:r>
        <w:rPr>
          <w:rFonts w:ascii="Times New Roman" w:hAnsi="Times New Roman"/>
          <w:sz w:val="20"/>
        </w:rPr>
        <w:t xml:space="preserve">(b) The Administrative Agent (or its counsel) shall have received a certificate of Bidco dated as of the Amendment No. 2 Effective Date, as to the matters set forth in paragraphs (c) and (d) of this Section and executed by any Responsible Officer of Bidco.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representations and warranties of each Loan Party set forth in the Loan Documents shall be true and correct in all material respects on and as of the Amendment No. 2 Effective Date;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Amendment No. 2 Effective Date or on such earlier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On and as of the Amendment No. 2 Effective Date,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shall have paid to the Administrative Agent (i) for the account of each Revolving Lender party hereto, a fee in an amount equal to 0.125% of such Revolving Lender’s Revolving Commitment as of the Amendment No. 2 Effective Date and (ii) for the account of each Term Lender party hereto, a fee in an amount equal to 0.25% of such Term Lender’s Term Loans as of the Amendment No. 2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Initial Holdings, Bidco, the Borrowers and the Lenders of the Amendment No. 2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b/>
          <w:i/>
          <w:sz w:val="20"/>
        </w:rPr>
        <w:t>Reaffirmation of Guarantees and Security Interests</w:t>
      </w:r>
      <w:r>
        <w:rPr>
          <w:rFonts w:ascii="Times New Roman" w:hAnsi="Times New Roman"/>
          <w:sz w:val="20"/>
        </w:rPr>
        <w:t xml:space="preserve">. As of the Amendment No. 2 Effective Date, Bidco, on behalf of each Loan Party, hereby acknowledges its receipt of a copy of this Amendment and its review of the terms and conditions hereof and consents to the terms and conditions of this Amendment and the transactions contemplated hereby. As of the Amendment No. 2 Effective Date, Bidco, on behalf of each Loan Party, hereby (a) affirms and confirms the guarantees, pledges, grants and other undertakings under the Amended Credit Agreement and the other Loan Documents of the Loan Parties and (b) agrees that (i) each Loan Document shall continue to be in full force and effect and (ii) all guarantees, pledges, grants and other undertakings thereunder shall continue to be in full force and effect and shall accrue to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b/>
          <w:i/>
          <w:sz w:val="20"/>
        </w:rPr>
        <w:t>Expenses; Indemnity; Damage Waiver</w:t>
      </w:r>
      <w:r>
        <w:rPr>
          <w:rFonts w:ascii="Times New Roman" w:hAnsi="Times New Roman"/>
          <w:sz w:val="20"/>
        </w:rPr>
        <w:t xml:space="preserve">. Sections 9.03(a), (b), (d), (e), (f), (g) and (h)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and shall apply, </w:t>
      </w:r>
      <w:r>
        <w:rPr>
          <w:rFonts w:ascii="Times New Roman" w:hAnsi="Times New Roman"/>
          <w:i/>
          <w:sz w:val="20"/>
        </w:rPr>
        <w:t>mutatis mutandis</w:t>
      </w:r>
      <w:r>
        <w:rPr>
          <w:rFonts w:ascii="Times New Roman" w:hAnsi="Times New Roman"/>
          <w:sz w:val="20"/>
        </w:rPr>
        <w:t xml:space="preserve">, to the Administrative Agent, including, for the avoidance of doubt, liabilities, losses, damages, claims, costs, expenses and disbursements arising out of the transactions contemplated 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6. </w:t>
      </w:r>
      <w:r>
        <w:rPr>
          <w:rFonts w:ascii="Times New Roman" w:hAnsi="Times New Roman"/>
          <w:b/>
          <w:i/>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Amendment, Modification and Waiver</w:t>
      </w:r>
      <w:r>
        <w:rPr>
          <w:rFonts w:ascii="Times New Roman" w:hAnsi="Times New Roman"/>
          <w:sz w:val="20"/>
        </w:rPr>
        <w:t xml:space="preserve">. This Amendment may not be amended nor may any provision hereof be waived except pursuant to a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Entire Agreement</w:t>
      </w:r>
      <w:r>
        <w:rPr>
          <w:rFonts w:ascii="Times New Roman" w:hAnsi="Times New Roman"/>
          <w:b/>
          <w:sz w:val="20"/>
        </w:rPr>
        <w:t xml:space="preserve">. </w:t>
      </w:r>
      <w:r>
        <w:rPr>
          <w:rFonts w:ascii="Times New Roman" w:hAnsi="Times New Roman"/>
          <w:sz w:val="20"/>
        </w:rPr>
        <w:t xml:space="preserve">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 xml:space="preserve">Governing Law. </w:t>
      </w:r>
      <w:r>
        <w:rPr>
          <w:rFonts w:ascii="Times New Roman" w:hAnsi="Times New Roman"/>
          <w:sz w:val="20"/>
        </w:rPr>
        <w:t xml:space="preserve">This Amendment shall be construed in accordance with and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 xml:space="preserve">Jurisdiction; Consent to Service of Process; Waiver of Jury Trial. </w:t>
      </w:r>
      <w:r>
        <w:rPr>
          <w:rFonts w:ascii="Times New Roman" w:hAnsi="Times New Roman"/>
          <w:sz w:val="20"/>
        </w:rPr>
        <w:t xml:space="preserve">Sections 9.09(b), (c) and (d) and Section 9.10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and shall apply, </w:t>
      </w:r>
      <w:r>
        <w:rPr>
          <w:rFonts w:ascii="Times New Roman" w:hAnsi="Times New Roman"/>
          <w:i/>
          <w:sz w:val="20"/>
        </w:rPr>
        <w:t>mutatis mutandis</w:t>
      </w:r>
      <w:r>
        <w:rPr>
          <w:rFonts w:ascii="Times New Roman" w:hAnsi="Times New Roman"/>
          <w:sz w:val="20"/>
        </w:rPr>
        <w:t xml:space="preserve">, to each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Severability</w:t>
      </w:r>
      <w:r>
        <w:rPr>
          <w:rFonts w:ascii="Times New Roman" w:hAnsi="Times New Roman"/>
          <w:sz w:val="20"/>
        </w:rPr>
        <w:t xml:space="preserve">.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Counterparts</w:t>
      </w:r>
      <w:r>
        <w:rPr>
          <w:rFonts w:ascii="Times New Roman" w:hAnsi="Times New Roman"/>
          <w:sz w:val="20"/>
        </w:rPr>
        <w:t xml:space="preserve">. This Amendment may be executed in counterparts (and by different parties hereto on different counterparts), each of which shall constitute an original, but all of which when taken together shall constitute a single contract.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Each of the parties hereto represents and warrants to the other parties hereto that it has the corporate capacity and authority to execute this Amendment through electronic means and there are no restrictions for doing so in such party’s constitutive documents.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Headings</w:t>
      </w:r>
      <w:r>
        <w:rPr>
          <w:rFonts w:ascii="Times New Roman" w:hAnsi="Times New Roman"/>
          <w:i/>
          <w:sz w:val="20"/>
        </w:rPr>
        <w:t>.</w:t>
      </w:r>
      <w:r>
        <w:rPr>
          <w:rFonts w:ascii="Times New Roman" w:hAnsi="Times New Roman"/>
          <w:sz w:val="20"/>
        </w:rPr>
        <w:t xml:space="preserve"> The headings of this Amendment are for purposes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Continued Effectiveness</w:t>
      </w:r>
      <w:r>
        <w:rPr>
          <w:rFonts w:ascii="Times New Roman" w:hAnsi="Times New Roman"/>
          <w:sz w:val="20"/>
        </w:rPr>
        <w:t xml:space="preserve">. Notwithstanding anything contained herein, the terms of this 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Amended Credit Agreement and each of the Loan Documents remain in full force and effect.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682"/>
        <w:gridCol w:w="60"/>
        <w:gridCol w:w="2927"/>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CONNECT MIDCO LIMITED,</w:t>
            </w:r>
          </w:p>
          <w:p>
            <w:pPr>
              <w:pStyle w:val="TableContents"/>
              <w:bidi w:val="0"/>
              <w:spacing w:before="0" w:after="20"/>
              <w:jc w:val="left"/>
              <w:rPr>
                <w:rFonts w:ascii="Times New Roman" w:hAnsi="Times New Roman"/>
                <w:sz w:val="20"/>
              </w:rPr>
            </w:pPr>
            <w:r>
              <w:rPr>
                <w:rFonts w:ascii="Times New Roman" w:hAnsi="Times New Roman"/>
                <w:sz w:val="20"/>
              </w:rPr>
              <w:t>as Initial Holdings</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Hargrave</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Eric Hargrave</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b/>
                <w:sz w:val="20"/>
              </w:rPr>
              <w:t>CONNECT BIDCO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Bidco</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Hargrave</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Eric Hargrave</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b/>
                <w:sz w:val="20"/>
              </w:rPr>
              <w:t>CONNECT FINCO SARL</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Finco Borrower and the Borrower Representative</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Tony Bates</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Tony Bates</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Group CFO</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b/>
                <w:sz w:val="20"/>
              </w:rPr>
              <w:t>CONNECT U.S. FINCO LLC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U.S. Borrower</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Tony Bates</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Tony Bates</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Group CFO</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b/>
                <w:sz w:val="20"/>
              </w:rPr>
              <w:t>INMARSAT GROUP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an Additional Borrower</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Alison Horrocks</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Alison Horrocks</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2] </w:t>
      </w:r>
    </w:p>
    <w:tbl>
      <w:tblPr>
        <w:tblW w:w="2000" w:type="pct"/>
        <w:jc w:val="right"/>
        <w:tblInd w:w="0" w:type="dxa"/>
        <w:tblLayout w:type="fixed"/>
        <w:tblCellMar>
          <w:top w:w="0" w:type="dxa"/>
          <w:left w:w="0" w:type="dxa"/>
          <w:bottom w:w="0" w:type="dxa"/>
          <w:right w:w="0" w:type="dxa"/>
        </w:tblCellMar>
      </w:tblPr>
      <w:tblGrid>
        <w:gridCol w:w="334"/>
        <w:gridCol w:w="60"/>
        <w:gridCol w:w="669"/>
        <w:gridCol w:w="60"/>
        <w:gridCol w:w="2959"/>
      </w:tblGrid>
      <w:tr>
        <w:trPr/>
        <w:tc>
          <w:tcPr>
            <w:tcW w:w="3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BARCLAYS BANK PLC,</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748"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Jake Lam</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pPr>
            <w:r>
              <w:rPr/>
              <w:t>Jake Lam</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left"/>
              <w:rPr/>
            </w:pPr>
            <w:r>
              <w:rPr/>
              <w:t>Assistant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2] </w:t>
      </w:r>
    </w:p>
    <w:p>
      <w:pPr>
        <w:pStyle w:val="TextBody"/>
        <w:bidi w:val="0"/>
        <w:spacing w:before="0" w:after="0"/>
        <w:jc w:val="center"/>
        <w:rPr>
          <w:rFonts w:ascii="Times New Roman" w:hAnsi="Times New Roman"/>
          <w:sz w:val="20"/>
        </w:rPr>
      </w:pPr>
      <w:r>
        <w:rPr>
          <w:rFonts w:ascii="Times New Roman" w:hAnsi="Times New Roman"/>
          <w:sz w:val="20"/>
        </w:rPr>
        <w:t xml:space="preserve">LENDER SIGNATURE PAGES ON FILE WITH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2]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2] </w:t>
      </w:r>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right"/>
        <w:rPr>
          <w:rFonts w:ascii="Times New Roman" w:hAnsi="Times New Roman"/>
          <w:b/>
          <w:sz w:val="20"/>
        </w:rPr>
      </w:pPr>
      <w:r>
        <w:rPr>
          <w:rFonts w:ascii="Times New Roman" w:hAnsi="Times New Roman"/>
          <w:b/>
          <w:sz w:val="20"/>
        </w:rPr>
        <w:t xml:space="preserve">EXHIBIT A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w:t>
      </w:r>
    </w:p>
    <w:p>
      <w:pPr>
        <w:pStyle w:val="TextBody"/>
        <w:bidi w:val="0"/>
        <w:spacing w:before="0" w:after="0"/>
        <w:jc w:val="center"/>
        <w:rPr>
          <w:rFonts w:ascii="Times New Roman" w:hAnsi="Times New Roman"/>
          <w:sz w:val="20"/>
        </w:rPr>
      </w:pPr>
      <w:r>
        <w:rPr>
          <w:rFonts w:ascii="Times New Roman" w:hAnsi="Times New Roman"/>
          <w:sz w:val="20"/>
        </w:rPr>
        <w:t xml:space="preserve">December 12, 2019 </w:t>
      </w:r>
    </w:p>
    <w:p>
      <w:pPr>
        <w:pStyle w:val="TextBody"/>
        <w:bidi w:val="0"/>
        <w:spacing w:before="0" w:after="0"/>
        <w:jc w:val="center"/>
        <w:rPr>
          <w:rFonts w:ascii="Times New Roman" w:hAnsi="Times New Roman"/>
          <w:sz w:val="20"/>
        </w:rPr>
      </w:pPr>
      <w:r>
        <w:rPr>
          <w:rFonts w:ascii="Times New Roman" w:hAnsi="Times New Roman"/>
          <w:sz w:val="20"/>
        </w:rPr>
        <w:t>as amended by Amendment No. 1, dated as of January 25, 2021</w:t>
      </w:r>
      <w:r>
        <w:rPr>
          <w:rFonts w:ascii="Times New Roman" w:hAnsi="Times New Roman"/>
          <w:color w:val="0000FF"/>
          <w:sz w:val="20"/>
          <w:u w:val="single"/>
          <w:bdr w:val="double" w:sz="2" w:space="1" w:color="000000"/>
        </w:rPr>
        <w:t xml:space="preserve"> and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as amended by Amendment No. 2, dated as of December 17, 2021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CONNECT MIDCO LIMITED, </w:t>
      </w:r>
    </w:p>
    <w:p>
      <w:pPr>
        <w:pStyle w:val="TextBody"/>
        <w:bidi w:val="0"/>
        <w:spacing w:before="0" w:after="0"/>
        <w:jc w:val="center"/>
        <w:rPr>
          <w:rFonts w:ascii="Times New Roman" w:hAnsi="Times New Roman"/>
          <w:sz w:val="20"/>
        </w:rPr>
      </w:pPr>
      <w:r>
        <w:rPr>
          <w:rFonts w:ascii="Times New Roman" w:hAnsi="Times New Roman"/>
          <w:sz w:val="20"/>
        </w:rPr>
        <w:t xml:space="preserve">as Initial Holdings, </w:t>
      </w:r>
    </w:p>
    <w:p>
      <w:pPr>
        <w:pStyle w:val="TextBody"/>
        <w:bidi w:val="0"/>
        <w:spacing w:before="240" w:after="0"/>
        <w:jc w:val="center"/>
        <w:rPr>
          <w:rFonts w:ascii="Times New Roman" w:hAnsi="Times New Roman"/>
          <w:sz w:val="20"/>
        </w:rPr>
      </w:pPr>
      <w:r>
        <w:rPr>
          <w:rFonts w:ascii="Times New Roman" w:hAnsi="Times New Roman"/>
          <w:sz w:val="20"/>
        </w:rPr>
        <w:t xml:space="preserve">CONNECT BIDCO LIMITED, </w:t>
      </w:r>
    </w:p>
    <w:p>
      <w:pPr>
        <w:pStyle w:val="TextBody"/>
        <w:bidi w:val="0"/>
        <w:spacing w:before="0" w:after="0"/>
        <w:jc w:val="center"/>
        <w:rPr>
          <w:rFonts w:ascii="Times New Roman" w:hAnsi="Times New Roman"/>
          <w:sz w:val="20"/>
        </w:rPr>
      </w:pPr>
      <w:r>
        <w:rPr>
          <w:rFonts w:ascii="Times New Roman" w:hAnsi="Times New Roman"/>
          <w:sz w:val="20"/>
        </w:rPr>
        <w:t xml:space="preserve">as Bidco, </w:t>
      </w:r>
    </w:p>
    <w:p>
      <w:pPr>
        <w:pStyle w:val="TextBody"/>
        <w:bidi w:val="0"/>
        <w:spacing w:before="240" w:after="0"/>
        <w:jc w:val="center"/>
        <w:rPr>
          <w:rFonts w:ascii="Times New Roman" w:hAnsi="Times New Roman"/>
          <w:sz w:val="20"/>
        </w:rPr>
      </w:pPr>
      <w:r>
        <w:rPr>
          <w:rFonts w:ascii="Times New Roman" w:hAnsi="Times New Roman"/>
          <w:sz w:val="20"/>
        </w:rPr>
        <w:t xml:space="preserve">CONNECT FINCO SARL, </w:t>
      </w:r>
    </w:p>
    <w:p>
      <w:pPr>
        <w:pStyle w:val="TextBody"/>
        <w:bidi w:val="0"/>
        <w:spacing w:before="0" w:after="0"/>
        <w:jc w:val="center"/>
        <w:rPr>
          <w:rFonts w:ascii="Times New Roman" w:hAnsi="Times New Roman"/>
          <w:sz w:val="20"/>
        </w:rPr>
      </w:pPr>
      <w:r>
        <w:rPr>
          <w:rFonts w:ascii="Times New Roman" w:hAnsi="Times New Roman"/>
          <w:sz w:val="20"/>
        </w:rPr>
        <w:t xml:space="preserve">as the Finco Borrower and the Borrower Representative, </w:t>
      </w:r>
    </w:p>
    <w:p>
      <w:pPr>
        <w:pStyle w:val="TextBody"/>
        <w:bidi w:val="0"/>
        <w:spacing w:before="240" w:after="0"/>
        <w:jc w:val="center"/>
        <w:rPr>
          <w:rFonts w:ascii="Times New Roman" w:hAnsi="Times New Roman"/>
          <w:sz w:val="20"/>
        </w:rPr>
      </w:pPr>
      <w:r>
        <w:rPr>
          <w:rFonts w:ascii="Times New Roman" w:hAnsi="Times New Roman"/>
          <w:sz w:val="20"/>
        </w:rPr>
        <w:t xml:space="preserve">CONNECT U.S. FINCO LLC, </w:t>
      </w:r>
    </w:p>
    <w:p>
      <w:pPr>
        <w:pStyle w:val="TextBody"/>
        <w:bidi w:val="0"/>
        <w:spacing w:before="0" w:after="0"/>
        <w:jc w:val="center"/>
        <w:rPr>
          <w:rFonts w:ascii="Times New Roman" w:hAnsi="Times New Roman"/>
          <w:sz w:val="20"/>
        </w:rPr>
      </w:pPr>
      <w:r>
        <w:rPr>
          <w:rFonts w:ascii="Times New Roman" w:hAnsi="Times New Roman"/>
          <w:sz w:val="20"/>
        </w:rPr>
        <w:t xml:space="preserve">as the U.S. Borrower, </w:t>
      </w:r>
    </w:p>
    <w:p>
      <w:pPr>
        <w:pStyle w:val="TextBody"/>
        <w:bidi w:val="0"/>
        <w:spacing w:before="240" w:after="0"/>
        <w:jc w:val="center"/>
        <w:rPr>
          <w:rFonts w:ascii="Times New Roman" w:hAnsi="Times New Roman"/>
          <w:sz w:val="20"/>
        </w:rPr>
      </w:pPr>
      <w:r>
        <w:rPr>
          <w:rFonts w:ascii="Times New Roman" w:hAnsi="Times New Roman"/>
          <w:sz w:val="20"/>
        </w:rPr>
        <w:t xml:space="preserve">certain Restricted Subsidiaries of Bidco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Additional 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and Issuing Banks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Global Coordinators and Joint Lead Arrangers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BNP PARIBAS FORTIS S.A./N.V., </w:t>
      </w:r>
    </w:p>
    <w:p>
      <w:pPr>
        <w:pStyle w:val="TextBody"/>
        <w:bidi w:val="0"/>
        <w:spacing w:before="0" w:after="0"/>
        <w:jc w:val="center"/>
        <w:rPr>
          <w:rFonts w:ascii="Times New Roman" w:hAnsi="Times New Roman"/>
          <w:sz w:val="20"/>
        </w:rPr>
      </w:pPr>
      <w:r>
        <w:rPr>
          <w:rFonts w:ascii="Times New Roman" w:hAnsi="Times New Roman"/>
          <w:sz w:val="20"/>
        </w:rPr>
        <w:t xml:space="preserve">HSBC BANK PLC, </w:t>
      </w:r>
    </w:p>
    <w:p>
      <w:pPr>
        <w:pStyle w:val="TextBody"/>
        <w:bidi w:val="0"/>
        <w:spacing w:before="0" w:after="0"/>
        <w:jc w:val="center"/>
        <w:rPr>
          <w:rFonts w:ascii="Times New Roman" w:hAnsi="Times New Roman"/>
          <w:sz w:val="20"/>
        </w:rPr>
      </w:pPr>
      <w:r>
        <w:rPr>
          <w:rFonts w:ascii="Times New Roman" w:hAnsi="Times New Roman"/>
          <w:sz w:val="20"/>
        </w:rPr>
        <w:t xml:space="preserve">ING BANK N.V., </w:t>
      </w:r>
    </w:p>
    <w:p>
      <w:pPr>
        <w:pStyle w:val="TextBody"/>
        <w:bidi w:val="0"/>
        <w:spacing w:before="0" w:after="0"/>
        <w:jc w:val="center"/>
        <w:rPr>
          <w:rFonts w:ascii="Times New Roman" w:hAnsi="Times New Roman"/>
          <w:sz w:val="20"/>
        </w:rPr>
      </w:pPr>
      <w:r>
        <w:rPr>
          <w:rFonts w:ascii="Times New Roman" w:hAnsi="Times New Roman"/>
          <w:sz w:val="20"/>
        </w:rPr>
        <w:t xml:space="preserve">NATIXIS,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NATWEST MARKETS PLC,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BANCA IMI S.P.A., LONDON BRANCH, </w:t>
      </w:r>
    </w:p>
    <w:p>
      <w:pPr>
        <w:pStyle w:val="TextBody"/>
        <w:bidi w:val="0"/>
        <w:spacing w:before="0" w:after="0"/>
        <w:jc w:val="center"/>
        <w:rPr>
          <w:rFonts w:ascii="Times New Roman" w:hAnsi="Times New Roman"/>
          <w:sz w:val="20"/>
        </w:rPr>
      </w:pPr>
      <w:r>
        <w:rPr>
          <w:rFonts w:ascii="Times New Roman" w:hAnsi="Times New Roman"/>
          <w:sz w:val="20"/>
        </w:rPr>
        <w:t xml:space="preserve">MUFG BANK, LTD., </w:t>
      </w:r>
    </w:p>
    <w:p>
      <w:pPr>
        <w:pStyle w:val="TextBody"/>
        <w:bidi w:val="0"/>
        <w:spacing w:before="0" w:after="0"/>
        <w:jc w:val="center"/>
        <w:rPr>
          <w:rFonts w:ascii="Times New Roman" w:hAnsi="Times New Roman"/>
          <w:sz w:val="20"/>
        </w:rPr>
      </w:pPr>
      <w:r>
        <w:rPr>
          <w:rFonts w:ascii="Times New Roman" w:hAnsi="Times New Roman"/>
          <w:sz w:val="20"/>
        </w:rPr>
        <w:t xml:space="preserve">DNB (UK) LIMITED, </w:t>
      </w:r>
    </w:p>
    <w:p>
      <w:pPr>
        <w:pStyle w:val="TextBody"/>
        <w:bidi w:val="0"/>
        <w:spacing w:before="0" w:after="0"/>
        <w:jc w:val="center"/>
        <w:rPr>
          <w:rFonts w:ascii="Times New Roman" w:hAnsi="Times New Roman"/>
          <w:sz w:val="20"/>
        </w:rPr>
      </w:pPr>
      <w:r>
        <w:rPr>
          <w:rFonts w:ascii="Times New Roman" w:hAnsi="Times New Roman"/>
          <w:sz w:val="20"/>
        </w:rPr>
        <w:t xml:space="preserve">THE BANK OF NOVA SCOTIA, LONDON BRANCH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9"/>
        <w:gridCol w:w="87"/>
        <w:gridCol w:w="7842"/>
        <w:gridCol w:w="137"/>
        <w:gridCol w:w="70"/>
        <w:gridCol w:w="446"/>
        <w:gridCol w:w="64"/>
      </w:tblGrid>
      <w:tr>
        <w:trPr/>
        <w:tc>
          <w:tcPr>
            <w:tcW w:w="1559"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84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5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0141" w:type="dxa"/>
            <w:gridSpan w:val="6"/>
            <w:tcBorders/>
          </w:tcPr>
          <w:p>
            <w:pPr>
              <w:pStyle w:val="TableContents"/>
              <w:bidi w:val="0"/>
              <w:spacing w:before="0" w:after="283"/>
              <w:jc w:val="center"/>
              <w:rPr/>
            </w:pPr>
            <w:r>
              <w:rPr/>
              <w:t>ARTICLE 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DEFINITIONS</w:t>
            </w:r>
          </w:p>
        </w:tc>
        <w:tc>
          <w:tcPr>
            <w:tcW w:w="64" w:type="dxa"/>
            <w:tcBorders/>
          </w:tcPr>
          <w:p>
            <w:pPr>
              <w:pStyle w:val="TableContents"/>
              <w:bidi w:val="0"/>
              <w:spacing w:before="0" w:after="0"/>
              <w:jc w:val="left"/>
              <w:rPr/>
            </w:pPr>
            <w:r>
              <w:rPr/>
              <w:t> </w:t>
            </w:r>
          </w:p>
        </w:tc>
      </w:tr>
      <w:tr>
        <w:trPr>
          <w:trHeight w:val="120" w:hRule="atLeast"/>
        </w:trPr>
        <w:tc>
          <w:tcPr>
            <w:tcW w:w="1559"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Defined Terms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Classification of Loans and Borrowings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Terms Generally</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Accounting Terms; IFRS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Effectuation of Transactions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Limited Condition Transactions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Certain Determinations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Additional Alternative Currencies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Currency Equivalents Generally</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Divisions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Agreed Security Principles; Guarantee Limitations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Additional Borrowers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Borrower Representative</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Guernsey Customary Law</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THE CREDITS</w:t>
            </w:r>
          </w:p>
        </w:tc>
        <w:tc>
          <w:tcPr>
            <w:tcW w:w="64" w:type="dxa"/>
            <w:tcBorders/>
          </w:tcPr>
          <w:p>
            <w:pPr>
              <w:pStyle w:val="TableContents"/>
              <w:bidi w:val="0"/>
              <w:spacing w:before="0" w:after="0"/>
              <w:jc w:val="left"/>
              <w:rPr/>
            </w:pPr>
            <w:r>
              <w:rPr/>
              <w:t> </w:t>
            </w:r>
          </w:p>
        </w:tc>
      </w:tr>
      <w:tr>
        <w:trPr>
          <w:trHeight w:val="120" w:hRule="atLeast"/>
        </w:trPr>
        <w:tc>
          <w:tcPr>
            <w:tcW w:w="1559"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Commitments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Loans and Borrowings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Requests for Borrowings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Letters of Credit</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Funding of Borrowings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Interest Elections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Termination and Reduction of Commitments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Repayment of Loans; Evidence of Debt</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Amortization of Term Loans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Prepayment of Loans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Fees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Interest</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Alternate Rate of Interest</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Increased Costs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Break Funding Payments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Taxes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Payments Generally; Pro Rata Treatment; Sharing of Setoffs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Mitigation Obligations; Replacement of Lenders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Incremental Credit Extensions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Refinancing Amendments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Defaulting Lenders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283"/>
              <w:jc w:val="left"/>
              <w:rPr/>
            </w:pPr>
            <w:r>
              <w:rPr/>
              <w:t>Illegality</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Loan Modification Offers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87" w:type="dxa"/>
            <w:tcBorders/>
            <w:vAlign w:val="bottom"/>
          </w:tcPr>
          <w:p>
            <w:pPr>
              <w:pStyle w:val="TableContents"/>
              <w:bidi w:val="0"/>
              <w:spacing w:before="0" w:after="283"/>
              <w:jc w:val="left"/>
              <w:rPr/>
            </w:pPr>
            <w:r>
              <w:rPr/>
              <w:t> </w:t>
            </w:r>
          </w:p>
        </w:tc>
        <w:tc>
          <w:tcPr>
            <w:tcW w:w="78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Swingline Loans</w:t>
            </w:r>
          </w:p>
        </w:tc>
        <w:tc>
          <w:tcPr>
            <w:tcW w:w="13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4"/>
        <w:gridCol w:w="99"/>
        <w:gridCol w:w="7688"/>
        <w:gridCol w:w="145"/>
        <w:gridCol w:w="70"/>
        <w:gridCol w:w="447"/>
        <w:gridCol w:w="62"/>
      </w:tblGrid>
      <w:tr>
        <w:trPr/>
        <w:tc>
          <w:tcPr>
            <w:tcW w:w="1694"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69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10143" w:type="dxa"/>
            <w:gridSpan w:val="6"/>
            <w:tcBorders/>
          </w:tcPr>
          <w:p>
            <w:pPr>
              <w:pStyle w:val="TableContents"/>
              <w:bidi w:val="0"/>
              <w:spacing w:before="0" w:after="283"/>
              <w:jc w:val="center"/>
              <w:rPr/>
            </w:pPr>
            <w:r>
              <w:rPr/>
              <w:t>ARTICLE III</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REPRESENTATIONS AND WARRANTIES</w:t>
            </w:r>
          </w:p>
        </w:tc>
        <w:tc>
          <w:tcPr>
            <w:tcW w:w="62" w:type="dxa"/>
            <w:tcBorders/>
          </w:tcPr>
          <w:p>
            <w:pPr>
              <w:pStyle w:val="TableContents"/>
              <w:bidi w:val="0"/>
              <w:spacing w:before="0" w:after="0"/>
              <w:jc w:val="left"/>
              <w:rPr/>
            </w:pPr>
            <w:r>
              <w:rPr/>
              <w:t> </w:t>
            </w:r>
          </w:p>
        </w:tc>
      </w:tr>
      <w:tr>
        <w:trPr>
          <w:trHeight w:val="120" w:hRule="atLeast"/>
        </w:trPr>
        <w:tc>
          <w:tcPr>
            <w:tcW w:w="169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Organization; Powers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Authorization; Enforceability</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Approvals; No Conflicts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Company Status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 Licenses, Etc.</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Indebtedness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Reserve Regulations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Anti-Corruption Laws; Sanctions; USA PATRIOT Act</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IV</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CONDITIONS</w:t>
            </w:r>
          </w:p>
        </w:tc>
        <w:tc>
          <w:tcPr>
            <w:tcW w:w="62" w:type="dxa"/>
            <w:tcBorders/>
          </w:tcPr>
          <w:p>
            <w:pPr>
              <w:pStyle w:val="TableContents"/>
              <w:bidi w:val="0"/>
              <w:spacing w:before="0" w:after="0"/>
              <w:jc w:val="left"/>
              <w:rPr/>
            </w:pPr>
            <w:r>
              <w:rPr/>
              <w:t> </w:t>
            </w:r>
          </w:p>
        </w:tc>
      </w:tr>
      <w:tr>
        <w:trPr>
          <w:trHeight w:val="120" w:hRule="atLeast"/>
        </w:trPr>
        <w:tc>
          <w:tcPr>
            <w:tcW w:w="169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Date and Certain Funds Utilization</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Each Credit Event</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ARTICLE V</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283"/>
              <w:jc w:val="center"/>
              <w:rPr/>
            </w:pPr>
            <w:r>
              <w:rPr/>
              <w:t>AFFIRMATIVE COVENANTS</w:t>
            </w:r>
          </w:p>
        </w:tc>
        <w:tc>
          <w:tcPr>
            <w:tcW w:w="62" w:type="dxa"/>
            <w:tcBorders/>
          </w:tcPr>
          <w:p>
            <w:pPr>
              <w:pStyle w:val="TableContents"/>
              <w:bidi w:val="0"/>
              <w:spacing w:before="0" w:after="0"/>
              <w:jc w:val="left"/>
              <w:rPr/>
            </w:pPr>
            <w:r>
              <w:rPr/>
              <w:t> </w:t>
            </w:r>
          </w:p>
        </w:tc>
      </w:tr>
      <w:tr>
        <w:trPr>
          <w:trHeight w:val="120" w:hRule="atLeast"/>
        </w:trPr>
        <w:tc>
          <w:tcPr>
            <w:tcW w:w="1694" w:type="dxa"/>
            <w:tcBorders/>
            <w:vAlign w:val="center"/>
          </w:tcPr>
          <w:p>
            <w:pPr>
              <w:pStyle w:val="TableContents"/>
              <w:bidi w:val="0"/>
              <w:spacing w:before="0" w:after="283"/>
              <w:jc w:val="left"/>
              <w:rPr>
                <w:sz w:val="4"/>
                <w:szCs w:val="4"/>
              </w:rPr>
            </w:pPr>
            <w:r>
              <w:rPr>
                <w:sz w:val="4"/>
                <w:szCs w:val="4"/>
              </w:rPr>
            </w:r>
          </w:p>
        </w:tc>
        <w:tc>
          <w:tcPr>
            <w:tcW w:w="7787"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Statements and Other Information</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Notices of Material Events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155</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Information Regarding Collateral</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Existence; Conduct of Business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Taxes, Etc.</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156</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Maintenance of Properties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Books and Records; Inspection and Audit Rights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157</w:t>
            </w:r>
          </w:p>
        </w:tc>
        <w:tc>
          <w:tcPr>
            <w:tcW w:w="62" w:type="dxa"/>
            <w:tcBorders/>
            <w:vAlign w:val="bottom"/>
          </w:tcPr>
          <w:p>
            <w:pPr>
              <w:pStyle w:val="TableContents"/>
              <w:bidi w:val="0"/>
              <w:spacing w:before="0" w:after="283"/>
              <w:jc w:val="left"/>
              <w:rPr/>
            </w:pPr>
            <w:r>
              <w:rPr/>
              <w:t> </w:t>
            </w:r>
          </w:p>
        </w:tc>
      </w:tr>
      <w:tr>
        <w:trPr/>
        <w:tc>
          <w:tcPr>
            <w:tcW w:w="1694"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9" w:type="dxa"/>
            <w:tcBorders/>
            <w:vAlign w:val="bottom"/>
          </w:tcPr>
          <w:p>
            <w:pPr>
              <w:pStyle w:val="TableContents"/>
              <w:bidi w:val="0"/>
              <w:spacing w:before="0" w:after="283"/>
              <w:jc w:val="left"/>
              <w:rPr/>
            </w:pPr>
            <w:r>
              <w:rPr/>
              <w:t> </w:t>
            </w:r>
          </w:p>
        </w:tc>
        <w:tc>
          <w:tcPr>
            <w:tcW w:w="7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4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158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9"/>
        <w:gridCol w:w="96"/>
        <w:gridCol w:w="7729"/>
        <w:gridCol w:w="143"/>
        <w:gridCol w:w="70"/>
        <w:gridCol w:w="445"/>
        <w:gridCol w:w="63"/>
      </w:tblGrid>
      <w:tr>
        <w:trPr/>
        <w:tc>
          <w:tcPr>
            <w:tcW w:w="1659"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72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Use of Proceeds and Letters of Credit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Subsidiaries; Guarantor Coverage Test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160</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Designation of Subsidiaries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160</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Post-Closing Obligations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160</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Maintenance of Rating of Bidco and the Facilities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Lines of Business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Refinancing</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Undertakings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 NEGATIVE COVENANTS</w:t>
            </w:r>
          </w:p>
        </w:tc>
        <w:tc>
          <w:tcPr>
            <w:tcW w:w="63" w:type="dxa"/>
            <w:tcBorders/>
          </w:tcPr>
          <w:p>
            <w:pPr>
              <w:pStyle w:val="TableContents"/>
              <w:bidi w:val="0"/>
              <w:spacing w:before="0" w:after="0"/>
              <w:jc w:val="left"/>
              <w:rPr/>
            </w:pPr>
            <w:r>
              <w:rPr/>
              <w:t> </w:t>
            </w:r>
          </w:p>
        </w:tc>
      </w:tr>
      <w:tr>
        <w:trPr>
          <w:trHeight w:val="120" w:hRule="atLeast"/>
        </w:trPr>
        <w:tc>
          <w:tcPr>
            <w:tcW w:w="1659" w:type="dxa"/>
            <w:tcBorders/>
            <w:vAlign w:val="center"/>
          </w:tcPr>
          <w:p>
            <w:pPr>
              <w:pStyle w:val="TableContents"/>
              <w:bidi w:val="0"/>
              <w:spacing w:before="0" w:after="283"/>
              <w:jc w:val="left"/>
              <w:rPr>
                <w:sz w:val="4"/>
                <w:szCs w:val="4"/>
              </w:rPr>
            </w:pPr>
            <w:r>
              <w:rPr>
                <w:sz w:val="4"/>
                <w:szCs w:val="4"/>
              </w:rPr>
            </w:r>
          </w:p>
        </w:tc>
        <w:tc>
          <w:tcPr>
            <w:tcW w:w="7825"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Indebtedness; Certain Equity Securities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Fundamental Changes; Holdings Covenant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Asset Sales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Limitation on Restricted Payments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177</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Restrictive Agreements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Performance Covenant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EVENTS OF DEFAULT</w:t>
            </w:r>
          </w:p>
        </w:tc>
        <w:tc>
          <w:tcPr>
            <w:tcW w:w="63" w:type="dxa"/>
            <w:tcBorders/>
          </w:tcPr>
          <w:p>
            <w:pPr>
              <w:pStyle w:val="TableContents"/>
              <w:bidi w:val="0"/>
              <w:spacing w:before="0" w:after="0"/>
              <w:jc w:val="left"/>
              <w:rPr/>
            </w:pPr>
            <w:r>
              <w:rPr/>
              <w:t> </w:t>
            </w:r>
          </w:p>
        </w:tc>
      </w:tr>
      <w:tr>
        <w:trPr>
          <w:trHeight w:val="120" w:hRule="atLeast"/>
        </w:trPr>
        <w:tc>
          <w:tcPr>
            <w:tcW w:w="1659" w:type="dxa"/>
            <w:tcBorders/>
            <w:vAlign w:val="center"/>
          </w:tcPr>
          <w:p>
            <w:pPr>
              <w:pStyle w:val="TableContents"/>
              <w:bidi w:val="0"/>
              <w:spacing w:before="0" w:after="283"/>
              <w:jc w:val="left"/>
              <w:rPr>
                <w:sz w:val="4"/>
                <w:szCs w:val="4"/>
              </w:rPr>
            </w:pPr>
            <w:r>
              <w:rPr>
                <w:sz w:val="4"/>
                <w:szCs w:val="4"/>
              </w:rPr>
            </w:r>
          </w:p>
        </w:tc>
        <w:tc>
          <w:tcPr>
            <w:tcW w:w="7825"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 to Cure</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ADMINISTRATIVE AGENT</w:t>
            </w:r>
          </w:p>
        </w:tc>
        <w:tc>
          <w:tcPr>
            <w:tcW w:w="63" w:type="dxa"/>
            <w:tcBorders/>
          </w:tcPr>
          <w:p>
            <w:pPr>
              <w:pStyle w:val="TableContents"/>
              <w:bidi w:val="0"/>
              <w:spacing w:before="0" w:after="0"/>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Appointment and Authority</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Rights as a Lender</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Exculpatory Provisions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Reliance by Administrative Agent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Resignation of Administrative Agent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197</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Non-Reliance on Administrative Agent and Other Lenders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Other Duties, Etc.</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Administrative Agent May File Proofs of Claim</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 Waiver; Cumulative Remedies; Enforcement</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200</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Taxes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1659"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96" w:type="dxa"/>
            <w:tcBorders/>
            <w:vAlign w:val="bottom"/>
          </w:tcPr>
          <w:p>
            <w:pPr>
              <w:pStyle w:val="TableContents"/>
              <w:bidi w:val="0"/>
              <w:spacing w:before="0" w:after="283"/>
              <w:jc w:val="left"/>
              <w:rPr/>
            </w:pPr>
            <w:r>
              <w:rPr/>
              <w:t> </w:t>
            </w:r>
          </w:p>
        </w:tc>
        <w:tc>
          <w:tcPr>
            <w:tcW w:w="7729" w:type="dxa"/>
            <w:tcBorders/>
            <w:vAlign w:val="bottom"/>
          </w:tcPr>
          <w:p>
            <w:pPr>
              <w:pStyle w:val="TableContents"/>
              <w:bidi w:val="0"/>
              <w:spacing w:before="0" w:after="283"/>
              <w:jc w:val="left"/>
              <w:rPr/>
            </w:pPr>
            <w:r>
              <w:rPr/>
              <w:t>Certain ERISA Matters</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2"/>
        <w:gridCol w:w="72"/>
        <w:gridCol w:w="8045"/>
        <w:gridCol w:w="128"/>
        <w:gridCol w:w="70"/>
        <w:gridCol w:w="445"/>
        <w:gridCol w:w="63"/>
      </w:tblGrid>
      <w:tr>
        <w:trPr/>
        <w:tc>
          <w:tcPr>
            <w:tcW w:w="138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804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8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382" w:type="dxa"/>
            <w:tcBorders/>
            <w:vAlign w:val="center"/>
          </w:tcPr>
          <w:p>
            <w:pPr>
              <w:pStyle w:val="TableContents"/>
              <w:bidi w:val="0"/>
              <w:spacing w:before="0" w:after="283"/>
              <w:jc w:val="left"/>
              <w:rPr>
                <w:sz w:val="4"/>
                <w:szCs w:val="4"/>
              </w:rPr>
            </w:pPr>
            <w:r>
              <w:rPr>
                <w:sz w:val="4"/>
                <w:szCs w:val="4"/>
              </w:rPr>
            </w:r>
          </w:p>
        </w:tc>
        <w:tc>
          <w:tcPr>
            <w:tcW w:w="8117"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Notices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Waivers; Amendments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204</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Expenses; Indemnity; Damage Waiver</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Successors and Assigns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210</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Survival</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217</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Counterparts; Integration; Effectiveness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218</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Severability</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218</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Right of Setoff</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218</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Governing Law; Jurisdiction; Consent to Service of Process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219</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WAIVER OF JURY TRIAL</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220</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Headings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220</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Confidentiality</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220</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USA PATRIOT Act</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221</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Release of Liens and Guarantees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222</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No Advisory or Fiduciary Responsibility</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223</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Interest Rate Limitation</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223</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Intercreditor Agreements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223</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Cashless Settlement</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224</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Acknowledgement and Consent to Bail-In of Affected Financial Institutions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224</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Acknowledgement Regarding Any Supported QFCs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225</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Joint and Several Liability</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226</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Judgment Currency</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226</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Lender Affiliates and Facility Offices</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226</w:t>
            </w:r>
          </w:p>
        </w:tc>
        <w:tc>
          <w:tcPr>
            <w:tcW w:w="63" w:type="dxa"/>
            <w:tcBorders/>
            <w:vAlign w:val="bottom"/>
          </w:tcPr>
          <w:p>
            <w:pPr>
              <w:pStyle w:val="TableContents"/>
              <w:bidi w:val="0"/>
              <w:spacing w:before="0" w:after="283"/>
              <w:jc w:val="left"/>
              <w:rPr/>
            </w:pPr>
            <w:r>
              <w:rPr/>
              <w:t> </w:t>
            </w:r>
          </w:p>
        </w:tc>
      </w:tr>
      <w:tr>
        <w:trPr/>
        <w:tc>
          <w:tcPr>
            <w:tcW w:w="13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72" w:type="dxa"/>
            <w:tcBorders/>
            <w:vAlign w:val="bottom"/>
          </w:tcPr>
          <w:p>
            <w:pPr>
              <w:pStyle w:val="TableContents"/>
              <w:bidi w:val="0"/>
              <w:spacing w:before="0" w:after="283"/>
              <w:jc w:val="left"/>
              <w:rPr/>
            </w:pPr>
            <w:r>
              <w:rPr/>
              <w:t> </w:t>
            </w:r>
          </w:p>
        </w:tc>
        <w:tc>
          <w:tcPr>
            <w:tcW w:w="8045" w:type="dxa"/>
            <w:tcBorders/>
            <w:vAlign w:val="bottom"/>
          </w:tcPr>
          <w:p>
            <w:pPr>
              <w:pStyle w:val="TableContents"/>
              <w:bidi w:val="0"/>
              <w:spacing w:before="0" w:after="283"/>
              <w:jc w:val="left"/>
              <w:rPr/>
            </w:pPr>
            <w:r>
              <w:rPr/>
              <w:t>Interim Facilities Agreement</w:t>
            </w:r>
          </w:p>
        </w:tc>
        <w:tc>
          <w:tcPr>
            <w:tcW w:w="1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p>
    <w:tbl>
      <w:tblPr>
        <w:tblW w:w="5000" w:type="pct"/>
        <w:jc w:val="center"/>
        <w:tblInd w:w="0" w:type="dxa"/>
        <w:tblLayout w:type="fixed"/>
        <w:tblCellMar>
          <w:top w:w="0" w:type="dxa"/>
          <w:left w:w="0" w:type="dxa"/>
          <w:bottom w:w="0" w:type="dxa"/>
          <w:right w:w="0" w:type="dxa"/>
        </w:tblCellMar>
      </w:tblPr>
      <w:tblGrid>
        <w:gridCol w:w="1619"/>
        <w:gridCol w:w="110"/>
        <w:gridCol w:w="260"/>
        <w:gridCol w:w="127"/>
        <w:gridCol w:w="8089"/>
      </w:tblGrid>
      <w:tr>
        <w:trPr/>
        <w:tc>
          <w:tcPr>
            <w:tcW w:w="161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089" w:type="dxa"/>
            <w:tcBorders/>
            <w:vAlign w:val="center"/>
          </w:tcPr>
          <w:p>
            <w:pPr>
              <w:pStyle w:val="TableContents"/>
              <w:bidi w:val="0"/>
              <w:spacing w:before="0" w:after="283"/>
              <w:jc w:val="left"/>
              <w:rPr>
                <w:sz w:val="4"/>
                <w:szCs w:val="4"/>
              </w:rPr>
            </w:pPr>
            <w:r>
              <w:rPr>
                <w:sz w:val="4"/>
                <w:szCs w:val="4"/>
              </w:rPr>
            </w:r>
          </w:p>
        </w:tc>
      </w:tr>
      <w:tr>
        <w:trPr/>
        <w:tc>
          <w:tcPr>
            <w:tcW w:w="1619" w:type="dxa"/>
            <w:tcBorders/>
          </w:tcPr>
          <w:p>
            <w:pPr>
              <w:pStyle w:val="TableContents"/>
              <w:bidi w:val="0"/>
              <w:spacing w:before="0" w:after="283"/>
              <w:jc w:val="left"/>
              <w:rPr/>
            </w:pPr>
            <w:r>
              <w:rPr>
                <w:u w:val="single"/>
              </w:rPr>
              <w:t>SCHEDULES</w:t>
            </w:r>
            <w:r>
              <w:rPr/>
              <w:t>:</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283"/>
              <w:jc w:val="left"/>
              <w:rPr>
                <w:sz w:val="4"/>
                <w:szCs w:val="4"/>
              </w:rPr>
            </w:pPr>
            <w:r>
              <w:rPr>
                <w:sz w:val="4"/>
                <w:szCs w:val="4"/>
              </w:rPr>
            </w:r>
          </w:p>
        </w:tc>
      </w:tr>
      <w:tr>
        <w:trPr>
          <w:trHeight w:val="240" w:hRule="atLeast"/>
        </w:trPr>
        <w:tc>
          <w:tcPr>
            <w:tcW w:w="1619" w:type="dxa"/>
            <w:tcBorders/>
            <w:vAlign w:val="center"/>
          </w:tcPr>
          <w:p>
            <w:pPr>
              <w:pStyle w:val="TableContents"/>
              <w:bidi w:val="0"/>
              <w:spacing w:before="0" w:after="283"/>
              <w:jc w:val="left"/>
              <w:rPr>
                <w:sz w:val="4"/>
                <w:szCs w:val="4"/>
              </w:rPr>
            </w:pPr>
            <w:r>
              <w:rPr>
                <w:sz w:val="4"/>
                <w:szCs w:val="4"/>
              </w:rPr>
            </w:r>
          </w:p>
        </w:tc>
        <w:tc>
          <w:tcPr>
            <w:tcW w:w="370" w:type="dxa"/>
            <w:gridSpan w:val="2"/>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r>
      <w:tr>
        <w:trPr/>
        <w:tc>
          <w:tcPr>
            <w:tcW w:w="1619" w:type="dxa"/>
            <w:tcBorders/>
          </w:tcPr>
          <w:p>
            <w:pPr>
              <w:pStyle w:val="TableContents"/>
              <w:bidi w:val="0"/>
              <w:spacing w:before="0" w:after="283"/>
              <w:jc w:val="left"/>
              <w:rPr/>
            </w:pPr>
            <w:r>
              <w:rPr/>
              <w:t>Schedule 1.01(a)</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Agreed Security Principles</w:t>
            </w:r>
          </w:p>
        </w:tc>
      </w:tr>
      <w:tr>
        <w:trPr/>
        <w:tc>
          <w:tcPr>
            <w:tcW w:w="1619" w:type="dxa"/>
            <w:tcBorders/>
          </w:tcPr>
          <w:p>
            <w:pPr>
              <w:pStyle w:val="TableContents"/>
              <w:bidi w:val="0"/>
              <w:spacing w:before="0" w:after="283"/>
              <w:jc w:val="left"/>
              <w:rPr/>
            </w:pPr>
            <w:r>
              <w:rPr/>
              <w:t>Schedule 1.01(b)</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Excluded Subsidiaries</w:t>
            </w:r>
          </w:p>
        </w:tc>
      </w:tr>
      <w:tr>
        <w:trPr/>
        <w:tc>
          <w:tcPr>
            <w:tcW w:w="1619" w:type="dxa"/>
            <w:tcBorders/>
          </w:tcPr>
          <w:p>
            <w:pPr>
              <w:pStyle w:val="TableContents"/>
              <w:bidi w:val="0"/>
              <w:spacing w:before="0" w:after="283"/>
              <w:jc w:val="left"/>
              <w:rPr/>
            </w:pPr>
            <w:r>
              <w:rPr/>
              <w:t>Schedule 1.01(c)</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Existing Letters of Credit</w:t>
            </w:r>
          </w:p>
        </w:tc>
      </w:tr>
      <w:tr>
        <w:trPr/>
        <w:tc>
          <w:tcPr>
            <w:tcW w:w="1619" w:type="dxa"/>
            <w:tcBorders/>
          </w:tcPr>
          <w:p>
            <w:pPr>
              <w:pStyle w:val="TableContents"/>
              <w:bidi w:val="0"/>
              <w:spacing w:before="0" w:after="283"/>
              <w:jc w:val="left"/>
              <w:rPr/>
            </w:pPr>
            <w:r>
              <w:rPr/>
              <w:t>Schedule 1.01(d)</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Non-U.S. Security Agreements</w:t>
            </w:r>
          </w:p>
        </w:tc>
      </w:tr>
      <w:tr>
        <w:trPr/>
        <w:tc>
          <w:tcPr>
            <w:tcW w:w="1619" w:type="dxa"/>
            <w:tcBorders/>
          </w:tcPr>
          <w:p>
            <w:pPr>
              <w:pStyle w:val="TableContents"/>
              <w:bidi w:val="0"/>
              <w:spacing w:before="0" w:after="283"/>
              <w:jc w:val="left"/>
              <w:rPr/>
            </w:pPr>
            <w:r>
              <w:rPr/>
              <w:t>Schedule 2.01</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Loans</w:t>
            </w:r>
          </w:p>
        </w:tc>
      </w:tr>
      <w:tr>
        <w:trPr/>
        <w:tc>
          <w:tcPr>
            <w:tcW w:w="1619" w:type="dxa"/>
            <w:tcBorders/>
          </w:tcPr>
          <w:p>
            <w:pPr>
              <w:pStyle w:val="TableContents"/>
              <w:bidi w:val="0"/>
              <w:spacing w:before="0" w:after="283"/>
              <w:jc w:val="left"/>
              <w:rPr/>
            </w:pPr>
            <w:r>
              <w:rPr/>
              <w:t>Schedule 3.03</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Approvals; No Conflicts</w:t>
            </w:r>
          </w:p>
        </w:tc>
      </w:tr>
      <w:tr>
        <w:trPr/>
        <w:tc>
          <w:tcPr>
            <w:tcW w:w="1619" w:type="dxa"/>
            <w:tcBorders/>
          </w:tcPr>
          <w:p>
            <w:pPr>
              <w:pStyle w:val="TableContents"/>
              <w:bidi w:val="0"/>
              <w:spacing w:before="0" w:after="283"/>
              <w:jc w:val="left"/>
              <w:rPr/>
            </w:pPr>
            <w:r>
              <w:rPr/>
              <w:t>Schedule 3.06</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r>
      <w:tr>
        <w:trPr/>
        <w:tc>
          <w:tcPr>
            <w:tcW w:w="1619" w:type="dxa"/>
            <w:tcBorders/>
          </w:tcPr>
          <w:p>
            <w:pPr>
              <w:pStyle w:val="TableContents"/>
              <w:bidi w:val="0"/>
              <w:spacing w:before="0" w:after="283"/>
              <w:jc w:val="left"/>
              <w:rPr/>
            </w:pPr>
            <w:r>
              <w:rPr/>
              <w:t>Schedule 3.12</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r>
      <w:tr>
        <w:trPr/>
        <w:tc>
          <w:tcPr>
            <w:tcW w:w="1619" w:type="dxa"/>
            <w:tcBorders/>
          </w:tcPr>
          <w:p>
            <w:pPr>
              <w:pStyle w:val="TableContents"/>
              <w:bidi w:val="0"/>
              <w:spacing w:before="0" w:after="283"/>
              <w:jc w:val="left"/>
              <w:rPr/>
            </w:pPr>
            <w:r>
              <w:rPr/>
              <w:t>Schedule 5.14</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Certain Post-Closing Obligations</w:t>
            </w:r>
          </w:p>
        </w:tc>
      </w:tr>
      <w:tr>
        <w:trPr/>
        <w:tc>
          <w:tcPr>
            <w:tcW w:w="1619" w:type="dxa"/>
            <w:tcBorders/>
          </w:tcPr>
          <w:p>
            <w:pPr>
              <w:pStyle w:val="TableContents"/>
              <w:bidi w:val="0"/>
              <w:spacing w:before="0" w:after="283"/>
              <w:jc w:val="left"/>
              <w:rPr/>
            </w:pPr>
            <w:r>
              <w:rPr/>
              <w:t>Schedule 5.17</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r>
      <w:tr>
        <w:trPr/>
        <w:tc>
          <w:tcPr>
            <w:tcW w:w="1619" w:type="dxa"/>
            <w:tcBorders/>
          </w:tcPr>
          <w:p>
            <w:pPr>
              <w:pStyle w:val="TableContents"/>
              <w:bidi w:val="0"/>
              <w:spacing w:before="0" w:after="283"/>
              <w:jc w:val="left"/>
              <w:rPr/>
            </w:pPr>
            <w:r>
              <w:rPr/>
              <w:t>Schedule 9.01</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r>
      <w:tr>
        <w:trPr>
          <w:trHeight w:val="240" w:hRule="atLeast"/>
        </w:trPr>
        <w:tc>
          <w:tcPr>
            <w:tcW w:w="1619" w:type="dxa"/>
            <w:tcBorders/>
            <w:vAlign w:val="center"/>
          </w:tcPr>
          <w:p>
            <w:pPr>
              <w:pStyle w:val="TableContents"/>
              <w:bidi w:val="0"/>
              <w:spacing w:before="0" w:after="283"/>
              <w:jc w:val="left"/>
              <w:rPr>
                <w:sz w:val="4"/>
                <w:szCs w:val="4"/>
              </w:rPr>
            </w:pPr>
            <w:r>
              <w:rPr>
                <w:sz w:val="4"/>
                <w:szCs w:val="4"/>
              </w:rPr>
            </w:r>
          </w:p>
        </w:tc>
        <w:tc>
          <w:tcPr>
            <w:tcW w:w="370" w:type="dxa"/>
            <w:gridSpan w:val="2"/>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r>
      <w:tr>
        <w:trPr/>
        <w:tc>
          <w:tcPr>
            <w:tcW w:w="1619" w:type="dxa"/>
            <w:tcBorders/>
          </w:tcPr>
          <w:p>
            <w:pPr>
              <w:pStyle w:val="TableContents"/>
              <w:bidi w:val="0"/>
              <w:spacing w:before="0" w:after="283"/>
              <w:jc w:val="left"/>
              <w:rPr/>
            </w:pPr>
            <w:r>
              <w:rPr>
                <w:u w:val="single"/>
              </w:rPr>
              <w:t>EXHIBITS</w:t>
            </w:r>
            <w:r>
              <w:rPr/>
              <w:t>:</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283"/>
              <w:jc w:val="left"/>
              <w:rPr>
                <w:sz w:val="4"/>
                <w:szCs w:val="4"/>
              </w:rPr>
            </w:pPr>
            <w:r>
              <w:rPr>
                <w:sz w:val="4"/>
                <w:szCs w:val="4"/>
              </w:rPr>
            </w:r>
          </w:p>
        </w:tc>
      </w:tr>
      <w:tr>
        <w:trPr>
          <w:trHeight w:val="240" w:hRule="atLeast"/>
        </w:trPr>
        <w:tc>
          <w:tcPr>
            <w:tcW w:w="1619" w:type="dxa"/>
            <w:tcBorders/>
            <w:vAlign w:val="center"/>
          </w:tcPr>
          <w:p>
            <w:pPr>
              <w:pStyle w:val="TableContents"/>
              <w:bidi w:val="0"/>
              <w:spacing w:before="0" w:after="283"/>
              <w:jc w:val="left"/>
              <w:rPr>
                <w:sz w:val="4"/>
                <w:szCs w:val="4"/>
              </w:rPr>
            </w:pPr>
            <w:r>
              <w:rPr>
                <w:sz w:val="4"/>
                <w:szCs w:val="4"/>
              </w:rPr>
            </w:r>
          </w:p>
        </w:tc>
        <w:tc>
          <w:tcPr>
            <w:tcW w:w="370" w:type="dxa"/>
            <w:gridSpan w:val="2"/>
            <w:tcBorders/>
            <w:vAlign w:val="center"/>
          </w:tcPr>
          <w:p>
            <w:pPr>
              <w:pStyle w:val="TableContents"/>
              <w:bidi w:val="0"/>
              <w:spacing w:before="0" w:after="283"/>
              <w:jc w:val="left"/>
              <w:rPr>
                <w:sz w:val="4"/>
                <w:szCs w:val="4"/>
              </w:rPr>
            </w:pPr>
            <w:r>
              <w:rPr>
                <w:sz w:val="4"/>
                <w:szCs w:val="4"/>
              </w:rPr>
            </w:r>
          </w:p>
        </w:tc>
        <w:tc>
          <w:tcPr>
            <w:tcW w:w="8216" w:type="dxa"/>
            <w:gridSpan w:val="2"/>
            <w:tcBorders/>
            <w:vAlign w:val="center"/>
          </w:tcPr>
          <w:p>
            <w:pPr>
              <w:pStyle w:val="TableContents"/>
              <w:bidi w:val="0"/>
              <w:spacing w:before="0" w:after="283"/>
              <w:jc w:val="left"/>
              <w:rPr>
                <w:sz w:val="4"/>
                <w:szCs w:val="4"/>
              </w:rPr>
            </w:pPr>
            <w:r>
              <w:rPr>
                <w:sz w:val="4"/>
                <w:szCs w:val="4"/>
              </w:rPr>
            </w:r>
          </w:p>
        </w:tc>
      </w:tr>
      <w:tr>
        <w:trPr/>
        <w:tc>
          <w:tcPr>
            <w:tcW w:w="1619" w:type="dxa"/>
            <w:tcBorders/>
          </w:tcPr>
          <w:p>
            <w:pPr>
              <w:pStyle w:val="TableContents"/>
              <w:bidi w:val="0"/>
              <w:spacing w:before="0" w:after="283"/>
              <w:jc w:val="left"/>
              <w:rPr/>
            </w:pPr>
            <w:r>
              <w:rPr/>
              <w:t>Exhibit A</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Assignment and Assumption</w:t>
            </w:r>
          </w:p>
        </w:tc>
      </w:tr>
      <w:tr>
        <w:trPr/>
        <w:tc>
          <w:tcPr>
            <w:tcW w:w="1619" w:type="dxa"/>
            <w:tcBorders/>
          </w:tcPr>
          <w:p>
            <w:pPr>
              <w:pStyle w:val="TableContents"/>
              <w:bidi w:val="0"/>
              <w:spacing w:before="0" w:after="283"/>
              <w:jc w:val="left"/>
              <w:rPr/>
            </w:pPr>
            <w:r>
              <w:rPr/>
              <w:t>Exhibit B</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Guarantee Agreement</w:t>
            </w:r>
          </w:p>
        </w:tc>
      </w:tr>
      <w:tr>
        <w:trPr/>
        <w:tc>
          <w:tcPr>
            <w:tcW w:w="1619" w:type="dxa"/>
            <w:tcBorders/>
          </w:tcPr>
          <w:p>
            <w:pPr>
              <w:pStyle w:val="TableContents"/>
              <w:bidi w:val="0"/>
              <w:spacing w:before="0" w:after="283"/>
              <w:jc w:val="left"/>
              <w:rPr/>
            </w:pPr>
            <w:r>
              <w:rPr/>
              <w:t>Exhibit C</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Perfection Certificate</w:t>
            </w:r>
          </w:p>
        </w:tc>
      </w:tr>
      <w:tr>
        <w:trPr/>
        <w:tc>
          <w:tcPr>
            <w:tcW w:w="1619" w:type="dxa"/>
            <w:tcBorders/>
          </w:tcPr>
          <w:p>
            <w:pPr>
              <w:pStyle w:val="TableContents"/>
              <w:bidi w:val="0"/>
              <w:spacing w:before="0" w:after="283"/>
              <w:jc w:val="left"/>
              <w:rPr/>
            </w:pPr>
            <w:r>
              <w:rPr/>
              <w:t>Exhibit D</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Collateral Agreement</w:t>
            </w:r>
          </w:p>
        </w:tc>
      </w:tr>
      <w:tr>
        <w:trPr/>
        <w:tc>
          <w:tcPr>
            <w:tcW w:w="1619" w:type="dxa"/>
            <w:tcBorders/>
          </w:tcPr>
          <w:p>
            <w:pPr>
              <w:pStyle w:val="TableContents"/>
              <w:bidi w:val="0"/>
              <w:spacing w:before="0" w:after="283"/>
              <w:jc w:val="left"/>
              <w:rPr/>
            </w:pPr>
            <w:r>
              <w:rPr/>
              <w:t>Exhibit E</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19" w:type="dxa"/>
            <w:tcBorders/>
          </w:tcPr>
          <w:p>
            <w:pPr>
              <w:pStyle w:val="TableContents"/>
              <w:bidi w:val="0"/>
              <w:spacing w:before="0" w:after="283"/>
              <w:jc w:val="left"/>
              <w:rPr/>
            </w:pPr>
            <w:r>
              <w:rPr/>
              <w:t>Exhibit F</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Pari Passu Intercreditor Agreement</w:t>
            </w:r>
          </w:p>
        </w:tc>
      </w:tr>
      <w:tr>
        <w:trPr/>
        <w:tc>
          <w:tcPr>
            <w:tcW w:w="1619" w:type="dxa"/>
            <w:tcBorders/>
          </w:tcPr>
          <w:p>
            <w:pPr>
              <w:pStyle w:val="TableContents"/>
              <w:bidi w:val="0"/>
              <w:spacing w:before="0" w:after="283"/>
              <w:jc w:val="left"/>
              <w:rPr/>
            </w:pPr>
            <w:r>
              <w:rPr/>
              <w:t>Exhibit G</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Second Lien Intercreditor Agreement</w:t>
            </w:r>
          </w:p>
        </w:tc>
      </w:tr>
      <w:tr>
        <w:trPr/>
        <w:tc>
          <w:tcPr>
            <w:tcW w:w="1619" w:type="dxa"/>
            <w:tcBorders/>
          </w:tcPr>
          <w:p>
            <w:pPr>
              <w:pStyle w:val="TableContents"/>
              <w:bidi w:val="0"/>
              <w:spacing w:before="0" w:after="283"/>
              <w:jc w:val="left"/>
              <w:rPr/>
            </w:pPr>
            <w:r>
              <w:rPr/>
              <w:t>Exhibit H</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Additional Borrower Agreement</w:t>
            </w:r>
          </w:p>
        </w:tc>
      </w:tr>
      <w:tr>
        <w:trPr/>
        <w:tc>
          <w:tcPr>
            <w:tcW w:w="1619" w:type="dxa"/>
            <w:tcBorders/>
          </w:tcPr>
          <w:p>
            <w:pPr>
              <w:pStyle w:val="TableContents"/>
              <w:bidi w:val="0"/>
              <w:spacing w:before="0" w:after="283"/>
              <w:jc w:val="left"/>
              <w:rPr/>
            </w:pPr>
            <w:r>
              <w:rPr/>
              <w:t>Exhibit I</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Intercompany Note</w:t>
            </w:r>
          </w:p>
        </w:tc>
      </w:tr>
      <w:tr>
        <w:trPr/>
        <w:tc>
          <w:tcPr>
            <w:tcW w:w="1619" w:type="dxa"/>
            <w:tcBorders/>
          </w:tcPr>
          <w:p>
            <w:pPr>
              <w:pStyle w:val="TableContents"/>
              <w:bidi w:val="0"/>
              <w:spacing w:before="0" w:after="283"/>
              <w:jc w:val="left"/>
              <w:rPr/>
            </w:pPr>
            <w:r>
              <w:rPr/>
              <w:t>Exhibit J</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Specified Discount Prepayment Notice</w:t>
            </w:r>
          </w:p>
        </w:tc>
      </w:tr>
      <w:tr>
        <w:trPr/>
        <w:tc>
          <w:tcPr>
            <w:tcW w:w="1619" w:type="dxa"/>
            <w:tcBorders/>
          </w:tcPr>
          <w:p>
            <w:pPr>
              <w:pStyle w:val="TableContents"/>
              <w:bidi w:val="0"/>
              <w:spacing w:before="0" w:after="283"/>
              <w:jc w:val="left"/>
              <w:rPr/>
            </w:pPr>
            <w:r>
              <w:rPr/>
              <w:t>Exhibit K</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Specified Discount Prepayment Response</w:t>
            </w:r>
          </w:p>
        </w:tc>
      </w:tr>
      <w:tr>
        <w:trPr/>
        <w:tc>
          <w:tcPr>
            <w:tcW w:w="1619" w:type="dxa"/>
            <w:tcBorders/>
          </w:tcPr>
          <w:p>
            <w:pPr>
              <w:pStyle w:val="TableContents"/>
              <w:bidi w:val="0"/>
              <w:spacing w:before="0" w:after="283"/>
              <w:jc w:val="left"/>
              <w:rPr/>
            </w:pPr>
            <w:r>
              <w:rPr/>
              <w:t>Exhibit L</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Discount Range Prepayment Notice</w:t>
            </w:r>
          </w:p>
        </w:tc>
      </w:tr>
      <w:tr>
        <w:trPr/>
        <w:tc>
          <w:tcPr>
            <w:tcW w:w="1619" w:type="dxa"/>
            <w:tcBorders/>
          </w:tcPr>
          <w:p>
            <w:pPr>
              <w:pStyle w:val="TableContents"/>
              <w:bidi w:val="0"/>
              <w:spacing w:before="0" w:after="283"/>
              <w:jc w:val="left"/>
              <w:rPr/>
            </w:pPr>
            <w:r>
              <w:rPr/>
              <w:t>Exhibit M</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Discount Range Prepayment Offer</w:t>
            </w:r>
          </w:p>
        </w:tc>
      </w:tr>
      <w:tr>
        <w:trPr/>
        <w:tc>
          <w:tcPr>
            <w:tcW w:w="1619" w:type="dxa"/>
            <w:tcBorders/>
          </w:tcPr>
          <w:p>
            <w:pPr>
              <w:pStyle w:val="TableContents"/>
              <w:bidi w:val="0"/>
              <w:spacing w:before="0" w:after="283"/>
              <w:jc w:val="left"/>
              <w:rPr/>
            </w:pPr>
            <w:r>
              <w:rPr/>
              <w:t>Exhibit N</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Solicited Discounted Prepayment Notice</w:t>
            </w:r>
          </w:p>
        </w:tc>
      </w:tr>
      <w:tr>
        <w:trPr/>
        <w:tc>
          <w:tcPr>
            <w:tcW w:w="1619" w:type="dxa"/>
            <w:tcBorders/>
          </w:tcPr>
          <w:p>
            <w:pPr>
              <w:pStyle w:val="TableContents"/>
              <w:bidi w:val="0"/>
              <w:spacing w:before="0" w:after="283"/>
              <w:jc w:val="left"/>
              <w:rPr/>
            </w:pPr>
            <w:r>
              <w:rPr/>
              <w:t>Exhibit O</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Solicited Discounted Prepayment Offer</w:t>
            </w:r>
          </w:p>
        </w:tc>
      </w:tr>
      <w:tr>
        <w:trPr/>
        <w:tc>
          <w:tcPr>
            <w:tcW w:w="1619" w:type="dxa"/>
            <w:tcBorders/>
          </w:tcPr>
          <w:p>
            <w:pPr>
              <w:pStyle w:val="TableContents"/>
              <w:bidi w:val="0"/>
              <w:spacing w:before="0" w:after="283"/>
              <w:jc w:val="left"/>
              <w:rPr/>
            </w:pPr>
            <w:r>
              <w:rPr/>
              <w:t>Exhibit P</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Acceptance and Prepayment Notice</w:t>
            </w:r>
          </w:p>
        </w:tc>
      </w:tr>
      <w:tr>
        <w:trPr/>
        <w:tc>
          <w:tcPr>
            <w:tcW w:w="1619" w:type="dxa"/>
            <w:tcBorders/>
          </w:tcPr>
          <w:p>
            <w:pPr>
              <w:pStyle w:val="TableContents"/>
              <w:bidi w:val="0"/>
              <w:spacing w:before="0" w:after="283"/>
              <w:jc w:val="left"/>
              <w:rPr/>
            </w:pPr>
            <w:r>
              <w:rPr/>
              <w:t>Exhibit Q-1</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1 (For Foreign Lenders That Are Not Partnerships for U.S. Federal Income Tax Purposes)</w:t>
            </w:r>
          </w:p>
        </w:tc>
      </w:tr>
      <w:tr>
        <w:trPr/>
        <w:tc>
          <w:tcPr>
            <w:tcW w:w="1619" w:type="dxa"/>
            <w:tcBorders/>
          </w:tcPr>
          <w:p>
            <w:pPr>
              <w:pStyle w:val="TableContents"/>
              <w:bidi w:val="0"/>
              <w:spacing w:before="0" w:after="283"/>
              <w:jc w:val="left"/>
              <w:rPr/>
            </w:pPr>
            <w:r>
              <w:rPr/>
              <w:t>Exhibit Q-2</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2 (For Non-U.S. Lenders That Are Partnerships for U.S. Federal Income Tax Purposes)</w:t>
            </w:r>
          </w:p>
        </w:tc>
      </w:tr>
      <w:tr>
        <w:trPr/>
        <w:tc>
          <w:tcPr>
            <w:tcW w:w="1619" w:type="dxa"/>
            <w:tcBorders/>
          </w:tcPr>
          <w:p>
            <w:pPr>
              <w:pStyle w:val="TableContents"/>
              <w:bidi w:val="0"/>
              <w:spacing w:before="0" w:after="283"/>
              <w:jc w:val="left"/>
              <w:rPr/>
            </w:pPr>
            <w:r>
              <w:rPr/>
              <w:t>Exhibit Q-3</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3 (For Non-U.S. Participants That Are Not Partnerships for U.S. Federal Income Tax Purposes)</w:t>
            </w:r>
          </w:p>
        </w:tc>
      </w:tr>
      <w:tr>
        <w:trPr/>
        <w:tc>
          <w:tcPr>
            <w:tcW w:w="1619" w:type="dxa"/>
            <w:tcBorders/>
          </w:tcPr>
          <w:p>
            <w:pPr>
              <w:pStyle w:val="TableContents"/>
              <w:bidi w:val="0"/>
              <w:spacing w:before="0" w:after="283"/>
              <w:jc w:val="left"/>
              <w:rPr/>
            </w:pPr>
            <w:r>
              <w:rPr/>
              <w:t>Exhibit Q-4</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United States Tax Compliance Certificate 4 (For Non-U.S. Participants That Are Partnerships for U.S. Federal Income Tax Purposes)</w:t>
            </w:r>
          </w:p>
        </w:tc>
      </w:tr>
      <w:tr>
        <w:trPr/>
        <w:tc>
          <w:tcPr>
            <w:tcW w:w="1619" w:type="dxa"/>
            <w:tcBorders/>
          </w:tcPr>
          <w:p>
            <w:pPr>
              <w:pStyle w:val="TableContents"/>
              <w:bidi w:val="0"/>
              <w:spacing w:before="0" w:after="283"/>
              <w:jc w:val="left"/>
              <w:rPr/>
            </w:pPr>
            <w:r>
              <w:rPr/>
              <w:t>Exhibit R</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Note</w:t>
            </w:r>
          </w:p>
        </w:tc>
      </w:tr>
      <w:tr>
        <w:trPr/>
        <w:tc>
          <w:tcPr>
            <w:tcW w:w="1619" w:type="dxa"/>
            <w:tcBorders/>
          </w:tcPr>
          <w:p>
            <w:pPr>
              <w:pStyle w:val="TableContents"/>
              <w:bidi w:val="0"/>
              <w:spacing w:before="0" w:after="283"/>
              <w:jc w:val="left"/>
              <w:rPr/>
            </w:pPr>
            <w:r>
              <w:rPr/>
              <w:t>Exhibit S</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0"/>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c>
          <w:tcPr>
            <w:tcW w:w="1619" w:type="dxa"/>
            <w:tcBorders/>
          </w:tcPr>
          <w:p>
            <w:pPr>
              <w:pStyle w:val="TableContents"/>
              <w:bidi w:val="0"/>
              <w:spacing w:before="0" w:after="283"/>
              <w:jc w:val="left"/>
              <w:rPr/>
            </w:pPr>
            <w:r>
              <w:rPr/>
              <w:t>Exhibit T</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Notice of Borrowing</w:t>
            </w:r>
          </w:p>
        </w:tc>
      </w:tr>
      <w:tr>
        <w:trPr/>
        <w:tc>
          <w:tcPr>
            <w:tcW w:w="1619" w:type="dxa"/>
            <w:tcBorders/>
          </w:tcPr>
          <w:p>
            <w:pPr>
              <w:pStyle w:val="TableContents"/>
              <w:bidi w:val="0"/>
              <w:spacing w:before="0" w:after="283"/>
              <w:jc w:val="left"/>
              <w:rPr/>
            </w:pPr>
            <w:r>
              <w:rPr/>
              <w:t>Exhibit U</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Letter of Credit Request</w:t>
            </w:r>
          </w:p>
        </w:tc>
      </w:tr>
      <w:tr>
        <w:trPr/>
        <w:tc>
          <w:tcPr>
            <w:tcW w:w="1619" w:type="dxa"/>
            <w:tcBorders/>
          </w:tcPr>
          <w:p>
            <w:pPr>
              <w:pStyle w:val="TableContents"/>
              <w:bidi w:val="0"/>
              <w:spacing w:before="0" w:after="283"/>
              <w:jc w:val="left"/>
              <w:rPr/>
            </w:pPr>
            <w:r>
              <w:rPr/>
              <w:t>Exhibit V</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Cash Management Bank Designation</w:t>
            </w:r>
          </w:p>
        </w:tc>
      </w:tr>
      <w:tr>
        <w:trPr/>
        <w:tc>
          <w:tcPr>
            <w:tcW w:w="1619" w:type="dxa"/>
            <w:tcBorders/>
          </w:tcPr>
          <w:p>
            <w:pPr>
              <w:pStyle w:val="TableContents"/>
              <w:bidi w:val="0"/>
              <w:spacing w:before="0" w:after="283"/>
              <w:jc w:val="left"/>
              <w:rPr/>
            </w:pPr>
            <w:r>
              <w:rPr/>
              <w:t>Exhibit W</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Hedge Bank Designation</w:t>
            </w:r>
          </w:p>
        </w:tc>
      </w:tr>
      <w:tr>
        <w:trPr/>
        <w:tc>
          <w:tcPr>
            <w:tcW w:w="1619" w:type="dxa"/>
            <w:tcBorders/>
          </w:tcPr>
          <w:p>
            <w:pPr>
              <w:pStyle w:val="TableContents"/>
              <w:bidi w:val="0"/>
              <w:spacing w:before="0" w:after="283"/>
              <w:jc w:val="left"/>
              <w:rPr/>
            </w:pPr>
            <w:r>
              <w:rPr/>
              <w:t>Exhibit X</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Prepayment Notice</w:t>
            </w:r>
          </w:p>
        </w:tc>
      </w:tr>
      <w:tr>
        <w:trPr/>
        <w:tc>
          <w:tcPr>
            <w:tcW w:w="1619" w:type="dxa"/>
            <w:tcBorders/>
          </w:tcPr>
          <w:p>
            <w:pPr>
              <w:pStyle w:val="TableContents"/>
              <w:bidi w:val="0"/>
              <w:spacing w:before="0" w:after="283"/>
              <w:jc w:val="left"/>
              <w:rPr/>
            </w:pPr>
            <w:r>
              <w:rPr/>
              <w:t>Exhibit Y</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center"/>
              <w:rPr/>
            </w:pPr>
            <w:r>
              <w:rPr/>
              <w:t>—</w:t>
            </w:r>
          </w:p>
        </w:tc>
        <w:tc>
          <w:tcPr>
            <w:tcW w:w="127" w:type="dxa"/>
            <w:tcBorders/>
            <w:vAlign w:val="bottom"/>
          </w:tcPr>
          <w:p>
            <w:pPr>
              <w:pStyle w:val="TableContents"/>
              <w:bidi w:val="0"/>
              <w:spacing w:before="0" w:after="283"/>
              <w:jc w:val="left"/>
              <w:rPr/>
            </w:pPr>
            <w:r>
              <w:rPr/>
              <w:t>  </w:t>
            </w:r>
          </w:p>
        </w:tc>
        <w:tc>
          <w:tcPr>
            <w:tcW w:w="8089" w:type="dxa"/>
            <w:tcBorders/>
          </w:tcPr>
          <w:p>
            <w:pPr>
              <w:pStyle w:val="TableContents"/>
              <w:bidi w:val="0"/>
              <w:spacing w:before="0" w:after="0"/>
              <w:jc w:val="left"/>
              <w:rPr>
                <w:rFonts w:ascii="Times New Roman" w:hAnsi="Times New Roman"/>
                <w:sz w:val="20"/>
              </w:rPr>
            </w:pPr>
            <w:r>
              <w:rPr>
                <w:rFonts w:ascii="Times New Roman" w:hAnsi="Times New Roman"/>
                <w:sz w:val="20"/>
              </w:rPr>
              <w:t>Form of Substitute Affiliate Lender Designation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CREDIT AGREEMENT dated as of December 12, 2019 (this “</w:t>
      </w:r>
      <w:r>
        <w:rPr>
          <w:rFonts w:ascii="Times New Roman" w:hAnsi="Times New Roman"/>
          <w:sz w:val="20"/>
          <w:u w:val="single"/>
        </w:rPr>
        <w:t>Agreement</w:t>
      </w:r>
      <w:r>
        <w:rPr>
          <w:rFonts w:ascii="Times New Roman" w:hAnsi="Times New Roman"/>
          <w:sz w:val="20"/>
        </w:rPr>
        <w:t>”), among CONNECT MIDCO LIMITED (f/k/a Triton Midco (Guernsey) Limited), a non-cellular company limited by shares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non-cellular company limited by shares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private limited liability company (</w:t>
      </w:r>
      <w:r>
        <w:rPr>
          <w:rFonts w:ascii="Times New Roman" w:hAnsi="Times New Roman"/>
          <w:i/>
          <w:sz w:val="20"/>
        </w:rPr>
        <w:t>société à responsabilité limitée</w:t>
      </w:r>
      <w:r>
        <w:rPr>
          <w:rFonts w:ascii="Times New Roman" w:hAnsi="Times New Roman"/>
          <w:sz w:val="20"/>
        </w:rPr>
        <w:t>) incorporated in Luxembourg, having its registered office at 1-3, Boulevard de la Foire, L-1528 Luxembourg, registered with the Luxembourg Companies Register under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in its capacity as a revolving borrower and any Additional Borrowers from time to time party 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hereto and Barclays Bank PLC (“</w:t>
      </w:r>
      <w:r>
        <w:rPr>
          <w:rFonts w:ascii="Times New Roman" w:hAnsi="Times New Roman"/>
          <w:sz w:val="20"/>
          <w:u w:val="single"/>
        </w:rPr>
        <w:t>Barclays</w:t>
      </w:r>
      <w:r>
        <w:rPr>
          <w:rFonts w:ascii="Times New Roman" w:hAnsi="Times New Roman"/>
          <w:sz w:val="20"/>
        </w:rPr>
        <w:t xml:space="preserve">”), as Administrative Agent and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as follows: </w:t>
      </w:r>
    </w:p>
    <w:p>
      <w:pPr>
        <w:pStyle w:val="TextBody"/>
        <w:bidi w:val="0"/>
        <w:spacing w:before="240" w:after="0"/>
        <w:jc w:val="center"/>
        <w:rPr>
          <w:rFonts w:ascii="Times New Roman" w:hAnsi="Times New Roman"/>
          <w:sz w:val="20"/>
        </w:rPr>
      </w:pPr>
      <w:r>
        <w:rPr>
          <w:rFonts w:ascii="Times New Roman" w:hAnsi="Times New Roman"/>
          <w:sz w:val="20"/>
        </w:rPr>
        <w:t>ARTICLE I</w:t>
      </w:r>
      <w:r>
        <w:rPr>
          <w:rFonts w:ascii="Times New Roman" w:hAnsi="Times New Roman"/>
          <w:sz w:val="20"/>
          <w:u w:val="single"/>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the following terms have the meanings specified below: </w:t>
      </w:r>
    </w:p>
    <w:p>
      <w:pPr>
        <w:pStyle w:val="TextBody"/>
        <w:bidi w:val="0"/>
        <w:spacing w:before="240" w:after="0"/>
        <w:jc w:val="left"/>
        <w:rPr/>
      </w:pPr>
      <w:r>
        <w:rPr/>
        <w:t>“</w:t>
      </w:r>
      <w:r>
        <w:rPr>
          <w:rFonts w:ascii="Times New Roman" w:hAnsi="Times New Roman"/>
          <w:sz w:val="20"/>
          <w:u w:val="single"/>
        </w:rPr>
        <w:t>2011 Ex-Im Credit Agreement</w:t>
      </w:r>
      <w:r>
        <w:rPr>
          <w:rFonts w:ascii="Times New Roman" w:hAnsi="Times New Roman"/>
          <w:sz w:val="20"/>
        </w:rPr>
        <w:t xml:space="preserve">” means the credit agreement dated May 11, 2011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left"/>
        <w:rPr/>
      </w:pPr>
      <w:r>
        <w:rPr/>
        <w:t>“</w:t>
      </w:r>
      <w:r>
        <w:rPr>
          <w:rFonts w:ascii="Times New Roman" w:hAnsi="Times New Roman"/>
          <w:sz w:val="20"/>
          <w:u w:val="single"/>
        </w:rPr>
        <w:t>2014 Ex-Im Credit Agreement</w:t>
      </w:r>
      <w:r>
        <w:rPr>
          <w:rFonts w:ascii="Times New Roman" w:hAnsi="Times New Roman"/>
          <w:sz w:val="20"/>
        </w:rPr>
        <w:t xml:space="preserve">” means the credit agreement dated November 10, 2014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left"/>
        <w:rPr/>
      </w:pPr>
      <w:r>
        <w:rPr/>
        <w:t>“</w:t>
      </w:r>
      <w:r>
        <w:rPr>
          <w:rFonts w:ascii="Times New Roman" w:hAnsi="Times New Roman"/>
          <w:sz w:val="20"/>
          <w:u w:val="single"/>
        </w:rPr>
        <w:t>2022 Notes</w:t>
      </w:r>
      <w:r>
        <w:rPr>
          <w:rFonts w:ascii="Times New Roman" w:hAnsi="Times New Roman"/>
          <w:sz w:val="20"/>
        </w:rPr>
        <w:t xml:space="preserve">” means the $1,000,000,000 4.875% senior notes due 2022 issued by Inmarsat Finance plc. </w:t>
      </w:r>
    </w:p>
    <w:p>
      <w:pPr>
        <w:pStyle w:val="TextBody"/>
        <w:bidi w:val="0"/>
        <w:spacing w:before="240" w:after="0"/>
        <w:jc w:val="left"/>
        <w:rPr/>
      </w:pPr>
      <w:r>
        <w:rPr/>
        <w:t>“</w:t>
      </w:r>
      <w:r>
        <w:rPr>
          <w:rFonts w:ascii="Times New Roman" w:hAnsi="Times New Roman"/>
          <w:sz w:val="20"/>
          <w:u w:val="single"/>
        </w:rPr>
        <w:t>2024 Notes</w:t>
      </w:r>
      <w:r>
        <w:rPr>
          <w:rFonts w:ascii="Times New Roman" w:hAnsi="Times New Roman"/>
          <w:sz w:val="20"/>
        </w:rPr>
        <w:t xml:space="preserve">” means the $400,000,000 6.500% senior notes due 2024 issued by Inmarsat Finance plc.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Alternate Base Rate. </w:t>
      </w:r>
    </w:p>
    <w:p>
      <w:pPr>
        <w:pStyle w:val="TextBody"/>
        <w:bidi w:val="0"/>
        <w:spacing w:before="240" w:after="0"/>
        <w:jc w:val="left"/>
        <w:rPr/>
      </w:pPr>
      <w:r>
        <w:rPr/>
        <w:t>“</w:t>
      </w:r>
      <w:r>
        <w:rPr>
          <w:rFonts w:ascii="Times New Roman" w:hAnsi="Times New Roman"/>
          <w:sz w:val="20"/>
          <w:u w:val="single"/>
        </w:rPr>
        <w:t>Acceptable Commitment</w:t>
      </w:r>
      <w:r>
        <w:rPr>
          <w:rFonts w:ascii="Times New Roman" w:hAnsi="Times New Roman"/>
          <w:sz w:val="20"/>
        </w:rPr>
        <w:t xml:space="preserve">” has the meaning assigned to such term in </w:t>
      </w:r>
      <w:r>
        <w:rPr>
          <w:rFonts w:ascii="Times New Roman" w:hAnsi="Times New Roman"/>
          <w:sz w:val="20"/>
          <w:u w:val="single"/>
        </w:rPr>
        <w:t>Section 6.04(b)(ii)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w:t>
      </w:r>
      <w:r>
        <w:rPr>
          <w:rFonts w:ascii="Times New Roman" w:hAnsi="Times New Roman"/>
          <w:sz w:val="20"/>
          <w:u w:val="single"/>
        </w:rPr>
        <w:t>Acceptable Discount</w:t>
      </w:r>
      <w:r>
        <w:rPr>
          <w:rFonts w:ascii="Times New Roman" w:hAnsi="Times New Roman"/>
          <w:sz w:val="20"/>
        </w:rPr>
        <w:t xml:space="preserve">” has the meaning assigned to such term in </w:t>
      </w:r>
      <w:r>
        <w:rPr>
          <w:rFonts w:ascii="Times New Roman" w:hAnsi="Times New Roman"/>
          <w:sz w:val="20"/>
          <w:u w:val="single"/>
        </w:rPr>
        <w:t>Section 2.10(a)(ii)(D)(2)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Acceptable Prepayment Amount</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and Prepayment Notice</w:t>
      </w:r>
      <w:r>
        <w:rPr>
          <w:rFonts w:ascii="Times New Roman" w:hAnsi="Times New Roman"/>
          <w:sz w:val="20"/>
        </w:rPr>
        <w:t xml:space="preserve">” means an irrevocable written notice from a Term Lender accepting a Solicited Discounted Prepayment Offer to make a Discounted Term Loan Prepayment at the Acceptable Discount specified therein pursuant to </w:t>
      </w:r>
      <w:r>
        <w:rPr>
          <w:rFonts w:ascii="Times New Roman" w:hAnsi="Times New Roman"/>
          <w:sz w:val="20"/>
          <w:u w:val="single"/>
        </w:rPr>
        <w:t>Section 2.10(a)(ii)(D)</w:t>
      </w:r>
      <w:r>
        <w:rPr>
          <w:rFonts w:ascii="Times New Roman" w:hAnsi="Times New Roman"/>
          <w:sz w:val="20"/>
        </w:rPr>
        <w:t xml:space="preserve"> substantially in the form of </w:t>
      </w:r>
      <w:r>
        <w:rPr>
          <w:rFonts w:ascii="Times New Roman" w:hAnsi="Times New Roman"/>
          <w:sz w:val="20"/>
          <w:u w:val="single"/>
        </w:rPr>
        <w:t>Exhibit P</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Date</w:t>
      </w:r>
      <w:r>
        <w:rPr>
          <w:rFonts w:ascii="Times New Roman" w:hAnsi="Times New Roman"/>
          <w:sz w:val="20"/>
        </w:rPr>
        <w:t xml:space="preserve">” has the meaning specified in </w:t>
      </w:r>
      <w:r>
        <w:rPr>
          <w:rFonts w:ascii="Times New Roman" w:hAnsi="Times New Roman"/>
          <w:sz w:val="20"/>
          <w:u w:val="single"/>
        </w:rPr>
        <w:t>Section 2.10(a)(ii)(D)(2)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Accepting Lenders</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Acquired EBITDA</w:t>
      </w:r>
      <w:r>
        <w:rPr>
          <w:rFonts w:ascii="Times New Roman" w:hAnsi="Times New Roman"/>
          <w:sz w:val="20"/>
        </w:rPr>
        <w:t>” means, with respect to any Acquired Entity or Business or any Converted Restricted Subsidiary (any of the foregoing, a “</w:t>
      </w:r>
      <w:r>
        <w:rPr>
          <w:rFonts w:ascii="Times New Roman" w:hAnsi="Times New Roman"/>
          <w:sz w:val="20"/>
          <w:u w:val="single"/>
        </w:rPr>
        <w:t>Pro Forma Entity</w:t>
      </w:r>
      <w:r>
        <w:rPr>
          <w:rFonts w:ascii="Times New Roman" w:hAnsi="Times New Roman"/>
          <w:sz w:val="20"/>
        </w:rPr>
        <w:t xml:space="preserve">”) for any period, the amount for such period of Consolidated EBITDA of such Pro Forma Entity (determined as if references to Bidco and the Restricted Subsidiaries in the definition of “Consolidated EBITDA” were references to such Pro Forma Entity and its subsidiaries that will become Restricted Subsidiaries), all as determined on a consolidated basis for such Pro Forma Entity. </w:t>
      </w:r>
    </w:p>
    <w:p>
      <w:pPr>
        <w:pStyle w:val="TextBody"/>
        <w:bidi w:val="0"/>
        <w:spacing w:before="240" w:after="0"/>
        <w:jc w:val="left"/>
        <w:rPr/>
      </w:pPr>
      <w:r>
        <w:rPr/>
        <w:t>“</w:t>
      </w:r>
      <w:r>
        <w:rPr>
          <w:rFonts w:ascii="Times New Roman" w:hAnsi="Times New Roman"/>
          <w:sz w:val="20"/>
          <w:u w:val="single"/>
        </w:rPr>
        <w:t>Acquired Entity or Business</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Acquired Indebtedness</w:t>
      </w:r>
      <w:r>
        <w:rPr>
          <w:rFonts w:ascii="Times New Roman" w:hAnsi="Times New Roman"/>
          <w:sz w:val="20"/>
        </w:rPr>
        <w:t xml:space="preserve">” means, with respect to any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secured by a Lien encumbering any asset acquired by such specified Person.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the acquisition of the Company by Bidco pursuant to the terms of the Acquisition Documents. </w:t>
      </w:r>
    </w:p>
    <w:p>
      <w:pPr>
        <w:pStyle w:val="TextBody"/>
        <w:bidi w:val="0"/>
        <w:spacing w:before="240" w:after="0"/>
        <w:jc w:val="left"/>
        <w:rPr/>
      </w:pPr>
      <w:r>
        <w:rPr/>
        <w:t>“</w:t>
      </w:r>
      <w:r>
        <w:rPr>
          <w:rFonts w:ascii="Times New Roman" w:hAnsi="Times New Roman"/>
          <w:sz w:val="20"/>
          <w:u w:val="single"/>
        </w:rPr>
        <w:t>Acquisition Documents</w:t>
      </w:r>
      <w:r>
        <w:rPr>
          <w:rFonts w:ascii="Times New Roman" w:hAnsi="Times New Roman"/>
          <w:sz w:val="20"/>
        </w:rPr>
        <w:t xml:space="preserve">” means the Scheme Documents and any other document designated as an Acquisition Document by Bidco and the Administrative Agent and all schedules, exhibits and annexes to each of the foregoing and all side letters, instruments and agreements affecting the terms of the foregoing or entered into in connection therewith. </w:t>
      </w:r>
    </w:p>
    <w:p>
      <w:pPr>
        <w:pStyle w:val="TextBody"/>
        <w:bidi w:val="0"/>
        <w:spacing w:before="240" w:after="0"/>
        <w:jc w:val="left"/>
        <w:rPr/>
      </w:pPr>
      <w:r>
        <w:rPr/>
        <w:t>“</w:t>
      </w:r>
      <w:r>
        <w:rPr>
          <w:rFonts w:ascii="Times New Roman" w:hAnsi="Times New Roman"/>
          <w:sz w:val="20"/>
          <w:u w:val="single"/>
        </w:rPr>
        <w:t>Additional Borrower</w:t>
      </w:r>
      <w:r>
        <w:rPr>
          <w:rFonts w:ascii="Times New Roman" w:hAnsi="Times New Roman"/>
          <w:sz w:val="20"/>
        </w:rPr>
        <w:t xml:space="preserve">” means any Person who shall from time to time become a party to this Agreement as a “Revolving Borrower” hereunder upon the execution and delivery of an Additional Borrower Agreement. </w:t>
      </w:r>
    </w:p>
    <w:p>
      <w:pPr>
        <w:pStyle w:val="TextBody"/>
        <w:bidi w:val="0"/>
        <w:spacing w:before="240" w:after="0"/>
        <w:jc w:val="left"/>
        <w:rPr/>
      </w:pPr>
      <w:r>
        <w:rPr/>
        <w:t>“</w:t>
      </w:r>
      <w:r>
        <w:rPr>
          <w:rFonts w:ascii="Times New Roman" w:hAnsi="Times New Roman"/>
          <w:sz w:val="20"/>
          <w:u w:val="single"/>
        </w:rPr>
        <w:t>Additional Borrower Agreement</w:t>
      </w:r>
      <w:r>
        <w:rPr>
          <w:rFonts w:ascii="Times New Roman" w:hAnsi="Times New Roman"/>
          <w:sz w:val="20"/>
        </w:rPr>
        <w:t xml:space="preserve">” means the Additional Borrower Agreement substantially in the form of </w:t>
      </w:r>
      <w:r>
        <w:rPr>
          <w:rFonts w:ascii="Times New Roman" w:hAnsi="Times New Roman"/>
          <w:sz w:val="20"/>
          <w:u w:val="single"/>
        </w:rPr>
        <w:t>Exhibit H</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w:t>
      </w:r>
      <w:r>
        <w:rPr>
          <w:rFonts w:ascii="Times New Roman" w:hAnsi="Times New Roman"/>
          <w:sz w:val="20"/>
          <w:u w:val="single"/>
        </w:rPr>
        <w:t>Additional Lender</w:t>
      </w:r>
      <w:r>
        <w:rPr>
          <w:rFonts w:ascii="Times New Roman" w:hAnsi="Times New Roman"/>
          <w:sz w:val="20"/>
        </w:rPr>
        <w:t xml:space="preserve">” means any Additional Revolving Lender or any Additional Term Lender, as applicable. </w:t>
      </w:r>
    </w:p>
    <w:p>
      <w:pPr>
        <w:pStyle w:val="TextBody"/>
        <w:bidi w:val="0"/>
        <w:spacing w:before="240" w:after="0"/>
        <w:jc w:val="left"/>
        <w:rPr/>
      </w:pPr>
      <w:r>
        <w:rPr/>
        <w:t>“</w:t>
      </w:r>
      <w:r>
        <w:rPr>
          <w:rFonts w:ascii="Times New Roman" w:hAnsi="Times New Roman"/>
          <w:sz w:val="20"/>
          <w:u w:val="single"/>
        </w:rPr>
        <w:t>Additional/Replacement Revolving Commitments</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Revolving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w:t>
      </w:r>
      <w:r>
        <w:rPr>
          <w:rFonts w:ascii="Times New Roman" w:hAnsi="Times New Roman"/>
          <w:sz w:val="20"/>
          <w:u w:val="single"/>
        </w:rPr>
        <w:t>Section 2.19</w:t>
      </w:r>
      <w:r>
        <w:rPr>
          <w:rFonts w:ascii="Times New Roman" w:hAnsi="Times New Roman"/>
          <w:sz w:val="20"/>
        </w:rPr>
        <w:t xml:space="preserve"> or (b) Credit Agreement Refinancing Indebtedness in the form of Other Revolving Commitments pursuant to a Refinancing Amendment in accordance with </w:t>
      </w:r>
      <w:r>
        <w:rPr>
          <w:rFonts w:ascii="Times New Roman" w:hAnsi="Times New Roman"/>
          <w:sz w:val="20"/>
          <w:u w:val="single"/>
        </w:rPr>
        <w:t>Section 2.20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Additional Revolving Lender shall be subject to the approval of the Administrative Agent, each Issuing Bank and the Swingline Lender, in each case only if such consent would be required under </w:t>
      </w:r>
      <w:r>
        <w:rPr>
          <w:rFonts w:ascii="Times New Roman" w:hAnsi="Times New Roman"/>
          <w:sz w:val="20"/>
          <w:u w:val="single"/>
        </w:rPr>
        <w:t>Section 9.04(b)</w:t>
      </w:r>
      <w:r>
        <w:rPr>
          <w:rFonts w:ascii="Times New Roman" w:hAnsi="Times New Roman"/>
          <w:sz w:val="20"/>
        </w:rPr>
        <w:t xml:space="preserve"> for an assignment of Revolving Loans or Revolving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left"/>
        <w:rPr/>
      </w:pPr>
      <w:r>
        <w:rPr/>
        <w:t>“</w:t>
      </w:r>
      <w:r>
        <w:rPr>
          <w:rFonts w:ascii="Times New Roman" w:hAnsi="Times New Roman"/>
          <w:sz w:val="20"/>
          <w:u w:val="single"/>
        </w:rPr>
        <w:t>Additional Term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Term Loans pursuant to an Incremental Facility Amendment in accordance with </w:t>
      </w:r>
      <w:r>
        <w:rPr>
          <w:rFonts w:ascii="Times New Roman" w:hAnsi="Times New Roman"/>
          <w:sz w:val="20"/>
          <w:u w:val="single"/>
        </w:rPr>
        <w:t>Section 2.19</w:t>
      </w:r>
      <w:r>
        <w:rPr>
          <w:rFonts w:ascii="Times New Roman" w:hAnsi="Times New Roman"/>
          <w:sz w:val="20"/>
        </w:rPr>
        <w:t xml:space="preserve"> or (b) Credit Agreement Refinancing Indebtedness in the form of Other Term Loans or Other Term Commitments pursuant to a Refinancing Amendment in accordance with </w:t>
      </w:r>
      <w:r>
        <w:rPr>
          <w:rFonts w:ascii="Times New Roman" w:hAnsi="Times New Roman"/>
          <w:sz w:val="20"/>
          <w:u w:val="single"/>
        </w:rPr>
        <w:t>Section 2.20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Additional Term Lender shall be subject to the approval of the Administrative Agent if such consent would be required under </w:t>
      </w:r>
      <w:r>
        <w:rPr>
          <w:rFonts w:ascii="Times New Roman" w:hAnsi="Times New Roman"/>
          <w:sz w:val="20"/>
          <w:u w:val="single"/>
        </w:rPr>
        <w:t>Section 9.04(b)</w:t>
      </w:r>
      <w:r>
        <w:rPr>
          <w:rFonts w:ascii="Times New Roman" w:hAnsi="Times New Roman"/>
          <w:sz w:val="20"/>
        </w:rPr>
        <w:t xml:space="preserve"> for an assignment of Term Loans or Term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left"/>
        <w:rPr/>
      </w:pPr>
      <w:r>
        <w:rPr/>
        <w:t>“</w:t>
      </w:r>
      <w:r>
        <w:rPr>
          <w:rFonts w:ascii="Times New Roman" w:hAnsi="Times New Roman"/>
          <w:sz w:val="20"/>
          <w:u w:val="single"/>
        </w:rPr>
        <w:t>Adjusted LIBO Rate</w:t>
      </w:r>
      <w:r>
        <w:rPr>
          <w:rFonts w:ascii="Times New Roman" w:hAnsi="Times New Roman"/>
          <w:sz w:val="20"/>
        </w:rPr>
        <w:t xml:space="preserve">” means, with respect to any Eurodollar Borrowing for any Interest Period, a rate per annum (rounded upwards, if necessary, to the next 1/100th of 1%) equal to the product of (i) the LIBO Rate as in effect at such time for such Interest Period and (ii) the Statutory Reserve Rate; </w:t>
      </w:r>
      <w:r>
        <w:rPr>
          <w:rFonts w:ascii="Times New Roman" w:hAnsi="Times New Roman"/>
          <w:sz w:val="20"/>
          <w:u w:val="single"/>
        </w:rPr>
        <w:t>provided</w:t>
      </w:r>
      <w:r>
        <w:rPr>
          <w:rFonts w:ascii="Times New Roman" w:hAnsi="Times New Roman"/>
          <w:sz w:val="20"/>
        </w:rPr>
        <w:t xml:space="preserve"> that the Adjusted LIBO Rate for any Interest Period shall not be less than (a) 1.00% per annum, with respect to any Amendment No. 1 Refinancing Term Loans and (b) 0.00% per annum, with respect to any Revolving Loans.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means Barclays, in its capacity as administrative agent hereunder and under the other Loan Documents, and its successors in such capacity as provided in</w:t>
      </w:r>
      <w:r>
        <w:rPr>
          <w:rFonts w:ascii="Times New Roman" w:hAnsi="Times New Roman"/>
          <w:sz w:val="20"/>
          <w:u w:val="single"/>
        </w:rPr>
        <w:t xml:space="preserve"> 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9.01</w:t>
      </w:r>
      <w:r>
        <w:rPr>
          <w:rFonts w:ascii="Times New Roman" w:hAnsi="Times New Roman"/>
          <w:sz w:val="20"/>
        </w:rPr>
        <w:t xml:space="preserve">, or such other address or account as the Administrative Agent may from time to time notify Bidco and the Borrowers and the Lenders.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Affected Class</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Affiliated Debt Fund</w:t>
      </w:r>
      <w:r>
        <w:rPr>
          <w:rFonts w:ascii="Times New Roman" w:hAnsi="Times New Roman"/>
          <w:sz w:val="20"/>
        </w:rPr>
        <w:t xml:space="preserve">”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 </w:t>
      </w:r>
    </w:p>
    <w:p>
      <w:pPr>
        <w:pStyle w:val="TextBody"/>
        <w:bidi w:val="0"/>
        <w:spacing w:before="240" w:after="0"/>
        <w:jc w:val="left"/>
        <w:rPr/>
      </w:pPr>
      <w:r>
        <w:rPr/>
        <w:t>“</w:t>
      </w:r>
      <w:r>
        <w:rPr>
          <w:rFonts w:ascii="Times New Roman" w:hAnsi="Times New Roman"/>
          <w:sz w:val="20"/>
          <w:u w:val="single"/>
        </w:rPr>
        <w:t>Affiliated Lender</w:t>
      </w:r>
      <w:r>
        <w:rPr>
          <w:rFonts w:ascii="Times New Roman" w:hAnsi="Times New Roman"/>
          <w:sz w:val="20"/>
        </w:rPr>
        <w:t xml:space="preserve">” means, at any time, any Lender that is an Investor or an Affiliate of an Investor (other than Holdings, Bidco or any of their respective Subsidiaries) at such time, to the extent that such Investor or its Affiliates constitute an Affiliate of Holdings, Bidco or its Subsidiaries. </w:t>
      </w:r>
    </w:p>
    <w:p>
      <w:pPr>
        <w:pStyle w:val="TextBody"/>
        <w:bidi w:val="0"/>
        <w:spacing w:before="240" w:after="0"/>
        <w:jc w:val="left"/>
        <w:rPr/>
      </w:pPr>
      <w:r>
        <w:rPr/>
        <w:t>“</w:t>
      </w:r>
      <w:r>
        <w:rPr>
          <w:rFonts w:ascii="Times New Roman" w:hAnsi="Times New Roman"/>
          <w:sz w:val="20"/>
          <w:u w:val="single"/>
        </w:rPr>
        <w:t>Agent</w:t>
      </w:r>
      <w:r>
        <w:rPr>
          <w:rFonts w:ascii="Times New Roman" w:hAnsi="Times New Roman"/>
          <w:sz w:val="20"/>
        </w:rPr>
        <w:t>” means the Administrative Agent, the Collateral Agent, each Joint Lead Arranger, and any successors and assigns of the foregoing in such capacity, and “</w:t>
      </w:r>
      <w:r>
        <w:rPr>
          <w:rFonts w:ascii="Times New Roman" w:hAnsi="Times New Roman"/>
          <w:sz w:val="20"/>
          <w:u w:val="single"/>
        </w:rPr>
        <w:t>Agents</w:t>
      </w:r>
      <w:r>
        <w:rPr>
          <w:rFonts w:ascii="Times New Roman" w:hAnsi="Times New Roman"/>
          <w:sz w:val="20"/>
        </w:rPr>
        <w:t xml:space="preserve">” means two or more of them.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has the meaning given to such term in </w:t>
      </w:r>
      <w:r>
        <w:rPr>
          <w:rFonts w:ascii="Times New Roman" w:hAnsi="Times New Roman"/>
          <w:sz w:val="20"/>
          <w:u w:val="single"/>
        </w:rPr>
        <w:t>Section 9.01(c)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Agreed Security Principles</w:t>
      </w:r>
      <w:r>
        <w:rPr>
          <w:rFonts w:ascii="Times New Roman" w:hAnsi="Times New Roman"/>
          <w:sz w:val="20"/>
        </w:rPr>
        <w:t xml:space="preserve">” means those principles set forth on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Agreement Currency</w:t>
      </w:r>
      <w:r>
        <w:rPr>
          <w:rFonts w:ascii="Times New Roman" w:hAnsi="Times New Roman"/>
          <w:sz w:val="20"/>
        </w:rPr>
        <w:t xml:space="preserve">” has the meaning specified in </w:t>
      </w:r>
      <w:r>
        <w:rPr>
          <w:rFonts w:ascii="Times New Roman" w:hAnsi="Times New Roman"/>
          <w:sz w:val="20"/>
          <w:u w:val="single"/>
        </w:rPr>
        <w:t>Section 9.22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Allocation Date</w:t>
      </w:r>
      <w:r>
        <w:rPr>
          <w:rFonts w:ascii="Times New Roman" w:hAnsi="Times New Roman"/>
          <w:sz w:val="20"/>
        </w:rPr>
        <w:t xml:space="preserve">” means the date of the initial allocation of the Initial Term Loans, which date was September 23, 2019.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Federal Funds Effective Rate in effect on such day plus 1⁄2 of 1.00% and (c) the Adjusted LIBO Rate for the applicable Loan on such day (or if such day is not a Business Day, the immediately preceding Business Day) for a deposit in dollars with a maturity of one month plus 1.00%; </w:t>
      </w:r>
      <w:r>
        <w:rPr>
          <w:rFonts w:ascii="Times New Roman" w:hAnsi="Times New Roman"/>
          <w:sz w:val="20"/>
          <w:u w:val="single"/>
        </w:rPr>
        <w:t>provided</w:t>
      </w:r>
      <w:r>
        <w:rPr>
          <w:rFonts w:ascii="Times New Roman" w:hAnsi="Times New Roman"/>
          <w:sz w:val="20"/>
        </w:rPr>
        <w:t xml:space="preserve"> that, solely for purposes of the foregoing, the Adjusted LIBO Rate for any day shall be calculated using the LIBO Rate based on the rate per annum determined by the Administrative Agent by reference to the ICE Benchmark Administration Interest Settlement Rates (as set forth by any service selected by the Administrative Agent that has been nominated by the ICE Benchmark Administration Limited (or any Person which takes over the administration of that rate) as an authorized information vendor for the purpose of displaying such rates) (the “</w:t>
      </w:r>
      <w:r>
        <w:rPr>
          <w:rFonts w:ascii="Times New Roman" w:hAnsi="Times New Roman"/>
          <w:sz w:val="20"/>
          <w:u w:val="single"/>
        </w:rPr>
        <w:t>ICE LIBOR</w:t>
      </w:r>
      <w:r>
        <w:rPr>
          <w:rFonts w:ascii="Times New Roman" w:hAnsi="Times New Roman"/>
          <w:sz w:val="20"/>
        </w:rPr>
        <w:t xml:space="preserve">”) as published by Reuters (or such other commercially available source providing quotations of ICE LIBOR as may be designated by the Administrative Agent from time to time) on such day at approximately 11:00 a.m. (London time) for deposits in dollars for a period equal to one month. If the Administrative Agent shall have determined (which determination shall be conclusive absent manifest error) that it is unable to ascertain the Federal Funds Effective Rate or the Adjusted LIBO Rate for any reason, including the inability or failure of the Administrative Agent to obtain sufficient quotations in accordance with the terms of the definition of “Federal Funds Effective Rate”, the Alternate Base Rate shall be determined without regard to clause (b) or (c) above, as applicable, of the preceding sentence until the circumstances giving rise to such inability no longer exist.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w:t>
      </w:r>
      <w:r>
        <w:rPr>
          <w:rFonts w:ascii="Times New Roman" w:hAnsi="Times New Roman"/>
          <w:sz w:val="20"/>
          <w:u w:val="single"/>
        </w:rPr>
        <w:t>Alternative Currency</w:t>
      </w:r>
      <w:r>
        <w:rPr>
          <w:rFonts w:ascii="Times New Roman" w:hAnsi="Times New Roman"/>
          <w:sz w:val="20"/>
        </w:rPr>
        <w:t xml:space="preserve">” means Euros, Sterling, Swiss Francs, Yen, Canadian Dollars and each other currency (other than dollars) that is requested by Bidco or the Borrowers and approved in accordance with </w:t>
      </w:r>
      <w:r>
        <w:rPr>
          <w:rFonts w:ascii="Times New Roman" w:hAnsi="Times New Roman"/>
          <w:sz w:val="20"/>
          <w:u w:val="single"/>
        </w:rPr>
        <w:t>Section 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Currency Equivalent</w:t>
      </w:r>
      <w:r>
        <w:rPr>
          <w:rFonts w:ascii="Times New Roman" w:hAnsi="Times New Roman"/>
          <w:sz w:val="20"/>
        </w:rPr>
        <w:t xml:space="preserve">” means,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or other applicable date of determination) for the purchase of such Alternative Currency with dollars. </w:t>
      </w:r>
    </w:p>
    <w:p>
      <w:pPr>
        <w:pStyle w:val="TextBody"/>
        <w:bidi w:val="0"/>
        <w:spacing w:before="240" w:after="0"/>
        <w:jc w:val="left"/>
        <w:rPr/>
      </w:pPr>
      <w:r>
        <w:rPr/>
        <w:t>“</w:t>
      </w:r>
      <w:r>
        <w:rPr>
          <w:rFonts w:ascii="Times New Roman" w:hAnsi="Times New Roman"/>
          <w:sz w:val="20"/>
          <w:u w:val="single"/>
        </w:rPr>
        <w:t>Amendment No. 1</w:t>
      </w:r>
      <w:r>
        <w:rPr>
          <w:rFonts w:ascii="Times New Roman" w:hAnsi="Times New Roman"/>
          <w:sz w:val="20"/>
        </w:rPr>
        <w:t xml:space="preserve">” means that certain Amendment No. 1, dated as of the Amendment No. 1 Effective Date, among Initial Holdings, Bidco, the Borrowers, the Lenders party thereto and the Administrative Agent. </w:t>
      </w:r>
    </w:p>
    <w:p>
      <w:pPr>
        <w:pStyle w:val="TextBody"/>
        <w:bidi w:val="0"/>
        <w:spacing w:before="240" w:after="0"/>
        <w:jc w:val="left"/>
        <w:rPr/>
      </w:pPr>
      <w:r>
        <w:rPr/>
        <w:t>“</w:t>
      </w:r>
      <w:r>
        <w:rPr>
          <w:rFonts w:ascii="Times New Roman" w:hAnsi="Times New Roman"/>
          <w:sz w:val="20"/>
          <w:u w:val="single"/>
        </w:rPr>
        <w:t>Amendment No. 1 Effective Date</w:t>
      </w:r>
      <w:r>
        <w:rPr>
          <w:rFonts w:ascii="Times New Roman" w:hAnsi="Times New Roman"/>
          <w:sz w:val="20"/>
        </w:rPr>
        <w:t xml:space="preserve">” means January 25, 2021. </w:t>
      </w:r>
    </w:p>
    <w:p>
      <w:pPr>
        <w:pStyle w:val="TextBody"/>
        <w:bidi w:val="0"/>
        <w:spacing w:before="240" w:after="0"/>
        <w:jc w:val="left"/>
        <w:rPr/>
      </w:pPr>
      <w:r>
        <w:rPr/>
        <w:t>“</w:t>
      </w:r>
      <w:r>
        <w:rPr>
          <w:rFonts w:ascii="Times New Roman" w:hAnsi="Times New Roman"/>
          <w:sz w:val="20"/>
          <w:u w:val="single"/>
        </w:rPr>
        <w:t>Amendment No. 1 Refinancing Term Loans</w:t>
      </w:r>
      <w:r>
        <w:rPr>
          <w:rFonts w:ascii="Times New Roman" w:hAnsi="Times New Roman"/>
          <w:sz w:val="20"/>
        </w:rPr>
        <w:t xml:space="preserve">” means the Other Term Loans made pursuant to Amendment No. 1 on the Amendment No. 1 Effective Date in an aggregate principal amount of $1,736,875,000. </w:t>
      </w:r>
    </w:p>
    <w:p>
      <w:pPr>
        <w:pStyle w:val="TextBody"/>
        <w:bidi w:val="0"/>
        <w:spacing w:before="240" w:after="0"/>
        <w:jc w:val="left"/>
        <w:rPr/>
      </w:pPr>
      <w:r>
        <w:rPr/>
        <w:t>“</w:t>
      </w:r>
      <w:r>
        <w:rPr>
          <w:rFonts w:ascii="Times New Roman" w:hAnsi="Times New Roman"/>
          <w:sz w:val="20"/>
          <w:u w:val="single"/>
        </w:rPr>
        <w:t>Announcement</w:t>
      </w:r>
      <w:r>
        <w:rPr>
          <w:rFonts w:ascii="Times New Roman" w:hAnsi="Times New Roman"/>
          <w:sz w:val="20"/>
        </w:rPr>
        <w:t xml:space="preserve">” means the press release made by Bidco, dated as of March 25, 2019, announcing a firm intention to implement the Scheme in accordance with Rule 2.7 of the City Code.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has the meaning assigned to such term in </w:t>
      </w:r>
      <w:r>
        <w:rPr>
          <w:rFonts w:ascii="Times New Roman" w:hAnsi="Times New Roman"/>
          <w:sz w:val="20"/>
          <w:u w:val="single"/>
        </w:rPr>
        <w:t>Section 3.18(a)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Account</w:t>
      </w:r>
      <w:r>
        <w:rPr>
          <w:rFonts w:ascii="Times New Roman" w:hAnsi="Times New Roman"/>
          <w:sz w:val="20"/>
        </w:rPr>
        <w:t xml:space="preserve">” means, with respect to any payment to be made to the Administrative Agent hereunder, the account specified by the Administrative Agent from time to time for the purpose of receiving payments of such type. </w:t>
      </w:r>
    </w:p>
    <w:p>
      <w:pPr>
        <w:pStyle w:val="TextBody"/>
        <w:bidi w:val="0"/>
        <w:spacing w:before="240" w:after="0"/>
        <w:jc w:val="left"/>
        <w:rPr/>
      </w:pPr>
      <w:r>
        <w:rPr/>
        <w:t>“</w:t>
      </w:r>
      <w:r>
        <w:rPr>
          <w:rFonts w:ascii="Times New Roman" w:hAnsi="Times New Roman"/>
          <w:sz w:val="20"/>
          <w:u w:val="single"/>
        </w:rPr>
        <w:t>Applicable Discount</w:t>
      </w:r>
      <w:r>
        <w:rPr>
          <w:rFonts w:ascii="Times New Roman" w:hAnsi="Times New Roman"/>
          <w:sz w:val="20"/>
        </w:rPr>
        <w:t xml:space="preserve">” has the meaning assigned to such term in </w:t>
      </w:r>
      <w:r>
        <w:rPr>
          <w:rFonts w:ascii="Times New Roman" w:hAnsi="Times New Roman"/>
          <w:sz w:val="20"/>
          <w:u w:val="single"/>
        </w:rPr>
        <w:t>Section 2.10(a)(ii)(C)(2)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Fronting Exposure</w:t>
      </w:r>
      <w:r>
        <w:rPr>
          <w:rFonts w:ascii="Times New Roman" w:hAnsi="Times New Roman"/>
          <w:sz w:val="20"/>
        </w:rPr>
        <w:t xml:space="preserve">” 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Revolving Borrowers at such time and (c) the aggregate principal amount of all Swingline Loans made by such Person in its capacity as a Swingline Lender (if applicable) outstanding at such time.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hAnsi="Times New Roman"/>
          <w:sz w:val="20"/>
          <w:u w:val="single"/>
        </w:rPr>
        <w:t>provided</w:t>
      </w:r>
      <w:r>
        <w:rPr>
          <w:rFonts w:ascii="Times New Roman" w:hAnsi="Times New Roman"/>
          <w:sz w:val="20"/>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w:t>
      </w:r>
      <w:r>
        <w:rPr>
          <w:rFonts w:ascii="Times New Roman" w:hAnsi="Times New Roman"/>
          <w:sz w:val="20"/>
          <w:u w:val="single"/>
        </w:rPr>
        <w:t>Applicable Rate</w:t>
      </w:r>
      <w:r>
        <w:rPr>
          <w:rFonts w:ascii="Times New Roman" w:hAnsi="Times New Roman"/>
          <w:sz w:val="20"/>
        </w:rPr>
        <w:t xml:space="preserve">” means, for any day, </w:t>
      </w:r>
    </w:p>
    <w:p>
      <w:pPr>
        <w:pStyle w:val="TextBody"/>
        <w:bidi w:val="0"/>
        <w:spacing w:before="240" w:after="0"/>
        <w:jc w:val="left"/>
        <w:rPr>
          <w:rFonts w:ascii="Times New Roman" w:hAnsi="Times New Roman"/>
          <w:sz w:val="20"/>
        </w:rPr>
      </w:pPr>
      <w:r>
        <w:rPr>
          <w:rFonts w:ascii="Times New Roman" w:hAnsi="Times New Roman"/>
          <w:sz w:val="20"/>
        </w:rPr>
        <w:t xml:space="preserve">(a) (i) with respect to any Initial Term Loan, 3.50% per annum in the case of any ABR Loan or 4.50% per annum in the case of a Eurodollar Loan and (ii) with respect to any Amendment No. 1 Refinancing Term Loan, 2.50% per annum in the case of any ABR Loan or 3.50% per annum in the case of a Eurodollar Loan; and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Revolving Loan, the applicable rate per annum set forth below under the caption “ABR Spread” or “Adjusted LIBO Rate Spread” as the case may be, based upon the Senior Secured First Lien Net Leverage Ratio as of the end of the fiscal quarter of Bidco for which consolidated financial statements have theretofore been most recently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until the date of the delivery of the consolidated financial statements pursuant to </w:t>
      </w:r>
      <w:r>
        <w:rPr>
          <w:rFonts w:ascii="Times New Roman" w:hAnsi="Times New Roman"/>
          <w:sz w:val="20"/>
          <w:u w:val="single"/>
        </w:rPr>
        <w:t>Section 5.01</w:t>
      </w:r>
      <w:r>
        <w:rPr>
          <w:rFonts w:ascii="Times New Roman" w:hAnsi="Times New Roman"/>
          <w:sz w:val="20"/>
        </w:rPr>
        <w:t xml:space="preserve"> as of and for the fiscal year ended December 31, 2019, the Applicable Rate shall be based on the rates per annum set forth in Category 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39"/>
        <w:gridCol w:w="339"/>
        <w:gridCol w:w="150"/>
        <w:gridCol w:w="1101"/>
        <w:gridCol w:w="275"/>
        <w:gridCol w:w="263"/>
        <w:gridCol w:w="240"/>
        <w:gridCol w:w="1769"/>
        <w:gridCol w:w="279"/>
      </w:tblGrid>
      <w:tr>
        <w:trPr/>
        <w:tc>
          <w:tcPr>
            <w:tcW w:w="3339"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39"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Senior Secured First Lien Net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Leverage Ratio:                        </w:t>
            </w:r>
          </w:p>
        </w:tc>
        <w:tc>
          <w:tcPr>
            <w:tcW w:w="339"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pPr>
            <w:r>
              <w:rPr/>
              <w:t>ABR Spread</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009" w:type="dxa"/>
            <w:gridSpan w:val="2"/>
            <w:tcBorders>
              <w:bottom w:val="single" w:sz="8" w:space="0" w:color="000000"/>
            </w:tcBorders>
            <w:tcMar>
              <w:bottom w:w="28" w:type="dxa"/>
            </w:tcMar>
            <w:vAlign w:val="bottom"/>
          </w:tcPr>
          <w:p>
            <w:pPr>
              <w:pStyle w:val="TableContents"/>
              <w:bidi w:val="0"/>
              <w:spacing w:before="0" w:after="283"/>
              <w:jc w:val="center"/>
              <w:rPr/>
            </w:pPr>
            <w:r>
              <w:rPr/>
              <w:t>Adjusted LIBO Rate</w:t>
              <w:br/>
              <w:t>Spread</w:t>
            </w:r>
          </w:p>
        </w:tc>
        <w:tc>
          <w:tcPr>
            <w:tcW w:w="279" w:type="dxa"/>
            <w:tcBorders/>
            <w:vAlign w:val="bottom"/>
          </w:tcPr>
          <w:p>
            <w:pPr>
              <w:pStyle w:val="TableContents"/>
              <w:bidi w:val="0"/>
              <w:spacing w:before="0" w:after="283"/>
              <w:jc w:val="left"/>
              <w:rPr/>
            </w:pPr>
            <w:r>
              <w:rPr/>
              <w:t> </w:t>
            </w:r>
          </w:p>
        </w:tc>
      </w:tr>
      <w:tr>
        <w:trPr/>
        <w:tc>
          <w:tcPr>
            <w:tcW w:w="3339"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4.85 to 1.00</w:t>
            </w:r>
          </w:p>
        </w:tc>
        <w:tc>
          <w:tcPr>
            <w:tcW w:w="33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3.50</w:t>
            </w:r>
          </w:p>
        </w:tc>
        <w:tc>
          <w:tcPr>
            <w:tcW w:w="279" w:type="dxa"/>
            <w:tcBorders/>
            <w:shd w:fill="CCEEFF" w:val="clear"/>
            <w:vAlign w:val="bottom"/>
          </w:tcPr>
          <w:p>
            <w:pPr>
              <w:pStyle w:val="TableContents"/>
              <w:bidi w:val="0"/>
              <w:spacing w:before="0" w:after="283"/>
              <w:jc w:val="left"/>
              <w:rPr/>
            </w:pPr>
            <w:r>
              <w:rPr/>
              <w:t>% </w:t>
            </w:r>
          </w:p>
        </w:tc>
      </w:tr>
      <w:tr>
        <w:trPr/>
        <w:tc>
          <w:tcPr>
            <w:tcW w:w="333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Greater than 4.35 to 1.00, but less than or equal to 4.85 to 1.00</w:t>
            </w:r>
          </w:p>
        </w:tc>
        <w:tc>
          <w:tcPr>
            <w:tcW w:w="3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2.25</w:t>
            </w:r>
          </w:p>
        </w:tc>
        <w:tc>
          <w:tcPr>
            <w:tcW w:w="27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769" w:type="dxa"/>
            <w:tcBorders/>
            <w:vAlign w:val="bottom"/>
          </w:tcPr>
          <w:p>
            <w:pPr>
              <w:pStyle w:val="TableContents"/>
              <w:bidi w:val="0"/>
              <w:spacing w:before="0" w:after="283"/>
              <w:jc w:val="right"/>
              <w:rPr/>
            </w:pPr>
            <w:r>
              <w:rPr/>
              <w:t>3.25</w:t>
            </w:r>
          </w:p>
        </w:tc>
        <w:tc>
          <w:tcPr>
            <w:tcW w:w="279" w:type="dxa"/>
            <w:tcBorders/>
            <w:vAlign w:val="bottom"/>
          </w:tcPr>
          <w:p>
            <w:pPr>
              <w:pStyle w:val="TableContents"/>
              <w:bidi w:val="0"/>
              <w:spacing w:before="0" w:after="283"/>
              <w:jc w:val="left"/>
              <w:rPr/>
            </w:pPr>
            <w:r>
              <w:rPr/>
              <w:t>% </w:t>
            </w:r>
          </w:p>
        </w:tc>
      </w:tr>
      <w:tr>
        <w:trPr/>
        <w:tc>
          <w:tcPr>
            <w:tcW w:w="3339"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3</w:t>
            </w:r>
          </w:p>
          <w:p>
            <w:pPr>
              <w:pStyle w:val="TableContents"/>
              <w:bidi w:val="0"/>
              <w:spacing w:before="0" w:after="20"/>
              <w:jc w:val="left"/>
              <w:rPr>
                <w:rFonts w:ascii="Times New Roman" w:hAnsi="Times New Roman"/>
                <w:sz w:val="20"/>
              </w:rPr>
            </w:pPr>
            <w:r>
              <w:rPr>
                <w:rFonts w:ascii="Times New Roman" w:hAnsi="Times New Roman"/>
                <w:sz w:val="20"/>
              </w:rPr>
              <w:t>Less than or equal to 4.35 to 1.00</w:t>
            </w:r>
          </w:p>
        </w:tc>
        <w:tc>
          <w:tcPr>
            <w:tcW w:w="33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769"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 foregoing, each change in the Applicable Rate resulting from a change in the Senior Secured First Lien Net Leverage Ratio shall be effective during the period commencing on and including the Business Day following the date of delivery to the Administrative Agent pursuant to</w:t>
      </w:r>
      <w:r>
        <w:rPr>
          <w:rFonts w:ascii="Times New Roman" w:hAnsi="Times New Roman"/>
          <w:sz w:val="20"/>
          <w:u w:val="single"/>
        </w:rPr>
        <w:t xml:space="preserve"> Section 5.01(a)</w:t>
      </w:r>
      <w:r>
        <w:rPr>
          <w:rFonts w:ascii="Times New Roman" w:hAnsi="Times New Roman"/>
          <w:sz w:val="20"/>
        </w:rPr>
        <w:t xml:space="preserve"> or</w:t>
      </w:r>
      <w:r>
        <w:rPr>
          <w:rFonts w:ascii="Times New Roman" w:hAnsi="Times New Roman"/>
          <w:sz w:val="20"/>
          <w:u w:val="single"/>
        </w:rPr>
        <w:t xml:space="preserve"> 5.01(b)</w:t>
      </w:r>
      <w:r>
        <w:rPr>
          <w:rFonts w:ascii="Times New Roman" w:hAnsi="Times New Roman"/>
          <w:sz w:val="20"/>
        </w:rPr>
        <w:t xml:space="preserve"> 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Revolving Lenders, commencing upon written notice to Bidco, shall be based on the rates per annum set forth in Category 1 (i) at any time that an Event of Default under </w:t>
      </w:r>
      <w:r>
        <w:rPr>
          <w:rFonts w:ascii="Times New Roman" w:hAnsi="Times New Roman"/>
          <w:sz w:val="20"/>
          <w:u w:val="single"/>
        </w:rPr>
        <w:t>Section 7.01(a)</w:t>
      </w:r>
      <w:r>
        <w:rPr>
          <w:rFonts w:ascii="Times New Roman" w:hAnsi="Times New Roman"/>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 w:hAnsi="Times New Roman"/>
          <w:sz w:val="20"/>
          <w:u w:val="single"/>
        </w:rPr>
        <w:t>Section 5.01(a)</w:t>
      </w:r>
      <w:r>
        <w:rPr>
          <w:rFonts w:ascii="Times New Roman" w:hAnsi="Times New Roman"/>
          <w:sz w:val="20"/>
        </w:rPr>
        <w:t xml:space="preserve"> or</w:t>
      </w:r>
      <w:r>
        <w:rPr>
          <w:rFonts w:ascii="Times New Roman" w:hAnsi="Times New Roman"/>
          <w:sz w:val="20"/>
          <w:u w:val="single"/>
        </w:rPr>
        <w:t xml:space="preserve"> 5.01(b)</w:t>
      </w:r>
      <w:r>
        <w:rPr>
          <w:rFonts w:ascii="Times New Roman" w:hAnsi="Times New Roman"/>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pPr>
      <w:r>
        <w:rPr/>
        <w:t>“</w:t>
      </w:r>
      <w:r>
        <w:rPr>
          <w:rFonts w:ascii="Times New Roman" w:hAnsi="Times New Roman"/>
          <w:sz w:val="20"/>
          <w:u w:val="single"/>
        </w:rPr>
        <w:t>Approved Bank</w:t>
      </w:r>
      <w:r>
        <w:rPr>
          <w:rFonts w:ascii="Times New Roman" w:hAnsi="Times New Roman"/>
          <w:sz w:val="20"/>
        </w:rPr>
        <w:t xml:space="preserve">” has the meaning assigned to such term in clause (4) of the definition of the term “Cash Equivalents.” </w:t>
      </w:r>
    </w:p>
    <w:p>
      <w:pPr>
        <w:pStyle w:val="TextBody"/>
        <w:bidi w:val="0"/>
        <w:spacing w:before="240" w:after="0"/>
        <w:jc w:val="left"/>
        <w:rPr/>
      </w:pPr>
      <w:r>
        <w:rPr/>
        <w:t>“</w:t>
      </w:r>
      <w:r>
        <w:rPr>
          <w:rFonts w:ascii="Times New Roman" w:hAnsi="Times New Roman"/>
          <w:sz w:val="20"/>
          <w:u w:val="single"/>
        </w:rPr>
        <w:t>Approved Foreign Bank</w:t>
      </w:r>
      <w:r>
        <w:rPr>
          <w:rFonts w:ascii="Times New Roman" w:hAnsi="Times New Roman"/>
          <w:sz w:val="20"/>
        </w:rPr>
        <w:t xml:space="preserve">” has the meaning assigned to such term in clause (15) of the definition of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 </w:t>
      </w:r>
    </w:p>
    <w:p>
      <w:pPr>
        <w:pStyle w:val="TextBody"/>
        <w:bidi w:val="0"/>
        <w:spacing w:before="240" w:after="0"/>
        <w:jc w:val="left"/>
        <w:rPr/>
      </w:pPr>
      <w:r>
        <w:rPr/>
        <w:t>“</w:t>
      </w:r>
      <w:r>
        <w:rPr>
          <w:rFonts w:ascii="Times New Roman" w:hAnsi="Times New Roman"/>
          <w:sz w:val="20"/>
          <w:u w:val="single"/>
        </w:rPr>
        <w:t>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(1) the sale, conveyance, transfer or other disposition, whether in a single transaction or a series of related transactions, of property or assets (including by way of a Sale and Lease- Back Transaction) of Bidco or any of its Restricted Subsidiaries (each referred to in this definition as a “</w:t>
      </w:r>
      <w:r>
        <w:rPr>
          <w:rFonts w:ascii="Times New Roman" w:hAnsi="Times New Roman"/>
          <w:sz w:val="20"/>
          <w:u w:val="single"/>
        </w:rPr>
        <w:t>disposition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or sale of Equity Interests of any Restricted Subsidiary (other than Preferred Stock of Restricted Subsidiaries issued in compliance with </w:t>
      </w:r>
      <w:r>
        <w:rPr>
          <w:rFonts w:ascii="Times New Roman" w:hAnsi="Times New Roman"/>
          <w:sz w:val="20"/>
          <w:u w:val="single"/>
        </w:rPr>
        <w:t>Section 6.01</w:t>
      </w:r>
      <w:r>
        <w:rPr>
          <w:rFonts w:ascii="Times New Roman" w:hAnsi="Times New Roman"/>
          <w:sz w:val="20"/>
        </w:rPr>
        <w:t xml:space="preserve"> hereof or the issuance of directors’ qualifying shares and shares issued to foreign nationals as required by applicable law), whether in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disposition of (i) Cash Equivalents or Investment Grade Securities, (ii) obsolete, damaged, used, surplus or worn out property or equipment, whether now owned or hereafter acquired, in the ordinary course of business and dispositions of property no longer used or useful, or economically practicable to maintain, in the conduct of the business of Bidco and any Restricted Subsidiary (including by ceasing to enforce, allowing the lapse, abandonment or invalidation of or discontinuing the use or maintenance of or putting into the public domain any intellectual property that is, in the reasonable judgment of Bidco or the Restricted Subsidiaries, no longer used or useful, or economically practicable to maintain, or in respect of which Bidco or any Restricted Subsidiary determines in its reasonable business judgment that such action or inaction is desirable) or (iii) any disposition of inventory, goods and other assets (including Settlement Assets) in the ordinary course of business or no longer used in the ordinary course of business and immaterial assets (considered in the aggregate and as reasonably determined by Bidco in good faith); </w:t>
      </w:r>
    </w:p>
    <w:p>
      <w:pPr>
        <w:pStyle w:val="TextBody"/>
        <w:bidi w:val="0"/>
        <w:spacing w:before="120" w:after="0"/>
        <w:jc w:val="left"/>
        <w:rPr>
          <w:rFonts w:ascii="Times New Roman" w:hAnsi="Times New Roman"/>
          <w:sz w:val="20"/>
        </w:rPr>
      </w:pPr>
      <w:r>
        <w:rPr>
          <w:rFonts w:ascii="Times New Roman" w:hAnsi="Times New Roman"/>
          <w:sz w:val="20"/>
        </w:rPr>
        <w:t xml:space="preserve">(b) the disposition of all or substantially all of the assets of Bidco and its Restricted Subsidiaries in a manner permitted pursuant to the provisions of </w:t>
      </w:r>
      <w:r>
        <w:rPr>
          <w:rFonts w:ascii="Times New Roman" w:hAnsi="Times New Roman"/>
          <w:sz w:val="20"/>
          <w:u w:val="single"/>
        </w:rPr>
        <w:t>Section 6.03</w:t>
      </w:r>
      <w:r>
        <w:rPr>
          <w:rFonts w:ascii="Times New Roman" w:hAnsi="Times New Roman"/>
          <w:sz w:val="20"/>
        </w:rPr>
        <w:t xml:space="preserve"> hereof or any disposition that constitutes a Change of Control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making of any Restricted Payment or Permitted Investment that is permitted to be made, and is made, under </w:t>
      </w:r>
      <w:r>
        <w:rPr>
          <w:rFonts w:ascii="Times New Roman" w:hAnsi="Times New Roman"/>
          <w:sz w:val="20"/>
          <w:u w:val="single"/>
        </w:rPr>
        <w:t>Section 6.05</w:t>
      </w:r>
      <w:r>
        <w:rPr>
          <w:rFonts w:ascii="Times New Roman" w:hAnsi="Times New Roman"/>
          <w:sz w:val="20"/>
        </w:rPr>
        <w:t xml:space="preserve"> hereof, or solely for the purposes of Section 6.04(b)(ii), asset sales, the proceeds of which are used to make such Restricted Payments or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(d) any disposition of assets or issuance or sale of Equity Interests of any Restricted Subsidiary in any transaction or series of related transactions with an aggregate fair market value of less than the greater of $75,000,000 and 10% of Consolidated EBITDA for the most recently ended Test Period as of such date, calculated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left"/>
        <w:rPr>
          <w:rFonts w:ascii="Times New Roman" w:hAnsi="Times New Roman"/>
          <w:sz w:val="20"/>
        </w:rPr>
      </w:pPr>
      <w:r>
        <w:rPr>
          <w:rFonts w:ascii="Times New Roman" w:hAnsi="Times New Roman"/>
          <w:sz w:val="20"/>
        </w:rPr>
        <w:t xml:space="preserve">(e) any disposition (i) of property or assets or issuance of securities by a Restricted Subsidiary of Bidco to Bidco or any Borrower or by Bidco or a Restricted Subsidiary of Bidco to another Restricted Subsidiary of Bidco or (ii) to Bidco or a Restricted Subsidiary constituting debt forgiveness; </w:t>
      </w:r>
    </w:p>
    <w:p>
      <w:pPr>
        <w:pStyle w:val="TextBody"/>
        <w:bidi w:val="0"/>
        <w:spacing w:before="120" w:after="0"/>
        <w:jc w:val="left"/>
        <w:rPr>
          <w:rFonts w:ascii="Times New Roman" w:hAnsi="Times New Roman"/>
          <w:sz w:val="20"/>
        </w:rPr>
      </w:pPr>
      <w:r>
        <w:rPr>
          <w:rFonts w:ascii="Times New Roman" w:hAnsi="Times New Roman"/>
          <w:sz w:val="20"/>
        </w:rPr>
        <w:t xml:space="preserve">(f) dispositions of property to the extent that (i) such property is exchanged for credit against the purchase price of similar replacement property or (ii) an amount equal to net proceeds of such disposition are promptly applied to the purchase price of such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(g) leases, subleases, service agreements, product sales, licenses or sublicenses (including licenses and sublicenses of intellectual property or other intangible assets), in each case that do not materially interfere with the business of Bidco and the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(h) sales, rentals or leases of satellite capacity, bandwidth, beams, transponders or threads or other grants of rights of satellite use or of any other portion of a Satellite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any issuance or sale of Equity Interests in, or Indebtedness or other securities of, an Unrestricted Subsidiary or any other disposition of Capital Stock, Indebtedness or other securities of an Unrestricted Subsidiary or an Immaterial Subsidiary; </w:t>
      </w:r>
    </w:p>
    <w:p>
      <w:pPr>
        <w:pStyle w:val="TextBody"/>
        <w:bidi w:val="0"/>
        <w:spacing w:before="120" w:after="0"/>
        <w:jc w:val="left"/>
        <w:rPr>
          <w:rFonts w:ascii="Times New Roman" w:hAnsi="Times New Roman"/>
          <w:sz w:val="20"/>
        </w:rPr>
      </w:pPr>
      <w:r>
        <w:rPr>
          <w:rFonts w:ascii="Times New Roman" w:hAnsi="Times New Roman"/>
          <w:sz w:val="20"/>
        </w:rPr>
        <w:t xml:space="preserve">(j) foreclosures, condemnation, expropriation or any similar action with respect to assets, other transfers of property subject to casualty events or the granting of Liens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(i) any disposition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in the ordinary course of business or the conversion of accounts receivable to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(l) any financing transaction with respect to property built or acquired by Bidco or any Restricted Subsidiary after the Effective Date, including Sale and Lease-Back Transactions (and dispositions of property acquired by Bidco or any of the Restricted Subsidiaries after the Effective Date pursuant to Sale and Lease-Back Transactions) and asset securitizations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(m) any surrender or waiver of contractual rights or the settlement, release or surrender of contractual rights or other litigation claims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the unwinding or voluntary termination of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(o) any disposition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(p) dispositions of any assets (including Equity Interests) (A) acquired in connection with any acquisition or other Investment not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left"/>
        <w:rPr>
          <w:rFonts w:ascii="Times New Roman" w:hAnsi="Times New Roman"/>
          <w:sz w:val="20"/>
        </w:rPr>
      </w:pPr>
      <w:r>
        <w:rPr>
          <w:rFonts w:ascii="Times New Roman" w:hAnsi="Times New Roman"/>
          <w:sz w:val="20"/>
        </w:rPr>
        <w:t xml:space="preserve">which assets are not used or useful to the core or principal business of Bidco and the Restricted Subsidiaries or (B) made to obtain the approval of any applicable antitrust authority in connection with an acquisition; </w:t>
      </w:r>
    </w:p>
    <w:p>
      <w:pPr>
        <w:pStyle w:val="TextBody"/>
        <w:bidi w:val="0"/>
        <w:spacing w:before="120" w:after="0"/>
        <w:jc w:val="left"/>
        <w:rPr>
          <w:rFonts w:ascii="Times New Roman" w:hAnsi="Times New Roman"/>
          <w:sz w:val="20"/>
        </w:rPr>
      </w:pPr>
      <w:r>
        <w:rPr>
          <w:rFonts w:ascii="Times New Roman" w:hAnsi="Times New Roman"/>
          <w:sz w:val="20"/>
        </w:rPr>
        <w:t xml:space="preserve">(q) sales, transfers and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(r) failing to pursue or allowing any registrations or any applications for registration of any intellectual property rights to lapse or go abandoned in the ordinary course of business if, in the reasonable determination of Bidco or a Restricted Subsidiary, such discontinuance is desirable in the conduct of the business of Bidco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(s) dispositions of property acquired by Bidco or any of the Restricted Subsidiaries pursuant to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 dispositions in connection with Permitted Liens, Permitted Intercompany Activities, Permitted Tax Restructuring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(u) an issuance of Capital Stock by a Restricted Subsidiary as part of or pursuant to an equity incentive or compensation plan approved by the Board of Directors of Bidco or any holding company thereof; </w:t>
      </w:r>
    </w:p>
    <w:p>
      <w:pPr>
        <w:pStyle w:val="TextBody"/>
        <w:bidi w:val="0"/>
        <w:spacing w:before="120" w:after="0"/>
        <w:jc w:val="left"/>
        <w:rPr>
          <w:rFonts w:ascii="Times New Roman" w:hAnsi="Times New Roman"/>
          <w:sz w:val="20"/>
        </w:rPr>
      </w:pPr>
      <w:r>
        <w:rPr>
          <w:rFonts w:ascii="Times New Roman" w:hAnsi="Times New Roman"/>
          <w:sz w:val="20"/>
        </w:rPr>
        <w:t xml:space="preserve">(v) any disposition of Capital Stock of a Restricted Subsidiary pursuant to an agreement or other obligation with or to a Person (other than Bidco or a Restricted Subsidiary) from whom such Restricted Subsidiary was acquired, or from whom such Restricted Subsidiary acquired its business and assets, made as part of such acquisition and in each case comprising all or a portion of the consideration in respect of such sale or acquisition; and </w:t>
      </w:r>
    </w:p>
    <w:p>
      <w:pPr>
        <w:pStyle w:val="TextBody"/>
        <w:bidi w:val="0"/>
        <w:spacing w:before="120" w:after="0"/>
        <w:jc w:val="left"/>
        <w:rPr>
          <w:rFonts w:ascii="Times New Roman" w:hAnsi="Times New Roman"/>
          <w:sz w:val="20"/>
        </w:rPr>
      </w:pPr>
      <w:r>
        <w:rPr>
          <w:rFonts w:ascii="Times New Roman" w:hAnsi="Times New Roman"/>
          <w:sz w:val="20"/>
        </w:rPr>
        <w:t xml:space="preserve">(w) any sale of property or assets, if the acquisition of such property or assets was financed with Excluded Contributions and the proceeds of such sale are used to make a Restricted Payment pursuant to </w:t>
      </w:r>
      <w:r>
        <w:rPr>
          <w:rFonts w:ascii="Times New Roman" w:hAnsi="Times New Roman"/>
          <w:sz w:val="20"/>
          <w:u w:val="single"/>
        </w:rPr>
        <w:t>Section 6.05(b)(x)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transaction (or any portion thereof) meets the criteria of a permitted Asset Sale and would also be a Permitted Investment or an Investment permitted under </w:t>
      </w:r>
      <w:r>
        <w:rPr>
          <w:rFonts w:ascii="Times New Roman" w:hAnsi="Times New Roman"/>
          <w:sz w:val="20"/>
          <w:u w:val="single"/>
        </w:rPr>
        <w:t>Section 6.05</w:t>
      </w:r>
      <w:r>
        <w:rPr>
          <w:rFonts w:ascii="Times New Roman" w:hAnsi="Times New Roman"/>
          <w:sz w:val="20"/>
        </w:rPr>
        <w:t>, Bidco, in its sole discretion, will be entitled to divide and classify such transaction (or a portion thereof) as an Asset Sale and/or one or more of the types of Permitted Investments or Investments permitted under</w:t>
      </w:r>
      <w:r>
        <w:rPr>
          <w:rFonts w:ascii="Times New Roman" w:hAnsi="Times New Roman"/>
          <w:sz w:val="20"/>
          <w:u w:val="single"/>
        </w:rPr>
        <w:t xml:space="preserve"> Section 6.05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Person whose consent is required by </w:t>
      </w:r>
      <w:r>
        <w:rPr>
          <w:rFonts w:ascii="Times New Roman" w:hAnsi="Times New Roman"/>
          <w:sz w:val="20"/>
          <w:u w:val="single"/>
        </w:rPr>
        <w:t>Section 9.04(b)</w:t>
      </w:r>
      <w:r>
        <w:rPr>
          <w:rFonts w:ascii="Times New Roman" w:hAnsi="Times New Roman"/>
          <w:sz w:val="20"/>
        </w:rPr>
        <w:t xml:space="preserve">), substantially in the form of </w:t>
      </w:r>
      <w:r>
        <w:rPr>
          <w:rFonts w:ascii="Times New Roman" w:hAnsi="Times New Roman"/>
          <w:sz w:val="20"/>
          <w:u w:val="single"/>
        </w:rPr>
        <w:t>Exhibit A</w:t>
      </w:r>
      <w:r>
        <w:rPr>
          <w:rFonts w:ascii="Times New Roman" w:hAnsi="Times New Roman"/>
          <w:sz w:val="20"/>
        </w:rPr>
        <w:t xml:space="preserve"> or any other form reasonably approved by the Administrative Agent. </w:t>
      </w:r>
    </w:p>
    <w:p>
      <w:pPr>
        <w:pStyle w:val="TextBody"/>
        <w:bidi w:val="0"/>
        <w:spacing w:before="240" w:after="0"/>
        <w:jc w:val="left"/>
        <w:rPr/>
      </w:pPr>
      <w:r>
        <w:rPr/>
        <w:t>“</w:t>
      </w:r>
      <w:r>
        <w:rPr>
          <w:rFonts w:ascii="Times New Roman" w:hAnsi="Times New Roman"/>
          <w:sz w:val="20"/>
          <w:u w:val="single"/>
        </w:rPr>
        <w:t>Auction Agent</w:t>
      </w:r>
      <w:r>
        <w:rPr>
          <w:rFonts w:ascii="Times New Roman" w:hAnsi="Times New Roman"/>
          <w:sz w:val="20"/>
        </w:rPr>
        <w:t xml:space="preserve">” means (a) the Administrative Agent or (b) any other financial institution or advisor employed by Bidco (whether or not an Affiliate of the Administrative Agent) to act as an arranger in connection with any Discounted Term Loan Prepayment pursuant to </w:t>
      </w:r>
      <w:r>
        <w:rPr>
          <w:rFonts w:ascii="Times New Roman" w:hAnsi="Times New Roman"/>
          <w:sz w:val="20"/>
          <w:u w:val="single"/>
        </w:rPr>
        <w:t>Section 2.10(a)(ii)(A)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Bidco shall not designate the Administrative Agent as the Auction Agent without the written consent of the Administrative Agent (it being understood that the Administrative Agent shall be under no obligation to agree to act as the Auction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left"/>
        <w:rPr/>
      </w:pPr>
      <w:r>
        <w:rPr/>
        <w:t>“</w:t>
      </w:r>
      <w:r>
        <w:rPr>
          <w:rFonts w:ascii="Times New Roman" w:hAnsi="Times New Roman"/>
          <w:sz w:val="20"/>
          <w:u w:val="single"/>
        </w:rPr>
        <w:t>Available Amount</w:t>
      </w:r>
      <w:r>
        <w:rPr>
          <w:rFonts w:ascii="Times New Roman" w:hAnsi="Times New Roman"/>
          <w:sz w:val="20"/>
        </w:rPr>
        <w:t xml:space="preserve">” has the meaning assigned to such term in </w:t>
      </w:r>
      <w:r>
        <w:rPr>
          <w:rFonts w:ascii="Times New Roman" w:hAnsi="Times New Roman"/>
          <w:sz w:val="20"/>
          <w:u w:val="single"/>
        </w:rPr>
        <w:t>Section 6.05(a)(A)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Investments Amount</w:t>
      </w:r>
      <w:r>
        <w:rPr>
          <w:rFonts w:ascii="Times New Roman" w:hAnsi="Times New Roman"/>
          <w:sz w:val="20"/>
        </w:rPr>
        <w:t xml:space="preserve">” means, at any time, (i) the amount of Investments that may be made at the time of determination pursuant to clause (14) of the definition of “Permitted Investments”, minus (ii) the amount of the Available Investments Amount utilized by Bidco or any Restricted Subsidiary to make Restricted Debt Payments pursuant to clause (xiv)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Restricted Debt Payments Amount</w:t>
      </w:r>
      <w:r>
        <w:rPr>
          <w:rFonts w:ascii="Times New Roman" w:hAnsi="Times New Roman"/>
          <w:sz w:val="20"/>
        </w:rPr>
        <w:t xml:space="preserve">” means, at any time, (i) the amount of Restricted Debt Payments that may be made at the time of determination pursuant to clause (xiv) of </w:t>
      </w:r>
      <w:r>
        <w:rPr>
          <w:rFonts w:ascii="Times New Roman" w:hAnsi="Times New Roman"/>
          <w:sz w:val="20"/>
          <w:u w:val="single"/>
        </w:rPr>
        <w:t>Section 6.05(b)</w:t>
      </w:r>
      <w:r>
        <w:rPr>
          <w:rFonts w:ascii="Times New Roman" w:hAnsi="Times New Roman"/>
          <w:sz w:val="20"/>
        </w:rPr>
        <w:t xml:space="preserve">, minus (ii) the sum of (a) the amount of the Available Restricted Debt Payments Amount utilized by Bidco or any Restricted Subsidiary to make Investments pursuant to clause (14) of the definition of “Permitted Investments” and (b) the amount of the Available Restricted Debt Payments Amount utilized by Bidco or any Restricted Subsidiary to make Restricted Payments pursuant to clause (xi)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Restricted Payments Amount</w:t>
      </w:r>
      <w:r>
        <w:rPr>
          <w:rFonts w:ascii="Times New Roman" w:hAnsi="Times New Roman"/>
          <w:sz w:val="20"/>
        </w:rPr>
        <w:t xml:space="preserve">” means, at any time, (i) the amount of Restricted Payments that may be made at the time of determination pursuant to clause (xi) of </w:t>
      </w:r>
      <w:r>
        <w:rPr>
          <w:rFonts w:ascii="Times New Roman" w:hAnsi="Times New Roman"/>
          <w:sz w:val="20"/>
          <w:u w:val="single"/>
        </w:rPr>
        <w:t>Section 6.05(b)</w:t>
      </w:r>
      <w:r>
        <w:rPr>
          <w:rFonts w:ascii="Times New Roman" w:hAnsi="Times New Roman"/>
          <w:sz w:val="20"/>
        </w:rPr>
        <w:t xml:space="preserve">, minus (ii) the sum of (a) the amount of the Available Restricted Payments Amount utilized by Bidco or any Restricted Subsidiary to make Investments pursuant to clause (14) of the definition of “Permitted Investments” and (b) the amount of the Available Restricted Payments Amount utilized by Bidco or any Restricted Subsidiary to make Restricted Debt Payments pursuant to clause (xiv)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as amended, or any similar federal or state law for the relief of debtors. </w:t>
      </w:r>
    </w:p>
    <w:p>
      <w:pPr>
        <w:pStyle w:val="TextBody"/>
        <w:bidi w:val="0"/>
        <w:spacing w:before="240" w:after="0"/>
        <w:jc w:val="left"/>
        <w:rPr/>
      </w:pPr>
      <w:r>
        <w:rPr/>
        <w:t>“</w:t>
      </w:r>
      <w:r>
        <w:rPr>
          <w:rFonts w:ascii="Times New Roman" w:hAnsi="Times New Roman"/>
          <w:sz w:val="20"/>
          <w:u w:val="single"/>
        </w:rPr>
        <w:t>Bank Products</w:t>
      </w:r>
      <w:r>
        <w:rPr>
          <w:rFonts w:ascii="Times New Roman" w:hAnsi="Times New Roman"/>
          <w:sz w:val="20"/>
        </w:rPr>
        <w:t xml:space="preserve">” means any facilities or services related to cash management, including treasury, depository, overdraft, credit or debit card, purchase card, electronic funds transfer and other cash management arrangements. </w:t>
      </w:r>
    </w:p>
    <w:p>
      <w:pPr>
        <w:pStyle w:val="TextBody"/>
        <w:bidi w:val="0"/>
        <w:spacing w:before="240" w:after="0"/>
        <w:jc w:val="left"/>
        <w:rPr/>
      </w:pPr>
      <w:r>
        <w:rPr/>
        <w:t>“</w:t>
      </w:r>
      <w:r>
        <w:rPr>
          <w:rFonts w:ascii="Times New Roman" w:hAnsi="Times New Roman"/>
          <w:sz w:val="20"/>
          <w:u w:val="single"/>
        </w:rPr>
        <w:t>Barclays</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pPr>
      <w:r>
        <w:rPr/>
        <w:t>“</w:t>
      </w:r>
      <w:r>
        <w:rPr>
          <w:rFonts w:ascii="Times New Roman" w:hAnsi="Times New Roman"/>
          <w:sz w:val="20"/>
          <w:u w:val="single"/>
        </w:rPr>
        <w:t>Bidco</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 </w:t>
      </w:r>
    </w:p>
    <w:p>
      <w:pPr>
        <w:pStyle w:val="TextBody"/>
        <w:bidi w:val="0"/>
        <w:spacing w:before="240" w:after="0"/>
        <w:jc w:val="left"/>
        <w:rPr/>
      </w:pPr>
      <w:r>
        <w:rPr/>
        <w:t>“</w:t>
      </w:r>
      <w:r>
        <w:rPr>
          <w:rFonts w:ascii="Times New Roman" w:hAnsi="Times New Roman"/>
          <w:sz w:val="20"/>
          <w:u w:val="single"/>
        </w:rPr>
        <w:t>Board of Governors</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Borrower-Designated Guarantor</w:t>
      </w:r>
      <w:r>
        <w:rPr>
          <w:rFonts w:ascii="Times New Roman" w:hAnsi="Times New Roman"/>
          <w:sz w:val="20"/>
        </w:rPr>
        <w:t xml:space="preserve">” has the meaning assigned to such term in </w:t>
      </w:r>
      <w:r>
        <w:rPr>
          <w:rFonts w:ascii="Times New Roman" w:hAnsi="Times New Roman"/>
          <w:sz w:val="20"/>
          <w:u w:val="single"/>
        </w:rPr>
        <w:t>Section 5.11(a)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Offer of Specified Discount Prepayment</w:t>
      </w:r>
      <w:r>
        <w:rPr>
          <w:rFonts w:ascii="Times New Roman" w:hAnsi="Times New Roman"/>
          <w:sz w:val="20"/>
        </w:rPr>
        <w:t xml:space="preserve">” means the offer by the Borrower to make a voluntary prepayment of Term Loans at a Specified Discount to par pursuant to </w:t>
      </w:r>
      <w:r>
        <w:rPr>
          <w:rFonts w:ascii="Times New Roman" w:hAnsi="Times New Roman"/>
          <w:sz w:val="20"/>
          <w:u w:val="single"/>
        </w:rPr>
        <w:t>Section 2.10(a)(ii)(B)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Representative</w:t>
      </w:r>
      <w:r>
        <w:rPr>
          <w:rFonts w:ascii="Times New Roman" w:hAnsi="Times New Roman"/>
          <w:sz w:val="20"/>
        </w:rPr>
        <w:t xml:space="preserve">” has the meaning assigned to such term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Borrower Solicitation of Discount Range Prepayment Offers</w:t>
      </w:r>
      <w:r>
        <w:rPr>
          <w:rFonts w:ascii="Times New Roman" w:hAnsi="Times New Roman"/>
          <w:sz w:val="20"/>
        </w:rPr>
        <w:t xml:space="preserve">” means the solicitation by the Borrower Representative of offers for, and the corresponding acceptance by a Term Lender of, a voluntary prepayment of Term Loans at a specified range at a discount to par pursuant to </w:t>
      </w:r>
      <w:r>
        <w:rPr>
          <w:rFonts w:ascii="Times New Roman" w:hAnsi="Times New Roman"/>
          <w:sz w:val="20"/>
          <w:u w:val="single"/>
        </w:rPr>
        <w:t>Section 2.10(a)(ii)(C)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Solicitation of Discounted Prepayment Offers</w:t>
      </w:r>
      <w:r>
        <w:rPr>
          <w:rFonts w:ascii="Times New Roman" w:hAnsi="Times New Roman"/>
          <w:sz w:val="20"/>
        </w:rPr>
        <w:t>” means the solicitation by the Borrower Representative of offers for, and the subsequent acceptance, if any, by a Term Lender of, a voluntary prepayment of Term Loans at a discount to par pursuant to</w:t>
      </w:r>
      <w:r>
        <w:rPr>
          <w:rFonts w:ascii="Times New Roman" w:hAnsi="Times New Roman"/>
          <w:sz w:val="20"/>
          <w:u w:val="single"/>
        </w:rPr>
        <w:t xml:space="preserve"> Section 2.10(a)(ii)(D)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Tax Jurisdiction</w:t>
      </w:r>
      <w:r>
        <w:rPr>
          <w:rFonts w:ascii="Times New Roman" w:hAnsi="Times New Roman"/>
          <w:sz w:val="20"/>
        </w:rPr>
        <w:t xml:space="preserve">” means, as regards the relevant Borrower, that Borrower’s jurisdiction of incorporation unless that Borrower is incorporated in Guernsey, in which case its Borrower Tax Jurisdiction shall be the United Kingdom.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Loans of the same Class and Type, made, converted or continued on the same date and, in the case of Eurodollar Loans, as to which a single Interest Period is in effect or (b) a Swingline Loan. </w:t>
      </w:r>
    </w:p>
    <w:p>
      <w:pPr>
        <w:pStyle w:val="TextBody"/>
        <w:bidi w:val="0"/>
        <w:spacing w:before="240" w:after="0"/>
        <w:jc w:val="left"/>
        <w:rPr/>
      </w:pPr>
      <w:r>
        <w:rPr/>
        <w:t>“</w:t>
      </w:r>
      <w:r>
        <w:rPr>
          <w:rFonts w:ascii="Times New Roman" w:hAnsi="Times New Roman"/>
          <w:sz w:val="20"/>
          <w:u w:val="single"/>
        </w:rPr>
        <w:t>Borrowing Minimum</w:t>
      </w:r>
      <w:r>
        <w:rPr>
          <w:rFonts w:ascii="Times New Roman" w:hAnsi="Times New Roman"/>
          <w:sz w:val="20"/>
        </w:rPr>
        <w:t xml:space="preserve">” means (a) in the case of a Eurodollar Revolving Borrowing, $1,000,000, (b) in the case of an ABR Revolving Borrowing, $500,000 and (c) in the case of a Swingline Loan, $100,000.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left"/>
        <w:rPr/>
      </w:pPr>
      <w:r>
        <w:rPr/>
        <w:t>“</w:t>
      </w:r>
      <w:r>
        <w:rPr>
          <w:rFonts w:ascii="Times New Roman" w:hAnsi="Times New Roman"/>
          <w:sz w:val="20"/>
          <w:u w:val="single"/>
        </w:rPr>
        <w:t>Borrowing Multiple</w:t>
      </w:r>
      <w:r>
        <w:rPr>
          <w:rFonts w:ascii="Times New Roman" w:hAnsi="Times New Roman"/>
          <w:sz w:val="20"/>
        </w:rPr>
        <w:t xml:space="preserve">” means (a) in the case of a Eurodollar Revolving Borrowing, $1,000,000, (b) in the case of an ABR Revolving Borrowing, $500,000 and (c) in the case of a Swingline Loan, $100,000.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a Borrower for a Borrowing in accordance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London, Luxembourg and/or Guernsey are authorized or required by law to remain closed; </w:t>
      </w:r>
      <w:r>
        <w:rPr>
          <w:rFonts w:ascii="Times New Roman" w:hAnsi="Times New Roman"/>
          <w:sz w:val="20"/>
          <w:u w:val="single"/>
        </w:rPr>
        <w:t>provided</w:t>
      </w:r>
      <w:r>
        <w:rPr>
          <w:rFonts w:ascii="Times New Roman" w:hAnsi="Times New Roman"/>
          <w:sz w:val="20"/>
        </w:rPr>
        <w:t xml:space="preserve"> that (x) when used in connection with a Eurodollar Loan denominated in Canadian Dollars, the term “Business Day” shall also exclude any day on which banks are not open for dealings in Canadian Dollar deposits in the Toronto interbank market, (y) when used in connection with a Eurodollar Loan denominated in Euros, the term “Business Day” shall also exclude any day on which the TARGET2 payment system is not open and (z) with respect to all notices and determinations in connection with, and payments of principal and interest on or with respect to, Loans denominated in any Alternative Currency, any day that is a Business Day which is not a legal holiday or a day on which banking institutions are authorized or required by Requirements of Law or other governmental action to remain closed in the country of issuance of the applicable currency.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shall mean the lawful currency of Canada.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or shares in the capital of such corporation;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but excluding from all of the foregoing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sz w:val="20"/>
          <w:u w:val="single"/>
        </w:rPr>
        <w:t>Capitalized Amount</w:t>
      </w:r>
      <w:r>
        <w:rPr>
          <w:rFonts w:ascii="Times New Roman" w:hAnsi="Times New Roman"/>
          <w:sz w:val="20"/>
        </w:rPr>
        <w:t xml:space="preserve">” means, as at the relevant date of determination, the sum of the amount of (a) the Equity Contributions and (b) the Senior Secured Notes actually issued, and the Initial Term Loans and Revolving Loans actually funded, on or prior to such date (excluding, in each case, (x) the aggregate gross proceeds of the Senior Secured Notes, the Initial Term Loans and the Revolving Loans to fund original issue discount or upfront fees and (y) any amounts drawn under the Revolving Facility on or prior to such date for working capital purposes). </w:t>
      </w:r>
    </w:p>
    <w:p>
      <w:pPr>
        <w:pStyle w:val="TextBody"/>
        <w:bidi w:val="0"/>
        <w:spacing w:before="240" w:after="0"/>
        <w:jc w:val="left"/>
        <w:rPr/>
      </w:pPr>
      <w:r>
        <w:rPr/>
        <w:t>“</w:t>
      </w:r>
      <w:r>
        <w:rPr>
          <w:rFonts w:ascii="Times New Roman" w:hAnsi="Times New Roman"/>
          <w:sz w:val="20"/>
          <w:u w:val="single"/>
        </w:rPr>
        <w:t>Capitalized Lease Obligations</w:t>
      </w:r>
      <w:r>
        <w:rPr>
          <w:rFonts w:ascii="Times New Roman" w:hAnsi="Times New Roman"/>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IFRS; </w:t>
      </w:r>
      <w:r>
        <w:rPr>
          <w:rFonts w:ascii="Times New Roman" w:hAnsi="Times New Roman"/>
          <w:sz w:val="20"/>
          <w:u w:val="single"/>
        </w:rPr>
        <w:t>provided</w:t>
      </w:r>
      <w:r>
        <w:rPr>
          <w:rFonts w:ascii="Times New Roman" w:hAnsi="Times New Roman"/>
          <w:sz w:val="20"/>
        </w:rPr>
        <w:t xml:space="preserve"> that all obligations of any Person that are or would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left"/>
        <w:rPr>
          <w:rFonts w:ascii="Times New Roman" w:hAnsi="Times New Roman"/>
          <w:sz w:val="20"/>
        </w:rPr>
      </w:pPr>
      <w:r>
        <w:rPr>
          <w:rFonts w:ascii="Times New Roman" w:hAnsi="Times New Roman"/>
          <w:sz w:val="20"/>
        </w:rPr>
        <w:t xml:space="preserve">characterized as an operating lease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regardless of any change in IFRS following such date that would otherwise require such obligation to be recharacterized as a Capitalized Lease Obligation, to the extent that financial reporting shall not be affected hereby. </w:t>
      </w:r>
    </w:p>
    <w:p>
      <w:pPr>
        <w:pStyle w:val="TextBody"/>
        <w:bidi w:val="0"/>
        <w:spacing w:before="240" w:after="0"/>
        <w:jc w:val="left"/>
        <w:rPr/>
      </w:pPr>
      <w:r>
        <w:rPr/>
        <w:t>“</w:t>
      </w:r>
      <w:r>
        <w:rPr>
          <w:rFonts w:ascii="Times New Roman" w:hAnsi="Times New Roman"/>
          <w:sz w:val="20"/>
          <w:u w:val="single"/>
        </w:rPr>
        <w:t>Capitalized Leases</w:t>
      </w:r>
      <w:r>
        <w:rPr>
          <w:rFonts w:ascii="Times New Roman" w:hAnsi="Times New Roman"/>
          <w:sz w:val="20"/>
        </w:rPr>
        <w:t xml:space="preserve">” means all leases that have been or should be, in accordance with IFRS as in effect on the Effective Date, recorded as capitalized leases; </w:t>
      </w:r>
      <w:r>
        <w:rPr>
          <w:rFonts w:ascii="Times New Roman" w:hAnsi="Times New Roman"/>
          <w:sz w:val="20"/>
          <w:u w:val="single"/>
        </w:rPr>
        <w:t>provided</w:t>
      </w:r>
      <w:r>
        <w:rPr>
          <w:rFonts w:ascii="Times New Roman" w:hAnsi="Times New Roman"/>
          <w:sz w:val="20"/>
        </w:rPr>
        <w:t xml:space="preserve"> that for all purposes hereunder the amount of obligations under any Capitalized Lease shall be the amount thereof accounted for as a liability in accordance with IFRS;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leases of such Person that are or would have been characterized as operating leases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notwithstanding the fact that such obligations are required in accordance with IFRS (on a prospective or retroactive basis or otherwise) to be characterized as capitalized lease obligations in the financial statements to be delivered pursuant to the Loan Documents. </w:t>
      </w:r>
    </w:p>
    <w:p>
      <w:pPr>
        <w:pStyle w:val="TextBody"/>
        <w:bidi w:val="0"/>
        <w:spacing w:before="240" w:after="0"/>
        <w:jc w:val="left"/>
        <w:rPr/>
      </w:pPr>
      <w:r>
        <w:rPr/>
        <w:t>“</w:t>
      </w:r>
      <w:r>
        <w:rPr>
          <w:rFonts w:ascii="Times New Roman" w:hAnsi="Times New Roman"/>
          <w:sz w:val="20"/>
          <w:u w:val="single"/>
        </w:rPr>
        <w:t>Capitalized Software Expenditures</w:t>
      </w:r>
      <w:r>
        <w:rPr>
          <w:rFonts w:ascii="Times New Roman" w:hAnsi="Times New Roman"/>
          <w:sz w:val="20"/>
        </w:rPr>
        <w:t xml:space="preserve">” means, for any period, the aggregate of all expenditures (whether paid in cash or accrued as liabilities) by Bidco and the Restricted Subsidiaries during such period in respect of purchased software or internally developed software and software enhancements that, in conformity with IFRS, are or are required to be reflected as capitalized costs on the consolidated balance sheet of Bidco and the Restricted Subsidiaries.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United States dollars; </w:t>
      </w:r>
    </w:p>
    <w:p>
      <w:pPr>
        <w:pStyle w:val="TextBody"/>
        <w:bidi w:val="0"/>
        <w:spacing w:before="120" w:after="0"/>
        <w:jc w:val="left"/>
        <w:rPr>
          <w:rFonts w:ascii="Times New Roman" w:hAnsi="Times New Roman"/>
          <w:sz w:val="20"/>
        </w:rPr>
      </w:pPr>
      <w:r>
        <w:rPr>
          <w:rFonts w:ascii="Times New Roman" w:hAnsi="Times New Roman"/>
          <w:sz w:val="20"/>
        </w:rPr>
        <w:t xml:space="preserve">(2) (a) Canadian Dollars, Yen, pounds sterling, euros, or any national currency of any participating member state of the EMU or (b) in the case of any Foreign Subsidiary, such local currencies held by it from time to time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 securities issued or directly and fully and unconditionally guaranteed or insured by the U.S. government or any agency or instrumentality thereof, Canada, Switzerland, a member of the European Union rated “A” (or the equivalent thereof) or better by S&amp;P and A2 (or the equivalent thereof) or better by Moody’s, the securities of which are unconditionally guaranteed as a full faith and credit obligation of such government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$250,000,000 in the case of U.S. banks or $100,000,000 (or the Dollar Equivalent as of the date of determination) in the case of non-U.S. banks (any such bank being an “</w:t>
      </w:r>
      <w:r>
        <w:rPr>
          <w:rFonts w:ascii="Times New Roman" w:hAnsi="Times New Roman"/>
          <w:sz w:val="20"/>
          <w:u w:val="single"/>
        </w:rPr>
        <w:t>Approved Bank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 repurchase obligations for underlying securities of the types described in clause (3), (4) or (7) entered into with any financial institution or recognized securities dealer meeting the qualifications specified in clause (4)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left"/>
        <w:rPr>
          <w:rFonts w:ascii="Times New Roman" w:hAnsi="Times New Roman"/>
          <w:sz w:val="20"/>
        </w:rPr>
      </w:pPr>
      <w:r>
        <w:rPr>
          <w:rFonts w:ascii="Times New Roman" w:hAnsi="Times New Roman"/>
          <w:sz w:val="20"/>
        </w:rPr>
        <w:t xml:space="preserve">(6)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(7) 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(8) readily marketable direct obligations issued by any state, commonwealth or territory of the United States of America or any political subdivision or taxing authority thereof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(9) Indebtedness or Preferred Stock issued by Persons with a rating of “A” or higher from S&amp;P or “A2” or higher from Moody’s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(10) readily marketable direct obligations issued by any foreign government or any political subdivision or public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(11)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 </w:t>
      </w:r>
    </w:p>
    <w:p>
      <w:pPr>
        <w:pStyle w:val="TextBody"/>
        <w:bidi w:val="0"/>
        <w:spacing w:before="120" w:after="0"/>
        <w:jc w:val="left"/>
        <w:rPr>
          <w:rFonts w:ascii="Times New Roman" w:hAnsi="Times New Roman"/>
          <w:sz w:val="20"/>
        </w:rPr>
      </w:pPr>
      <w:r>
        <w:rPr>
          <w:rFonts w:ascii="Times New Roman" w:hAnsi="Times New Roman"/>
          <w:sz w:val="20"/>
        </w:rPr>
        <w:t xml:space="preserve">(12) 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(13) instruments equivalent to those referred to in clauses (1) through (12)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(14) investments, classified in accordance with IFRS as current assets of Bidco or any Subsidiary, in money market investment programs that are registered under the Investment Company Act of 1940 or that are administered by financial institutions having capital of at least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left"/>
        <w:rPr>
          <w:rFonts w:ascii="Times New Roman" w:hAnsi="Times New Roman"/>
          <w:sz w:val="20"/>
        </w:rPr>
      </w:pPr>
      <w:r>
        <w:rPr>
          <w:rFonts w:ascii="Times New Roman" w:hAnsi="Times New Roman"/>
          <w:sz w:val="20"/>
        </w:rPr>
        <w:t xml:space="preserve">$250,000,000 or its equivalent, and, in either case, the portfolios of which are limited such that substantially all of such investments are of the character, quality and maturity described in clauses (1) through (13)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(15) 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hAnsi="Times New Roman"/>
          <w:sz w:val="20"/>
          <w:u w:val="single"/>
        </w:rPr>
        <w:t>Approved Foreign Bank</w:t>
      </w:r>
      <w:r>
        <w:rPr>
          <w:rFonts w:ascii="Times New Roman" w:hAnsi="Times New Roman"/>
          <w:sz w:val="20"/>
        </w:rPr>
        <w:t xml:space="preserve">”), and in each case with maturities of not more than 24 months from the date of acquisition and (iii) the equivalent of demand deposit accounts which are maintained with an Approved Foreign Bank; and </w:t>
      </w:r>
    </w:p>
    <w:p>
      <w:pPr>
        <w:pStyle w:val="TextBody"/>
        <w:bidi w:val="0"/>
        <w:spacing w:before="120" w:after="0"/>
        <w:jc w:val="left"/>
        <w:rPr>
          <w:rFonts w:ascii="Times New Roman" w:hAnsi="Times New Roman"/>
          <w:sz w:val="20"/>
        </w:rPr>
      </w:pPr>
      <w:r>
        <w:rPr>
          <w:rFonts w:ascii="Times New Roman" w:hAnsi="Times New Roman"/>
          <w:sz w:val="20"/>
        </w:rPr>
        <w:t xml:space="preserve">(16) investment funds investing at least 90% of their assets in securities of the types described in clauses (1) through (15) above. </w:t>
      </w:r>
    </w:p>
    <w:p>
      <w:pPr>
        <w:pStyle w:val="TextBody"/>
        <w:bidi w:val="0"/>
        <w:spacing w:before="240" w:after="0"/>
        <w:jc w:val="left"/>
        <w:rPr>
          <w:rFonts w:ascii="Times New Roman" w:hAnsi="Times New Roman"/>
          <w:sz w:val="20"/>
        </w:rPr>
      </w:pPr>
      <w:r>
        <w:rPr>
          <w:rFonts w:ascii="Times New Roman" w:hAnsi="Times New Roman"/>
          <w:sz w:val="20"/>
        </w:rPr>
        <w:t>Notwithstanding the foregoing, Cash Equivalents shall include amounts denominated in currencies other than those set forth in clauses (1) or (2) above or the immediately preceding paragraph;</w:t>
      </w:r>
      <w:r>
        <w:rPr>
          <w:rFonts w:ascii="Times New Roman" w:hAnsi="Times New Roman"/>
          <w:sz w:val="20"/>
          <w:u w:val="single"/>
        </w:rPr>
        <w:t xml:space="preserve"> provided</w:t>
      </w:r>
      <w:r>
        <w:rPr>
          <w:rFonts w:ascii="Times New Roman" w:hAnsi="Times New Roman"/>
          <w:sz w:val="20"/>
        </w:rPr>
        <w:t xml:space="preserve"> that such amounts are converted into any currency listed in clauses (1) or (2) above or the immediately preceding paragraph as promptly as practicable and in any event within ten Business Days following the receipt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(16) above of foreign obligors, which Investments or obligors (or the parents of such obligors) have ratings described in such clauses or equivalent ratings from comparable foreign rating agencies and (b) other short term investments utilized by Foreign Subsidiaries that are Restricted Subsidiaries in accordance with normal investment practices for cash management in investments analogous to the foregoing investments in clauses (1) through (16)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auction-rate obligations; or (iv) the next put exercise date (for obligations with put features). </w:t>
      </w:r>
    </w:p>
    <w:p>
      <w:pPr>
        <w:pStyle w:val="TextBody"/>
        <w:bidi w:val="0"/>
        <w:spacing w:before="240" w:after="0"/>
        <w:jc w:val="left"/>
        <w:rPr/>
      </w:pPr>
      <w:r>
        <w:rPr/>
        <w:t>“</w:t>
      </w:r>
      <w:r>
        <w:rPr>
          <w:rFonts w:ascii="Times New Roman" w:hAnsi="Times New Roman"/>
          <w:sz w:val="20"/>
          <w:u w:val="single"/>
        </w:rPr>
        <w:t>Cash Management Obligations</w:t>
      </w:r>
      <w:r>
        <w:rPr>
          <w:rFonts w:ascii="Times New Roman" w:hAnsi="Times New Roman"/>
          <w:sz w:val="20"/>
        </w:rPr>
        <w:t xml:space="preserve">” means (a) obligations of Holdings, any Intermediate Parent, Bidco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 </w:t>
      </w:r>
    </w:p>
    <w:p>
      <w:pPr>
        <w:pStyle w:val="TextBody"/>
        <w:bidi w:val="0"/>
        <w:spacing w:before="240" w:after="0"/>
        <w:jc w:val="left"/>
        <w:rPr/>
      </w:pPr>
      <w:r>
        <w:rPr/>
        <w:t>“</w:t>
      </w:r>
      <w:r>
        <w:rPr>
          <w:rFonts w:ascii="Times New Roman" w:hAnsi="Times New Roman"/>
          <w:sz w:val="20"/>
          <w:u w:val="single"/>
        </w:rPr>
        <w:t>Casualty Event</w:t>
      </w:r>
      <w:r>
        <w:rPr>
          <w:rFonts w:ascii="Times New Roman" w:hAnsi="Times New Roman"/>
          <w:sz w:val="20"/>
        </w:rPr>
        <w:t xml:space="preserve">” means any event that gives rise to the receipt by Bidco or any Subsidiary of any insurance proceeds or condemnation awards in respect of any equipment, fixed assets or real property (including any improvements thereon) to replace or repair such equipment, fixed assets or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left"/>
        <w:rPr/>
      </w:pPr>
      <w:r>
        <w:rPr/>
        <w:t>“</w:t>
      </w:r>
      <w:r>
        <w:rPr>
          <w:rFonts w:ascii="Times New Roman" w:hAnsi="Times New Roman"/>
          <w:sz w:val="20"/>
          <w:u w:val="single"/>
        </w:rPr>
        <w:t>Certain Funds Loan Party</w:t>
      </w:r>
      <w:r>
        <w:rPr>
          <w:rFonts w:ascii="Times New Roman" w:hAnsi="Times New Roman"/>
          <w:sz w:val="20"/>
        </w:rPr>
        <w:t xml:space="preserve">” means Initial Holdings, Bidco, the Finco Borrower and the U.S. Borrower, in each case as of the Effective Date. </w:t>
      </w:r>
    </w:p>
    <w:p>
      <w:pPr>
        <w:pStyle w:val="TextBody"/>
        <w:bidi w:val="0"/>
        <w:spacing w:before="240" w:after="0"/>
        <w:jc w:val="left"/>
        <w:rPr/>
      </w:pPr>
      <w:r>
        <w:rPr/>
        <w:t>“</w:t>
      </w:r>
      <w:r>
        <w:rPr>
          <w:rFonts w:ascii="Times New Roman" w:hAnsi="Times New Roman"/>
          <w:sz w:val="20"/>
          <w:u w:val="single"/>
        </w:rPr>
        <w:t>Certain Funds Period</w:t>
      </w:r>
      <w:r>
        <w:rPr>
          <w:rFonts w:ascii="Times New Roman" w:hAnsi="Times New Roman"/>
          <w:sz w:val="20"/>
        </w:rPr>
        <w:t xml:space="preserve">” means the period from (and including) the Effective Date to (and including) 11:59 p.m., New York City time, on the earliest of (a) the date on which the Initial Term Commitments have been utilized in full and (b) the date falling 60 days after the Effective Date (or, in each case, such later time as agreed by the Administrative Agent (acting reasonably and in good faith)). </w:t>
      </w:r>
    </w:p>
    <w:p>
      <w:pPr>
        <w:pStyle w:val="TextBody"/>
        <w:bidi w:val="0"/>
        <w:spacing w:before="240" w:after="0"/>
        <w:jc w:val="left"/>
        <w:rPr/>
      </w:pPr>
      <w:r>
        <w:rPr/>
        <w:t>“</w:t>
      </w:r>
      <w:r>
        <w:rPr>
          <w:rFonts w:ascii="Times New Roman" w:hAnsi="Times New Roman"/>
          <w:sz w:val="20"/>
          <w:u w:val="single"/>
        </w:rPr>
        <w:t>Certain Funds Utilization</w:t>
      </w:r>
      <w:r>
        <w:rPr>
          <w:rFonts w:ascii="Times New Roman" w:hAnsi="Times New Roman"/>
          <w:sz w:val="20"/>
        </w:rPr>
        <w:t xml:space="preserve">” means any borrowing of Initial Term Loans on or after the Effective Date and prior to the expiration of the Certain Funds Period in accordance with </w:t>
      </w:r>
      <w:r>
        <w:rPr>
          <w:rFonts w:ascii="Times New Roman" w:hAnsi="Times New Roman"/>
          <w:sz w:val="20"/>
          <w:u w:val="single"/>
        </w:rPr>
        <w:t>Section 3.17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CFC</w:t>
      </w:r>
      <w:r>
        <w:rPr>
          <w:rFonts w:ascii="Times New Roman" w:hAnsi="Times New Roman"/>
          <w:sz w:val="20"/>
        </w:rPr>
        <w:t xml:space="preserve">” means a “controlled foreign corporation” within the meaning of Section 957 of the Code.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shall mean (i) the adoption of any law, treaty, order, policy, rule, or regulation after the Effective Date, (ii) any change in any law, treaty, order, policy, rule, or regulation or in the interpretation or application thereof by any Governmental Authority after the Effective Date or (iii) compliance by any Lender with any guideline, request, directive, or order issued or made after the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Effective Date.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 (i) prior to an IPO, the failure of Holdings, directly or indirectly through one or more Intermediate Parents, to own all of the Equity Interests of Bidco or (ii) prior to an IPO by a Borrower, the failure of Bidco, directly or indirectly, to own all of the Equity Interests of each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the Board of Directors of Holdings represented by the issued and outstanding Equity Interests in Holdings, unless the Permitted Holders otherwise have the right (pursuant to contract, proxy or otherwise), directly or indirectly, to designate, nominate or appoint (and do so designate, nominate or appoint) a majority of the Board of Directors of Holdings, (c) after an IPO, (i)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the IPO Entity or (ii) if the IPO Entity is a parent entity of Holdings, the failure of Holdings to remain an indirect or direct subsidiary of the IPO Entity, unless the Permitted Holders (directly or indirectly, including through one or more holding companies) otherwise have the right (pursuant to contract, proxy or otherwise),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left"/>
        <w:rPr>
          <w:rFonts w:ascii="Times New Roman" w:hAnsi="Times New Roman"/>
          <w:sz w:val="20"/>
        </w:rPr>
      </w:pPr>
      <w:r>
        <w:rPr>
          <w:rFonts w:ascii="Times New Roman" w:hAnsi="Times New Roman"/>
          <w:sz w:val="20"/>
        </w:rPr>
        <w:t xml:space="preserve">indirectly, to designate, nominate or appoint (and do so designate, nominate or appoint) a majority of the Board of Directors of Holdings or (d) the occurrence of a “Change of Control” (or similar event, however denominated), as defined in the documentation governing any Subordinated Indebtedness that is Material Indebtedness, unless such Subordinated Indebtedness is repaid substantially simultaneously with the occurrence of such “Change of Control” under such documentation in a manner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Bidco, as applicable, directly or indirectly owned by the Permitted Holders that are part of such Person or “group” shall not be treated as being owned by such Person or “group” for purposes of determining whether clause (c) of this definition is triggered). </w:t>
      </w:r>
    </w:p>
    <w:p>
      <w:pPr>
        <w:pStyle w:val="TextBody"/>
        <w:bidi w:val="0"/>
        <w:spacing w:before="240" w:after="0"/>
        <w:jc w:val="left"/>
        <w:rPr/>
      </w:pPr>
      <w:r>
        <w:rPr/>
        <w:t>“</w:t>
      </w:r>
      <w:r>
        <w:rPr>
          <w:rFonts w:ascii="Times New Roman" w:hAnsi="Times New Roman"/>
          <w:sz w:val="20"/>
          <w:u w:val="single"/>
        </w:rPr>
        <w:t>City Code</w:t>
      </w:r>
      <w:r>
        <w:rPr>
          <w:rFonts w:ascii="Times New Roman" w:hAnsi="Times New Roman"/>
          <w:sz w:val="20"/>
        </w:rPr>
        <w:t xml:space="preserve">” means the UK City Code on Takeovers and Mergers, as administered by the Panel.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 any Loan or Borrowing, refers to whether such Loan, or the Loans comprising such Borrowing, are Revolving Loans, Other Revolving Loans, Term Loans, Incremental Term Loans, Other Term Loans or Swingline Loans, (b) any Commitment, refers to whether such Commitment is a Revolving Commitment, Additional/Replacement Revolving Commitment, Other Revolving Commitment, Term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and Incremental Term Loans that have different terms and conditions (other than with respect to original issue discount or upfront fees) shall be construed to be in different Classes.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United States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assets, whether real or personal, tangible or intangible, on which Liens are purported to be granted pursuant to the Security Documents as security for the Secured Obligations.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has the meaning given to such term in </w:t>
      </w:r>
      <w:r>
        <w:rPr>
          <w:rFonts w:ascii="Times New Roman" w:hAnsi="Times New Roman"/>
          <w:sz w:val="20"/>
          <w:u w:val="single"/>
        </w:rPr>
        <w:t>Section 8.01(b)</w:t>
      </w:r>
      <w:r>
        <w:rPr>
          <w:rFonts w:ascii="Times New Roman" w:hAnsi="Times New Roman"/>
          <w:sz w:val="20"/>
        </w:rPr>
        <w:t xml:space="preserve"> and its successors in such capacity as provided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means the Collateral Agreement among the Loan Parties party thereto and the Collateral Agent, substantially in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and Guarantee Requirement</w:t>
      </w:r>
      <w:r>
        <w:rPr>
          <w:rFonts w:ascii="Times New Roman" w:hAnsi="Times New Roman"/>
          <w:sz w:val="20"/>
        </w:rPr>
        <w:t xml:space="preserve">” means, at any time, subject in all respects to the Agreed Security Principles (other than with respect to U.S. Restricted Subsidiaries or U.S. Loan Parties),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from (i) Holdings, any Intermediate Parent, Bidco, each of the U.S. Restricted Subsidiaries (other than any Excluded Subsidiary) and each of the Non-U.S. Restricted Subsidiaries (other than any Non-U.S. Restricted Subsidiary that is incorporated in an Excluded Jurisdiction) that is a Guarantor Coverage Material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left"/>
        <w:rPr>
          <w:rFonts w:ascii="Times New Roman" w:hAnsi="Times New Roman"/>
          <w:sz w:val="20"/>
        </w:rPr>
      </w:pPr>
      <w:r>
        <w:rPr>
          <w:rFonts w:ascii="Times New Roman" w:hAnsi="Times New Roman"/>
          <w:sz w:val="20"/>
        </w:rPr>
        <w:t xml:space="preserve">that is designated to accede as a Guarantor pursuant to </w:t>
      </w:r>
      <w:r>
        <w:rPr>
          <w:rFonts w:ascii="Times New Roman" w:hAnsi="Times New Roman"/>
          <w:sz w:val="20"/>
          <w:u w:val="single"/>
        </w:rPr>
        <w:t>Section 5.11</w:t>
      </w:r>
      <w:r>
        <w:rPr>
          <w:rFonts w:ascii="Times New Roman" w:hAnsi="Times New Roman"/>
          <w:sz w:val="20"/>
        </w:rPr>
        <w:t xml:space="preserve">, either (x) a counterpart of the Guarantee Agreement duly executed and delivered on behalf of such Person or (y) in the case of any Person that becomes a Restricted Subsidiary (other than an Excluded Subsidiary) or a Loan Party after the Effective Date or that ceases to be an Excluded Subsidiary, a supplement to the Guarantee Agreement, in substantially the form specified therein, duly executed and delivered on behalf of such Person, (ii) any Borrower or Guarantor that is a U.S. Loan Party, (x) a counterpart of the Collateral Agreement duly executed and delivered on behalf of such Person, (y) in the case of any Person that becomes a U.S. Loan Party after the Effective Date (including by ceasing to be an Excluded Subsidiary), a supplement to the Collateral Agreement in substantially the form specified therein, duly executed and delivered on behalf of such Person, and (iii) any Borrower or Guarantor that is a Non-U.S. Loan Party, (x) a counterpart of each applicable Non-U.S. Security Agreement listed on </w:t>
      </w:r>
      <w:r>
        <w:rPr>
          <w:rFonts w:ascii="Times New Roman" w:hAnsi="Times New Roman"/>
          <w:sz w:val="20"/>
          <w:u w:val="single"/>
        </w:rPr>
        <w:t>Schedule 1.01(d)</w:t>
      </w:r>
      <w:r>
        <w:rPr>
          <w:rFonts w:ascii="Times New Roman" w:hAnsi="Times New Roman"/>
          <w:sz w:val="20"/>
        </w:rPr>
        <w:t xml:space="preserve"> duly executed and delivered on behalf of such Person and (y) in the case of any Person that becomes a Non-U.S. Loan Party after the Effective Date (including by ceasing to be an Excluded Subsidiary), executed pledge and security agreement(s) in accordance with the Agreed Security Principles (including but not limited to the Overriding Principle (as defined therein)) or under </w:t>
      </w:r>
      <w:r>
        <w:rPr>
          <w:rFonts w:ascii="Times New Roman" w:hAnsi="Times New Roman"/>
          <w:sz w:val="20"/>
          <w:u w:val="single"/>
        </w:rPr>
        <w:t>Section 5.14</w:t>
      </w:r>
      <w:r>
        <w:rPr>
          <w:rFonts w:ascii="Times New Roman" w:hAnsi="Times New Roman"/>
          <w:sz w:val="20"/>
        </w:rPr>
        <w:t xml:space="preserve"> (as applicable), in each case under this clause (a) together with, in the case of any such Loan Documents executed and delivered after the Effective Date, to the extent reasonably requested by the Administrative Agent, opinions and documents of the type referred to in </w:t>
      </w:r>
      <w:r>
        <w:rPr>
          <w:rFonts w:ascii="Times New Roman" w:hAnsi="Times New Roman"/>
          <w:sz w:val="20"/>
          <w:u w:val="single"/>
        </w:rPr>
        <w:t>Sections 4.01(b)</w:t>
      </w:r>
      <w:r>
        <w:rPr>
          <w:rFonts w:ascii="Times New Roman" w:hAnsi="Times New Roman"/>
          <w:sz w:val="20"/>
        </w:rPr>
        <w:t xml:space="preserve"> and </w:t>
      </w:r>
      <w:r>
        <w:rPr>
          <w:rFonts w:ascii="Times New Roman" w:hAnsi="Times New Roman"/>
          <w:sz w:val="20"/>
          <w:u w:val="single"/>
        </w:rPr>
        <w:t>4.01(d)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outstanding Equity Interests of Bidco, each Intermediate Parent, the Borrowers, each Material Subsidiary that is a U.S. Restricted Subsidiary and each Guarantor Coverage Material Subsidiary that is a Non-U.S. Restricted Subsidiary (other than any Equity Interests constituting Excluded Assets) owned by or on behalf of any Loan Party, shall have been pledged pursuant to the applicable Security Document, and the Collateral Agent shall have received certificates, if any, or other instruments, if any, representing all such Equity Interests to the extent constituting “certificated securities” (other than such Equity Interests constituting Excluded Assets), together with undated stock powers or other instruments of transfer with respect thereto endorsed in blank or updated shareholders’ register reflecting the registration of the pledge, in each case, as is customary in that jurisdiction and required to be delivered under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(c) if any Indebtedness for borrowed money of Bidco or any Restricted Subsidiary in a principal amount of $125,000,000 or more is owing by such obligor to any U.S. Loan Party and such Indebtedness is evidenced by a promissory note, such promissory note shall be pledged pursuant to the applicable Security Document, the Collateral Agent shall have received all such promissory notes, together with undated instruments of transfer with respect thereto endorsed in blank;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delivery requirement with respect to any intercompany indebtedness may be satisfied, at Bidco’s sole discretion, by delivery of an omnibus or global intercompany note executed by all U.S. Loan Parties as payees and all such obligors as payors; </w:t>
      </w:r>
    </w:p>
    <w:p>
      <w:pPr>
        <w:pStyle w:val="TextBody"/>
        <w:bidi w:val="0"/>
        <w:spacing w:before="120" w:after="0"/>
        <w:jc w:val="left"/>
        <w:rPr>
          <w:rFonts w:ascii="Times New Roman" w:hAnsi="Times New Roman"/>
          <w:sz w:val="20"/>
        </w:rPr>
      </w:pPr>
      <w:r>
        <w:rPr>
          <w:rFonts w:ascii="Times New Roman" w:hAnsi="Times New Roman"/>
          <w:sz w:val="20"/>
        </w:rPr>
        <w:t xml:space="preserve">(d) (i) each Non-U.S. Loan Party shall grant to the Collateral Agent (A) fixed security over material bank accounts (without control over use) and (B) fixed security over material, structural, long-term documented intercompany loans made by such Non-U.S. Loan Party, and (ii) in the United Kingdom (and where customary in any other jurisdiction), each Non- U.S. Loan Party which is incorporated in the United Kingdom (or such other jurisdiction) shall grant to the Collateral Agent “floating charges” or such equivalent or substantially equivalent concept as may exist under relevant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left"/>
        <w:rPr>
          <w:rFonts w:ascii="Times New Roman" w:hAnsi="Times New Roman"/>
          <w:sz w:val="20"/>
        </w:rPr>
      </w:pPr>
      <w:r>
        <w:rPr>
          <w:rFonts w:ascii="Times New Roman" w:hAnsi="Times New Roman"/>
          <w:sz w:val="20"/>
        </w:rPr>
        <w:t xml:space="preserve">(e) all certificates, agreements, documents and instruments, including Uniform Commercial Code financing statements and Intellectual Property Security Agreements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the other provisions of the term “Collateral and Guarantee Requirement” and (in the case of the Non-U.S. Loan Parties) the Agreed Security Principles, shall have been filed, registered or recorded or delivered to the Collateral Agent for filing, registration or recording.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the Administrative Agent and Bidco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outweighs the benefits to be obtained by the Lenders therefrom; (b) Liens required to be granted from time to time pursuant to the term “Collateral and Guarantee Requirement” shall be subject to exceptions and limitations set forth in this Agreement and the Security Documents; (c) in the case of U.S. Loan Parties, in no event shall control agreements or other control or similar arrangements be required with respect to cash, Cash Equivalents, other deposit accounts, securities and commodities accounts (including securities entitlements and related assets), letter of credit rights or other assets requiring perfection by control (but not, for avoidance of doubt, possession); (d) [reserved]; (e) the U.S. Loan Parties shall not be required, nor shall the Administrative Agent be authorized, to perfect the above-described pledges, security interests and mortgages by any means other than by (i) filings pursuant to the Uniform Commercial Code in the office of the secretary of state (or similar central filing office) of the relevant jurisdiction, (ii) filings in United States Patent and Trademark Office and the United States Copyright Office with respect to registered and applied-for Intellectual Property as expressly required in the Loan Documents and (iii) delivery to the Collateral Agent to be held in its possession of all Collateral consisting of intercompany notes, stock certificates of any Intermediate Parent, Bidco and its Subsidiaries and instruments, in each case as expressly required in the Loan Documents; (f) in the case of the Non-U.S. Restricted Subsidiaries and the Non-U.S. Loan Parties, the foregoing provisions of this definition shall be subject in all respects to the Agreed Security Principles and (g) in no event shall the Collateral include any Excluded Assets, except at the option or in the sole discretion of Bidco. The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or due to factors beyond the control of Bidco and the Restricted Subsidiaries by the time or times at which it would otherwise be required to be accomplished by this Agreement (including as set forth on </w:t>
      </w:r>
      <w:r>
        <w:rPr>
          <w:rFonts w:ascii="Times New Roman" w:hAnsi="Times New Roman"/>
          <w:sz w:val="20"/>
          <w:u w:val="single"/>
        </w:rPr>
        <w:t>Schedule 5.14</w:t>
      </w:r>
      <w:r>
        <w:rPr>
          <w:rFonts w:ascii="Times New Roman" w:hAnsi="Times New Roman"/>
          <w:sz w:val="20"/>
        </w:rPr>
        <w:t xml:space="preserve">) or the Security Documents.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 with respect to any Lender, its Revolving Commitment, Other Revolving Commitment of any Class, Term Commitment, Initial Term Commitment, Other Term Commitment of any Class or any combination thereof (as the context requires) and (b) with respect to any Swingline Lender, its Swingline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left"/>
        <w:rPr/>
      </w:pPr>
      <w:r>
        <w:rPr/>
        <w:t>“</w:t>
      </w:r>
      <w:r>
        <w:rPr>
          <w:rFonts w:ascii="Times New Roman" w:hAnsi="Times New Roman"/>
          <w:sz w:val="20"/>
          <w:u w:val="single"/>
        </w:rPr>
        <w:t>Commitment Fee Percentage</w:t>
      </w:r>
      <w:r>
        <w:rPr>
          <w:rFonts w:ascii="Times New Roman" w:hAnsi="Times New Roman"/>
          <w:sz w:val="20"/>
        </w:rPr>
        <w:t xml:space="preserve">” means, for any day, the applicable percentage set forth below under the caption “Commitment Fee Percentage” based upon the Senior Secured First Lien Net Leverage Ratio as of the end of the fiscal quarter of Bidco for which consolidated financial statements have theretofore been most recently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until the date of the delivery of the consolidated financial statements pursuant to </w:t>
      </w:r>
      <w:r>
        <w:rPr>
          <w:rFonts w:ascii="Times New Roman" w:hAnsi="Times New Roman"/>
          <w:sz w:val="20"/>
          <w:u w:val="single"/>
        </w:rPr>
        <w:t>Section 5.01</w:t>
      </w:r>
      <w:r>
        <w:rPr>
          <w:rFonts w:ascii="Times New Roman" w:hAnsi="Times New Roman"/>
          <w:sz w:val="20"/>
        </w:rPr>
        <w:t xml:space="preserve"> as of and for the fiscal year ended December 31, 2019, the Commitment Fee Percentage shall be based on the rates per annum set forth in Category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92"/>
        <w:gridCol w:w="511"/>
        <w:gridCol w:w="160"/>
        <w:gridCol w:w="1498"/>
        <w:gridCol w:w="278"/>
      </w:tblGrid>
      <w:tr>
        <w:trPr/>
        <w:tc>
          <w:tcPr>
            <w:tcW w:w="4492"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492"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Senior Secured First Lien Net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Leverage Ratio                       </w:t>
            </w:r>
          </w:p>
        </w:tc>
        <w:tc>
          <w:tcPr>
            <w:tcW w:w="511"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pPr>
            <w:r>
              <w:rPr/>
              <w:t>Commitment Fee</w:t>
              <w:br/>
              <w:t>Percentage</w:t>
            </w:r>
          </w:p>
        </w:tc>
        <w:tc>
          <w:tcPr>
            <w:tcW w:w="278" w:type="dxa"/>
            <w:tcBorders/>
            <w:vAlign w:val="bottom"/>
          </w:tcPr>
          <w:p>
            <w:pPr>
              <w:pStyle w:val="TableContents"/>
              <w:bidi w:val="0"/>
              <w:spacing w:before="0" w:after="283"/>
              <w:jc w:val="left"/>
              <w:rPr/>
            </w:pPr>
            <w:r>
              <w:rPr/>
              <w:t> </w:t>
            </w:r>
          </w:p>
        </w:tc>
      </w:tr>
      <w:tr>
        <w:trPr/>
        <w:tc>
          <w:tcPr>
            <w:tcW w:w="449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4.85 to 1.00</w:t>
            </w:r>
          </w:p>
        </w:tc>
        <w:tc>
          <w:tcPr>
            <w:tcW w:w="511"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0.375</w:t>
            </w:r>
          </w:p>
        </w:tc>
        <w:tc>
          <w:tcPr>
            <w:tcW w:w="278" w:type="dxa"/>
            <w:tcBorders/>
            <w:shd w:fill="CCEEFF" w:val="clear"/>
            <w:vAlign w:val="bottom"/>
          </w:tcPr>
          <w:p>
            <w:pPr>
              <w:pStyle w:val="TableContents"/>
              <w:bidi w:val="0"/>
              <w:spacing w:before="0" w:after="283"/>
              <w:jc w:val="left"/>
              <w:rPr/>
            </w:pPr>
            <w:r>
              <w:rPr/>
              <w:t>% </w:t>
            </w:r>
          </w:p>
        </w:tc>
      </w:tr>
      <w:tr>
        <w:trPr/>
        <w:tc>
          <w:tcPr>
            <w:tcW w:w="449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Less than or equal to 4.85 to 1.00</w:t>
            </w:r>
          </w:p>
        </w:tc>
        <w:tc>
          <w:tcPr>
            <w:tcW w:w="511"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0.250</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each change in the Commitment Fee Percentage resulting from a change in the Senior Secured First Lien Net Leverage Ratio shall be effective during the period commencing on and including the Business Day following the date of delivery to the Administrative Agent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of the consolidated financial statements and related Compliance Certificate indicating such change and ending on the date immediately preceding the effective date of the next such change. Notwithstanding the foregoing, the Commitment Fee Percentage, at the option of the Administrative Agent or the Required Revolving Lenders, commencing upon written notice to Bidco, shall be based on the rates per annum set forth in Category 1 (i) at any time that an Event of Default under </w:t>
      </w:r>
      <w:r>
        <w:rPr>
          <w:rFonts w:ascii="Times New Roman" w:hAnsi="Times New Roman"/>
          <w:sz w:val="20"/>
          <w:u w:val="single"/>
        </w:rPr>
        <w:t>Section 7.01(a)</w:t>
      </w:r>
      <w:r>
        <w:rPr>
          <w:rFonts w:ascii="Times New Roman" w:hAnsi="Times New Roman"/>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 w:hAnsi="Times New Roman"/>
          <w:sz w:val="20"/>
          <w:u w:val="single"/>
        </w:rPr>
        <w:t>Section 5.01(a)</w:t>
      </w:r>
      <w:r>
        <w:rPr>
          <w:rFonts w:ascii="Times New Roman" w:hAnsi="Times New Roman"/>
          <w:sz w:val="20"/>
        </w:rPr>
        <w:t xml:space="preserve"> or</w:t>
      </w:r>
      <w:r>
        <w:rPr>
          <w:rFonts w:ascii="Times New Roman" w:hAnsi="Times New Roman"/>
          <w:sz w:val="20"/>
          <w:u w:val="single"/>
        </w:rPr>
        <w:t xml:space="preserve"> 5.01(b)</w:t>
      </w:r>
      <w:r>
        <w:rPr>
          <w:rFonts w:ascii="Times New Roman" w:hAnsi="Times New Roman"/>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pPr>
      <w:r>
        <w:rPr/>
        <w:t>“</w:t>
      </w:r>
      <w:r>
        <w:rPr>
          <w:rFonts w:ascii="Times New Roman" w:hAnsi="Times New Roman"/>
          <w:sz w:val="20"/>
          <w:u w:val="single"/>
        </w:rPr>
        <w:t>Commitment Letter</w:t>
      </w:r>
      <w:r>
        <w:rPr>
          <w:rFonts w:ascii="Times New Roman" w:hAnsi="Times New Roman"/>
          <w:sz w:val="20"/>
        </w:rPr>
        <w:t xml:space="preserve">” means the second amended and restated commitment letter dated as of September 4,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sz w:val="20"/>
          <w:u w:val="single"/>
        </w:rPr>
        <w:t>et seq</w:t>
      </w:r>
      <w:r>
        <w:rPr>
          <w:rFonts w:ascii="Times New Roman" w:hAnsi="Times New Roman"/>
          <w:sz w:val="20"/>
        </w:rPr>
        <w:t xml:space="preserve">.), as amended from time to time, and any successor statute.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Inmarsat Group Holdings Limited (f/k/a Inmarsat plc), a limited company incorporated under the laws of England and Wales with registered number 04886072.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the certificate required to be delivered pursuant to </w:t>
      </w:r>
      <w:r>
        <w:rPr>
          <w:rFonts w:ascii="Times New Roman" w:hAnsi="Times New Roman"/>
          <w:sz w:val="20"/>
          <w:u w:val="single"/>
        </w:rPr>
        <w:t>Section 5.01(d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left"/>
        <w:rPr/>
      </w:pPr>
      <w:r>
        <w:rPr/>
        <w:t>“</w:t>
      </w:r>
      <w:r>
        <w:rPr>
          <w:rFonts w:ascii="Times New Roman" w:hAnsi="Times New Roman"/>
          <w:sz w:val="20"/>
          <w:u w:val="single"/>
        </w:rPr>
        <w:t>Consolidated Cash Interest Expense</w:t>
      </w:r>
      <w:r>
        <w:rPr>
          <w:rFonts w:ascii="Times New Roman" w:hAnsi="Times New Roman"/>
          <w:sz w:val="20"/>
        </w:rPr>
        <w:t xml:space="preserve">” means, as of any date for the applicable period ending on such date with respect to Bidco and the Restricted Subsidiaries on a consolidated basis, the amount payable with respect to such period in respect of (a) total interest expense payable in cash with respect to all outstanding Indebtedness of Bidco and the Restricted Subsidiaries including the interest component under Capitalized Leases, but excluding, to the extent included in interest expense, (i) fees and expenses (including any penalties and interest relating to Taxes) associated with the consummation of the Transactions, (ii) annual agency fees paid to the administrative agents and collateral agents under any credit facilities or other debt instruments or documents, (iii) costs associated with obtaining Swap Agreements and any interest expense attributable to the movement of the mark-to-market valuation of obligations under Swap Agreements or other derivative instruments, and any one-time cash costs associated with breakage in respect of Swap Agreements for interest rates, (iv) fees and expenses (including any penalties and interest relating to Taxes) associated with any Investment not prohibited by </w:t>
      </w:r>
      <w:r>
        <w:rPr>
          <w:rFonts w:ascii="Times New Roman" w:hAnsi="Times New Roman"/>
          <w:sz w:val="20"/>
          <w:u w:val="single"/>
        </w:rPr>
        <w:t>Section 6.04</w:t>
      </w:r>
      <w:r>
        <w:rPr>
          <w:rFonts w:ascii="Times New Roman" w:hAnsi="Times New Roman"/>
          <w:sz w:val="20"/>
        </w:rPr>
        <w:t xml:space="preserve">, the issuance of Equity Interests or Indebtedness, (v) any interest component relating to accretion or accrual of discounted liabilities, (vi) all non-recurring cash interest expense consisting of liquidated damages for failure to timely comply with registration rights obligations, (vii) amortization of deferred financing fees, debt issuance costs, commissions, fees and expenses or expensing of any financing fees or prepayment or redemption premiums or penalty and any other amounts of non-cash interest (including as a result of the effects of acquisition method accounting or pushdown accounting), and (viii)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IFRS minus (b) cash interest income of Bidco and the Restricted Subsidiaries earned during such period, in each case as determined in accordance with IFRS. </w:t>
      </w:r>
    </w:p>
    <w:p>
      <w:pPr>
        <w:pStyle w:val="TextBody"/>
        <w:bidi w:val="0"/>
        <w:spacing w:before="240" w:after="0"/>
        <w:jc w:val="left"/>
        <w:rPr/>
      </w:pPr>
      <w:r>
        <w:rPr/>
        <w:t>“</w:t>
      </w:r>
      <w:r>
        <w:rPr>
          <w:rFonts w:ascii="Times New Roman" w:hAnsi="Times New Roman"/>
          <w:sz w:val="20"/>
          <w:u w:val="single"/>
        </w:rPr>
        <w:t>Consolidated Depreciation and Amortization Expense</w:t>
      </w:r>
      <w:r>
        <w:rPr>
          <w:rFonts w:ascii="Times New Roman" w:hAnsi="Times New Roman"/>
          <w:sz w:val="20"/>
        </w:rPr>
        <w:t xml:space="preserve">” means with respect to any Person for any period, the total amount of depreciation and amortization expense for such period, including the amortization of deferred financing fees, debt issuance costs, commissions, fees and expenses and Capitalized Software Expenditures of such Person and its Restricted Subsidiaries for such period (including such expense attributable to held-for-sale discontinued operations) determined on a consolidated basis and otherwise determined in accordance with IFRS.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the following, in each case, to the extent deducted (and not added back) in arriving at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Taxes paid (including pursuant to any Tax sharing arrangements) and provisions for Taxes of such Person and its Restricted Subsidiaries, including, in each case federal, state, provincial, local, foreign, unitary, franchise, excise, property, withholding, use and similar Taxes, including any penalties and interest, plus, without duplication, Tax Distributions paid or accrued during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Fixed Charges of such Person for such period (including (1) premium payments, debt discount, fees, charges and related expenses incurred in connection with borrowed money (including capitalized interest) or in connection with the deferred purchase price of assets, (2) the portion of rent expense with respect to such period under Capitalized Lease Obligations that is treated as interest expense in accordance with IFRS, (3) the implied interest component of synthetic leases with respect to such period, (4) net losses on Hedging Obligations or other derivative instruments entered into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left"/>
        <w:rPr>
          <w:rFonts w:ascii="Times New Roman" w:hAnsi="Times New Roman"/>
          <w:sz w:val="20"/>
        </w:rPr>
      </w:pPr>
      <w:r>
        <w:rPr>
          <w:rFonts w:ascii="Times New Roman" w:hAnsi="Times New Roman"/>
          <w:sz w:val="20"/>
        </w:rPr>
        <w:t xml:space="preserve">purpose of hedging interest rate risk, net of interest income and gains with respect to such obligations plus bank fees, (5) bank and letter of credit fees and costs of surety bonds in connection with financing activities, and (6) any commissions, discounts, yield and other fees and charges (including any interest expense) related to any Receivables Facility, in each case, to the extent included in Fixed Charges), together with items excluded from the definition of “Consolidated Interest Expense” pursuant to clauses 1(o) through 1(z) thereof;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Consolidated Depreciation and Amortization Expense of such Person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expenses or charges (other than depreciation or amortization expense) related to any Equity Offering, Permitted Investment, Restricted Payment, acquisition, disposition, recapitalization or the incurrence of Indebtedness (and any amendment or modification to any such transaction) (including a refinancing thereof) (whether or not successful), including (i) such fees, expenses or charges related to the incurrence of the Loans hereunder and all Transaction Costs, (ii) such fees, expenses, or charges related to the Loan Documents and any other credit facilities, or debt issuances and (iii) any amendment or other modification of the Loans hereunder, or other indebtedness;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Effective Date, project startup costs and costs related to the closure and/or consolidation of facilities, in each case, whether or not classified as restructuring expense on the consolidated financial statements;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other non-cash charges, including, without limitation, any write offs or write downs, reducing Consolidated Net Income for such period; </w:t>
      </w:r>
      <w:r>
        <w:rPr>
          <w:rFonts w:ascii="Times New Roman" w:hAnsi="Times New Roman"/>
          <w:sz w:val="20"/>
          <w:u w:val="single"/>
        </w:rPr>
        <w:t>provided</w:t>
      </w:r>
      <w:r>
        <w:rPr>
          <w:rFonts w:ascii="Times New Roman" w:hAnsi="Times New Roman"/>
          <w:sz w:val="20"/>
        </w:rPr>
        <w:t xml:space="preserv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amount of any non-controlling interest expense consisting of income attributable to non-controlling interests of third parties in any Non-Wholly Owned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the amount of board of directors fees and management, monitoring, consulting, advisory fees and other fees (including termination and transaction fees), indemnities and related expenses paid or accrued in such period under the Sponsor Management Agreement or otherwise to (or on behalf of) the Investors (including any termination fees payable in connection with the early termination of management and monitoring agreements) to the extent otherwise permitted under </w:t>
      </w:r>
      <w:r>
        <w:rPr>
          <w:rFonts w:ascii="Times New Roman" w:hAnsi="Times New Roman"/>
          <w:sz w:val="20"/>
          <w:u w:val="single"/>
        </w:rPr>
        <w:t>Section 5.17</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(x) start-up fees, losses, costs, charges, expenses or payments incurred in the first twelve (12) months following the commitment to open a new facility with respect to the prospecting, opening, and organizing of any new facility (including, but not limited to, the cost of feasibility studies, staff-training and recruiting costs, advertising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TextBody"/>
        <w:bidi w:val="0"/>
        <w:spacing w:before="0" w:after="0"/>
        <w:jc w:val="left"/>
        <w:rPr>
          <w:rFonts w:ascii="Times New Roman" w:hAnsi="Times New Roman"/>
          <w:sz w:val="20"/>
        </w:rPr>
      </w:pPr>
      <w:r>
        <w:rPr>
          <w:rFonts w:ascii="Times New Roman" w:hAnsi="Times New Roman"/>
          <w:sz w:val="20"/>
        </w:rPr>
        <w:t xml:space="preserve">and marketing costs, rental or mortgage costs, compensation costs, insurance costs, travel costs and other employee related costs and expenses for employees engaged in such startup activities), (y) operating losses of new facilities (including, but not limited to, allocation of corporate overhead expenses) incurred in the first twelve (12) months following the opening of such new facility and (z) expenses relating to any remodeling costs attributable to any existing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losses on dispositions of accounts receivable, Receivables Assets and related assets incurred in connection with a Receivables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any costs or expense incurred by Bidco or a Restricted Subsidiary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Bidco or net cash proceeds of an issuance of Equity Interest of Bidco (other than Disqualified Equity Interests) solely to the extent that such net cash proceeds are excluded from the calculation set forth in </w:t>
      </w:r>
      <w:r>
        <w:rPr>
          <w:rFonts w:ascii="Times New Roman" w:hAnsi="Times New Roman"/>
          <w:sz w:val="20"/>
          <w:u w:val="single"/>
        </w:rPr>
        <w:t>Section 6.05(a)(A)(2</w:t>
      </w:r>
      <w:r>
        <w:rPr>
          <w:rFonts w:ascii="Times New Roman" w:hAnsi="Times New Roman"/>
          <w:sz w:val="20"/>
        </w:rPr>
        <w:t xml:space="preserve">) hereof;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IAS 19, 26 and 37, and any other items of a similar nature;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operating expenses incurred on or prior to the Effective Date attributable to (A) salary obligations paid to employees terminated prior to the Effective Date and (B) wages paid to executives in excess of the amounts the Company and its Subsidiaries are required to pay pursuant to any employment agreements;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any net loss from discontinued operations;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cash receipts (or any netting arrangements resulting in reduced cash expenditures) not representing Consolidated EBITDA or Consolidated Net Income in any period to the extent non cash gains relating to such income were deducted in the calculation of Consolidated EBITDA pursuant to clause (3) below for any previous period and not added back;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any loss relating to amounts paid in cash prior to the stated settlement date of any hedging obligation that has been reflected in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any gain relating to hedging obligations associated with transactions realized in the current period that has been reflected in Consolidated Net Income in prior periods and excluded from Consolidated EBITDA pursuant to clauses (3)(c) and (3)(d) below;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the amount of expenses relating to payments made to option holders of any direct or indirect parent company of Bidco or any of its direct or indirect parent companies in connection with, or as a result of, any distribution being made to shareholders of such Person or its direct or indirect parent companies, which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TextBody"/>
        <w:bidi w:val="0"/>
        <w:spacing w:before="0" w:after="0"/>
        <w:jc w:val="left"/>
        <w:rPr>
          <w:rFonts w:ascii="Times New Roman" w:hAnsi="Times New Roman"/>
          <w:sz w:val="20"/>
        </w:rPr>
      </w:pPr>
      <w:r>
        <w:rPr>
          <w:rFonts w:ascii="Times New Roman" w:hAnsi="Times New Roman"/>
          <w:sz w:val="20"/>
        </w:rPr>
        <w:t xml:space="preserve">are being made to compensate such option holders as though they were shareholders at the time of, and entitled to share in, such distribution, in each case to the extent permitted under this Agreement;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earn-out and contingent consideration obligations (including to the extent accounted for as bonuses or otherwise) and adjustments thereof and purchase price adjustments, in each case in connection with acquisitions or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 Public Company Costs;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“run rate” cost savings, operating expense reductions, other operating improvements, revenue enhancements and synergies related to any Specified Transaction, the Transactions, any restructuring, cost saving initiative or other initiative projected by Bidco in good faith to be realized as a result of actions taken, committed to be taken or planned to be taken, in each case on or prior to the date that is 24 months after the end of the relevant period (including actions initiated prior to the Effective Date) (which cost savings, operating expense reductions, other operating improvements, revenue enhancements and synergies shall be added to Consolidated EBITDA until fully realized and calculated on a Pro Forma Basis as though such cost savings, operating expense reductions, other operating improvements, revenue enhancements and synergies had been realized on the first day of the relevant period), net of the amount of actual benefits realized from such actions; </w:t>
      </w:r>
      <w:r>
        <w:rPr>
          <w:rFonts w:ascii="Times New Roman" w:hAnsi="Times New Roman"/>
          <w:sz w:val="20"/>
          <w:u w:val="single"/>
        </w:rPr>
        <w:t>provided</w:t>
      </w:r>
      <w:r>
        <w:rPr>
          <w:rFonts w:ascii="Times New Roman" w:hAnsi="Times New Roman"/>
          <w:sz w:val="20"/>
        </w:rPr>
        <w:t xml:space="preserve"> that (A) such cost savings, operating expense reductions, other operating improvements, revenue enhancements and synergies are reasonably identifiable and quantifiable and (B) no cost savings, operating expense reductions, other operating improvements, revenue enhancements or synergies shall be added pursuant to this clause (a) to the extent duplicative of any expenses or charges relating to such cost savings, operating expense reductions, other operating improvements, revenue enhancements or synergies that are included in any other clause of this definition or in the definition of “Pro Forma Adjustment” (it being understood and agreed that “run rate” shall mean the full recurring benefit that is associated with any action taken);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aggregate amount of “run rate” cost savings, operating expense reductions, other operating improvements, revenue enhancements and synergies related to any Specified Transaction, any restructuring, cost saving initiative or other initiative added pursuant to this clause (a) shall not exceed 25% of Consolidated EBITDA (calculated after giving effect to any addback under this clause (a) for any Test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other add-backs and adjustments of the type reflected in the Model and the Information Memorandum;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adjustments consistent with Regulation S-X or contained in a quality of earnings report in connection with a Permitted Acquisition or Investment made available to the Administrative Agent conducted by financial advisors (which are either nationally recognized or reasonably acceptable to the Administrative Agent (it being understood and agreed that any of the “Big Four” accounting firms are acceptable));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reasonably identifiable and factually supportable “run-rate” Consolidated EBITDA (calculated on a pre-tax basis) that is projected by Bidco in good faith to be derived from New Contracts (calculated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TextBody"/>
        <w:bidi w:val="0"/>
        <w:spacing w:before="0" w:after="0"/>
        <w:jc w:val="left"/>
        <w:rPr>
          <w:rFonts w:ascii="Times New Roman" w:hAnsi="Times New Roman"/>
          <w:sz w:val="20"/>
        </w:rPr>
      </w:pPr>
      <w:r>
        <w:rPr>
          <w:rFonts w:ascii="Times New Roman" w:hAnsi="Times New Roman"/>
          <w:sz w:val="20"/>
        </w:rPr>
        <w:t xml:space="preserve">as though such Consolidated EBITDA had been realized on the first day of such period) within 36 months of the entry into such New Contract net of the amount of actual earnings realized prior to or during such period from such New Contracts and without giving any benefit for any period after the termination of such New Contract;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amount of reasonably identifiable and factually supportable “run-rate” Consolidated EBITDA (calculated on a pre-tax basis) that is projected by Bidco in good faith to be derived from any anticipated revenue enhancements from the launch of new satellites (calculated on a Pro Forma Basis as though such revenue enhancements had been realized on the first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(3) decreased (without duplication) by the following, in each case, to the extent included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non-cash gains increasing Consolidated Net Income of such Person for such period, excluding any non-cash gains to the extent they represent the reversal of an accrual or reserve for a potential cash item that reduced Consolidated EBITDA in any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any non-controlling interest consisting of loss attributable to non-controlling interests of third parties in any Non-Wholly Owned Subsidiaries;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any gain relating to amounts received in cash prior to the stated settlement date of any hedging obligation that has been reflected in Consolidated Net Income in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(d) any loss relating to hedging obligations associated with transactions realized in the current period that has been reflected in Consolidated Net Income in prior periods and excluded from Consolidated EBITDA pursuant to clauses (1)(p) and (1)(q) above; </w:t>
      </w:r>
    </w:p>
    <w:p>
      <w:pPr>
        <w:pStyle w:val="TextBody"/>
        <w:bidi w:val="0"/>
        <w:spacing w:before="120" w:after="0"/>
        <w:jc w:val="left"/>
        <w:rPr>
          <w:rFonts w:ascii="Times New Roman" w:hAnsi="Times New Roman"/>
          <w:sz w:val="20"/>
        </w:rPr>
      </w:pPr>
      <w:r>
        <w:rPr>
          <w:rFonts w:ascii="Times New Roman" w:hAnsi="Times New Roman"/>
          <w:sz w:val="20"/>
        </w:rPr>
        <w:t xml:space="preserve">(4) 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(3) above if it were income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(5) 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 above if it were a loss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(6) increased by an amount, with respect to investments recorded using the equity method of accounting or the cost method of accounting and without duplication of any amounts added pursuant to clause (4) above, equal to the amount attributable to each such investment that would be added to Consolidated EBITDA pursuant to clause (1) above if instead attributable to Bidco or a Subsidiary, pro-rated according to Bidco’s or the applicable Subsidiary’s percentage ownership in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left"/>
        <w:rPr>
          <w:rFonts w:ascii="Times New Roman" w:hAnsi="Times New Roman"/>
          <w:sz w:val="20"/>
        </w:rPr>
      </w:pPr>
      <w:r>
        <w:rPr>
          <w:rFonts w:ascii="Times New Roman" w:hAnsi="Times New Roman"/>
          <w:sz w:val="20"/>
        </w:rPr>
        <w:t xml:space="preserve">(7) decreased by an amount, with respect to investments recorded using the equity method of accounting or the cost method of accounting and without duplication of any amounts deducted pursuant to clause (5) above, equal to the amount attributable to each such investment that would be deducted from Consolidated EBITDA pursuant to clause (3) above if instead attributable to Bidco or a Subsidiary, pro-rated according to Bidco’s or the applicable Subsidiary’s percentage ownership in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as determined on a consolidated basis for such Person in accordance with IFRS;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included in Consolidated Net Income, there shall be excluded in determining Consolidated EBITDA for any period any adjustments resulting from the application of IFRS 9, </w:t>
      </w:r>
    </w:p>
    <w:p>
      <w:pPr>
        <w:pStyle w:val="TextBody"/>
        <w:bidi w:val="0"/>
        <w:spacing w:before="120" w:after="0"/>
        <w:jc w:val="left"/>
        <w:rPr>
          <w:rFonts w:ascii="Times New Roman" w:hAnsi="Times New Roman"/>
          <w:sz w:val="20"/>
        </w:rPr>
      </w:pPr>
      <w:r>
        <w:rPr>
          <w:rFonts w:ascii="Times New Roman" w:hAnsi="Times New Roman"/>
          <w:sz w:val="20"/>
        </w:rPr>
        <w:t>(III) 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Bidco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hAnsi="Times New Roman"/>
          <w:sz w:val="20"/>
          <w:u w:val="single"/>
        </w:rPr>
        <w:t>Acquired Entity or Business</w:t>
      </w:r>
      <w:r>
        <w:rPr>
          <w:rFonts w:ascii="Times New Roman" w:hAnsi="Times New Roman"/>
          <w:sz w:val="20"/>
        </w:rPr>
        <w:t>”), and the Acquired EBITDA of any Unrestricted Subsidiary that is converted into a Restricted Subsidiary during such period (each, a “</w:t>
      </w:r>
      <w:r>
        <w:rPr>
          <w:rFonts w:ascii="Times New Roman" w:hAnsi="Times New Roman"/>
          <w:sz w:val="20"/>
          <w:u w:val="single"/>
        </w:rPr>
        <w:t>Converted Restricted Subsidiary</w:t>
      </w:r>
      <w:r>
        <w:rPr>
          <w:rFonts w:ascii="Times New Roman" w:hAnsi="Times New Roman"/>
          <w:sz w:val="20"/>
        </w:rPr>
        <w:t xml:space="preserve">”),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Administrative Agent (for further delivery to the Lenders); </w:t>
      </w:r>
      <w:r>
        <w:rPr>
          <w:rFonts w:ascii="Times New Roman" w:hAnsi="Times New Roman"/>
          <w:sz w:val="20"/>
          <w:u w:val="single"/>
        </w:rPr>
        <w:t>provided</w:t>
      </w:r>
      <w:r>
        <w:rPr>
          <w:rFonts w:ascii="Times New Roman" w:hAnsi="Times New Roman"/>
          <w:sz w:val="20"/>
        </w:rPr>
        <w:t xml:space="preserve"> that with respect to any determination to be made on a Pro Forma Basis, at the election of Bidco, such Acquired EBITDA or such adjustment shall not be required to be included for any Pro Forma Entity to the extent the aggregate consideration paid in connection with the acquisition of such Acquired Entity or Business or the fair market value of such Converted Restricted Subsidiary, in the aggregate, is less than $375,000,000; </w:t>
      </w:r>
    </w:p>
    <w:p>
      <w:pPr>
        <w:pStyle w:val="TextBody"/>
        <w:bidi w:val="0"/>
        <w:spacing w:before="120" w:after="0"/>
        <w:jc w:val="left"/>
        <w:rPr>
          <w:rFonts w:ascii="Times New Roman" w:hAnsi="Times New Roman"/>
          <w:sz w:val="20"/>
        </w:rPr>
      </w:pPr>
      <w:r>
        <w:rPr>
          <w:rFonts w:ascii="Times New Roman" w:hAnsi="Times New Roman"/>
          <w:sz w:val="20"/>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IFRS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w:t>
      </w:r>
      <w:r>
        <w:rPr>
          <w:rFonts w:ascii="Times New Roman" w:hAnsi="Times New Roman"/>
          <w:sz w:val="20"/>
          <w:u w:val="single"/>
        </w:rPr>
        <w:t>i.e.</w:t>
      </w:r>
      <w:r>
        <w:rPr>
          <w:rFonts w:ascii="Times New Roman" w:hAnsi="Times New Roman"/>
          <w:sz w:val="20"/>
        </w:rPr>
        <w:t xml:space="preserve">, if such Disposed EBITDA is negative, it shall be added back in determining Consolidated EBITDA for any period)) by Bidco or any Restricted Subsidiary during such period (each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left"/>
        <w:rPr>
          <w:rFonts w:ascii="Times New Roman" w:hAnsi="Times New Roman"/>
          <w:sz w:val="20"/>
        </w:rPr>
      </w:pPr>
      <w:r>
        <w:rPr>
          <w:rFonts w:ascii="Times New Roman" w:hAnsi="Times New Roman"/>
          <w:sz w:val="20"/>
        </w:rPr>
        <w:t>property, business or asset so sold, transferred or otherwise disposed of, closed or classified, a “</w:t>
      </w:r>
      <w:r>
        <w:rPr>
          <w:rFonts w:ascii="Times New Roman" w:hAnsi="Times New Roman"/>
          <w:sz w:val="20"/>
          <w:u w:val="single"/>
        </w:rPr>
        <w:t>Sold Entity or Business</w:t>
      </w:r>
      <w:r>
        <w:rPr>
          <w:rFonts w:ascii="Times New Roman" w:hAnsi="Times New Roman"/>
          <w:sz w:val="20"/>
        </w:rPr>
        <w:t>”), and the Disposed EBITDA of any Restricted Subsidiary that is converted into an Unrestricted Subsidiary during such period (each, a “</w:t>
      </w:r>
      <w:r>
        <w:rPr>
          <w:rFonts w:ascii="Times New Roman" w:hAnsi="Times New Roman"/>
          <w:sz w:val="20"/>
          <w:u w:val="single"/>
        </w:rPr>
        <w:t>Converted Unrestricted Subsidiary</w:t>
      </w:r>
      <w:r>
        <w:rPr>
          <w:rFonts w:ascii="Times New Roman" w:hAnsi="Times New Roman"/>
          <w:sz w:val="20"/>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included in Consolidated Net Income, there shall be excluded in determining Consolidated EBITDA any expense (or income) as a result of adjustments recorded to contingent consideration liabilities relating to the Transactions or any Permitted Acquisition (or other Investment not prohibited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Consolidated EBITDA shall be deemed to equal (a) $189.95 million for the fiscal quarter ended September 30, 2018, (b) $174.05 million for the fiscal quarter ended December 31, 2018, (c) $188.85 million for the fiscal quarter ended March 31, 2019 and (d) $200.60 million for the fiscal quarter ended June 30, 2019 (it being understood that such amounts are subject to adjustments, as and to the extent otherwise contemplated in this Agreement, in connection with any Pro Forma Adjustment or any calculation on a Pro Forma Basis); </w:t>
      </w:r>
      <w:r>
        <w:rPr>
          <w:rFonts w:ascii="Times New Roman" w:hAnsi="Times New Roman"/>
          <w:sz w:val="20"/>
          <w:u w:val="single"/>
        </w:rPr>
        <w:t>provided</w:t>
      </w:r>
      <w:r>
        <w:rPr>
          <w:rFonts w:ascii="Times New Roman" w:hAnsi="Times New Roman"/>
          <w:sz w:val="20"/>
        </w:rPr>
        <w:t xml:space="preserve"> that such amounts of Consolidated EBITDA for any such fiscal quarter shall be adjusted to include, without duplication, any cost savings that would otherwise be included pursuant to clause (1)(i) of this definition.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with respect to any Person for any period,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IFRS), (iv) the interest component of Capitalized Lease Obligations, and (v) net payments, if any, pursuant to interest rate Hedging Obligations with respect to Indebtedness, and excluding (o) all non-recurring cash interest expense consisting of liquidated damages for failure to timely comply with registration rights obligations, (p) any interest expense attributable to the exercise of appraisal rights and the settlement of any claims or actions (whether actual, contingent or potential) with respect thereto and with respect to any Investment, (q) any prepayment premium or penalty, (r) costs associated with obtaining Hedging Obligations and breakage costs in respect of Hedging Obligations related to interest rates, (s) any accretion of accrued interest on discounted liabilities (other than Indebtedness except to the extent arising from the application of purchase accounting), (t) penalties and interest relating to Taxes, (u) accretion or accrual of discounted liabilities not constituting Indebtedness, (v) any expense resulting from the discounting of Indebtedness in connection with the application of recapitalization or purchase accounting, (w) any “additional interest” with respect to debt securities, (x) [reserved], (y) any amortization or expensing of bridge, commitment and other financing fees and (z) commissions, discounts, yield and other fees and charges (including any interest expense) related to any Receivables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left"/>
        <w:rPr>
          <w:rFonts w:ascii="Times New Roman" w:hAnsi="Times New Roman"/>
          <w:sz w:val="20"/>
        </w:rPr>
      </w:pPr>
      <w:r>
        <w:rPr>
          <w:rFonts w:ascii="Times New Roman" w:hAnsi="Times New Roman"/>
          <w:sz w:val="20"/>
        </w:rPr>
        <w:t xml:space="preserve">(2) consolidated capitalized interest of such Person and its Restricted Subsidiaries for such period, whether paid or accrued;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interest income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interest on a Capitalized Lease Obligation shall be deemed to accrue at an interest rate reasonably determined by such Person to be the rate of interest implicit in such Capitalized Lease Obligation in accordance with IFRS. </w:t>
      </w:r>
    </w:p>
    <w:p>
      <w:pPr>
        <w:pStyle w:val="TextBody"/>
        <w:bidi w:val="0"/>
        <w:spacing w:before="120" w:after="0"/>
        <w:jc w:val="left"/>
        <w:rPr/>
      </w:pPr>
      <w:r>
        <w:rPr/>
        <w:t>“</w:t>
      </w:r>
      <w:r>
        <w:rPr>
          <w:rFonts w:ascii="Times New Roman" w:hAnsi="Times New Roman"/>
          <w:sz w:val="20"/>
          <w:u w:val="single"/>
        </w:rPr>
        <w:t>Consolidated Net Income</w:t>
      </w:r>
      <w:r>
        <w:rPr>
          <w:rFonts w:ascii="Times New Roman" w:hAnsi="Times New Roman"/>
          <w:sz w:val="20"/>
        </w:rPr>
        <w:t xml:space="preserve">” means, with respect to any Person for any period, the aggregate of the Net Income, of such Person and its Restricted Subsidiaries for such period, on a consolidated basis, and otherwise determined in accordance with IFRS;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extraordinary, non-recurring or unusual gains or losses (less all fees and expenses relating thereto) or expenses (including the Transaction Costs or any multi-year strategic cost-saving initiatives, any unusual or non-recurring operating expenses directly attributable to the implementation of cost savings initiatives and any accruals or reserves in respect of any extraordinary, non-recurring or unusual items), severance, relocation costs, integration and facilities’ opening costs and other business optimization expenses (including related to new product introductions), recruiting fees, restructuring charges, accruals or reserves (including restructuring and integration costs related to acquisitions after the Effective Date and adjustments to existing reserves), whether or not classified as restructuring expense on the consolidated financial statements,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cumulative effect of a change in accounting principles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(3) any income (loss) from disposed, abandoned or discontinued operations and any gains or losses on disposal of disposed, abandoned or discontinued operations shall be excluded (but if such operations are classified as discontinued due to the fact that they are subject to an agreement to dispose of such operations, only when and to the extent such operations are actually disposed of); </w:t>
      </w:r>
    </w:p>
    <w:p>
      <w:pPr>
        <w:pStyle w:val="TextBody"/>
        <w:bidi w:val="0"/>
        <w:spacing w:before="120" w:after="0"/>
        <w:jc w:val="left"/>
        <w:rPr>
          <w:rFonts w:ascii="Times New Roman" w:hAnsi="Times New Roman"/>
          <w:sz w:val="20"/>
        </w:rPr>
      </w:pPr>
      <w:r>
        <w:rPr>
          <w:rFonts w:ascii="Times New Roman" w:hAnsi="Times New Roman"/>
          <w:sz w:val="20"/>
        </w:rPr>
        <w:t xml:space="preserve">(4) any gains or losses (less all fees and expenses relating thereto) attributable to asset dispositions, disposals or abandonments other than in the ordinary course of business, as determined in good faith by Bidco,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the Net Income for such period of any Person that is an Unrestricted Subsidiary, or any Person that is not a Subsidiary or that is accounted for by the equity method of accounting, shall be excluded; </w:t>
      </w:r>
      <w:r>
        <w:rPr>
          <w:rFonts w:ascii="Times New Roman" w:hAnsi="Times New Roman"/>
          <w:sz w:val="20"/>
          <w:u w:val="single"/>
        </w:rPr>
        <w:t>provided</w:t>
      </w:r>
      <w:r>
        <w:rPr>
          <w:rFonts w:ascii="Times New Roman" w:hAnsi="Times New Roman"/>
          <w:sz w:val="20"/>
        </w:rPr>
        <w:t xml:space="preserve"> 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left"/>
        <w:rPr>
          <w:rFonts w:ascii="Times New Roman" w:hAnsi="Times New Roman"/>
          <w:sz w:val="20"/>
        </w:rPr>
      </w:pPr>
      <w:r>
        <w:rPr>
          <w:rFonts w:ascii="Times New Roman" w:hAnsi="Times New Roman"/>
          <w:sz w:val="20"/>
        </w:rPr>
        <w:t xml:space="preserve">(6) solely for the purpose of determining the amount available for Restricted Payments under </w:t>
      </w:r>
      <w:r>
        <w:rPr>
          <w:rFonts w:ascii="Times New Roman" w:hAnsi="Times New Roman"/>
          <w:sz w:val="20"/>
          <w:u w:val="single"/>
        </w:rPr>
        <w:t>Section 6.05(a)(A)(1)</w:t>
      </w:r>
      <w:r>
        <w:rPr>
          <w:rFonts w:ascii="Times New Roman" w:hAnsi="Times New Roman"/>
          <w:sz w:val="20"/>
        </w:rPr>
        <w:t xml:space="preserve"> 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 restrictions that have been waived or otherwise released, (b) restrictions pursuant to the Loan Documents or this Agreement and (c) restrictions specified in clause (xviii) of </w:t>
      </w:r>
      <w:r>
        <w:rPr>
          <w:rFonts w:ascii="Times New Roman" w:hAnsi="Times New Roman"/>
          <w:sz w:val="20"/>
          <w:u w:val="single"/>
        </w:rPr>
        <w:t>Section 6.06(b)</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that Consolidated Net Income of Bidco shall be increased by the amount of dividends or other distributions or other payments actually paid in cash (or to the extent converted into cash) or Cash Equivalents to Bidco or a Restricted Subsidiary thereof in respect of such period, to the extent not already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(7) effects of adjustments (including the effects of such adjustments pushed down to Bidco and its Restricted Subsidiaries) in the inventory, property and equipment, software, goodwill, other intangible assets, in-process research and development, deferred revenue, debt line items and other non-cash charges in such Person’s consolidated financial statements pursuant to IFRS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(8) any income (loss) from the early extinguishment or conversion of (a) Indebtedness, (b) Hedging Obligations or (c)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(9)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IFRS, and the amortization of intangibles arising pursuant to IFRS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(10) (i) 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any cash charges associated with the rollover, acceleration or payout of Equity Interests by management of Bidco or any of its direct or indirect parent companies in connection with the Transactions and (iv) the amount of any expense required to be recorded as compensation expense related to contingent transaction consideration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(11) any fees, expenses (including any transaction or retention bonus or similar payment) or charges incurred during such period, or any amortization thereof for such period, in connection with any acquisition, non-recurring costs to acquire equipment to the extent not capitalized in accordance with IFRS, Investment (including Investments in the form of Recruitment Notes and associated fees and expenses paid to recruiters in connection therewith), recapitalization, asset disposition, non-competition agreement, issuance, incurrence or repayment of Indebtedness (including such fees, expenses or charges related to the offering of the Loans) issuance of Equity Interests, refinancing transaction or amendment or modification of or waiver or consent relating to any debt instrument (including the obligations under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TextBody"/>
        <w:bidi w:val="0"/>
        <w:spacing w:before="0" w:after="0"/>
        <w:jc w:val="left"/>
        <w:rPr>
          <w:rFonts w:ascii="Times New Roman" w:hAnsi="Times New Roman"/>
          <w:sz w:val="20"/>
        </w:rPr>
      </w:pPr>
      <w:r>
        <w:rPr>
          <w:rFonts w:ascii="Times New Roman" w:hAnsi="Times New Roman"/>
          <w:sz w:val="20"/>
        </w:rPr>
        <w:t xml:space="preserve">the other Loan Documents) and including, in each case, without limitation,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IFRS),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(12) accruals and reserves that are established or adjusted as a result of the Transactions or an Investment permitted under this Agreement in accordance with IFRS (including any adjustment of estimated payouts on earn-outs), or changes as a result of the adoption or modification of accounting policies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(13) any expenses, charges, lost profits or losses that are covered by indemnification, insurance or other reimbursement provisions in connection with the Transactions, any investment, acquisition or any sale, conveyance, transfer or other disposition of assets permitted under this Agreement, to the extent actually reimbursed, or, so long as Bidco has made a determination that a reasonable basis exists for indemnification, insurance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(14) to the extent covered by insurance and actually reimbursed, or, so long as Bidco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(15) any net pension costs or other post-employment benefit costs representing amortization of unrecognized prior service costs, actuarial losses, including amortization of such amounts arising in prior periods, amortization of the unrecognized net obligation (and loss or cost), and any other non-cash items of a similar nature,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(16) any Transaction Costs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(17) any income (loss) from Investments recorded using the equity method of accounting (but including any cash dividends or distributions actually received by Bidco or any Restricted Subsidiary in respect of such investment)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(18) the following items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(a) any non-cash gain or loss (after any offset) attributable to the mark to market movement in the valuation of Hedging Obligations or other derivative instruments pursuant to IFRS 9 or mark to market movement of other financial instruments pursuant to IFRS 9 shall be excluded; </w:t>
      </w:r>
      <w:r>
        <w:rPr>
          <w:rFonts w:ascii="Times New Roman" w:hAnsi="Times New Roman"/>
          <w:sz w:val="20"/>
          <w:u w:val="single"/>
        </w:rPr>
        <w:t>provided</w:t>
      </w:r>
      <w:r>
        <w:rPr>
          <w:rFonts w:ascii="Times New Roman" w:hAnsi="Times New Roman"/>
          <w:sz w:val="20"/>
        </w:rPr>
        <w:t xml:space="preserve"> that any cash payments or receipts relating to transactions realized in a given period shall be taken into account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(b) any non-cash gain or loss (after any offset) from currency translation and transaction gains or losses including those related to currency remeasurements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TextBody"/>
        <w:bidi w:val="0"/>
        <w:spacing w:before="0" w:after="0"/>
        <w:jc w:val="left"/>
        <w:rPr>
          <w:rFonts w:ascii="Times New Roman" w:hAnsi="Times New Roman"/>
          <w:sz w:val="20"/>
        </w:rPr>
      </w:pPr>
      <w:r>
        <w:rPr>
          <w:rFonts w:ascii="Times New Roman" w:hAnsi="Times New Roman"/>
          <w:sz w:val="20"/>
        </w:rPr>
        <w:t xml:space="preserve">Indebtedness (including any net gain or loss resulting from hedging agreements for currency exchange risk and revaluations of intercompany balances) any other monetary assets and liabilities; and </w:t>
      </w:r>
    </w:p>
    <w:p>
      <w:pPr>
        <w:pStyle w:val="TextBody"/>
        <w:bidi w:val="0"/>
        <w:spacing w:before="120" w:after="0"/>
        <w:jc w:val="left"/>
        <w:rPr>
          <w:rFonts w:ascii="Times New Roman" w:hAnsi="Times New Roman"/>
          <w:sz w:val="20"/>
        </w:rPr>
      </w:pPr>
      <w:r>
        <w:rPr>
          <w:rFonts w:ascii="Times New Roman" w:hAnsi="Times New Roman"/>
          <w:sz w:val="20"/>
        </w:rPr>
        <w:t>(19) any non-cash expenses, accruals or reserves related to adjustments to historical tax exposures (</w:t>
      </w:r>
      <w:r>
        <w:rPr>
          <w:rFonts w:ascii="Times New Roman" w:hAnsi="Times New Roman"/>
          <w:sz w:val="20"/>
          <w:u w:val="single"/>
        </w:rPr>
        <w:t>provided</w:t>
      </w:r>
      <w:r>
        <w:rPr>
          <w:rFonts w:ascii="Times New Roman" w:hAnsi="Times New Roman"/>
          <w:sz w:val="20"/>
        </w:rPr>
        <w:t xml:space="preserve">, in each case, that the cash payment in respect thereof in such future period shall be subtracted from Consolidated Net Income for the period in which such cash payment was made)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purpose of </w:t>
      </w:r>
      <w:r>
        <w:rPr>
          <w:rFonts w:ascii="Times New Roman" w:hAnsi="Times New Roman"/>
          <w:sz w:val="20"/>
          <w:u w:val="single"/>
        </w:rPr>
        <w:t>Section 6.05</w:t>
      </w:r>
      <w:r>
        <w:rPr>
          <w:rFonts w:ascii="Times New Roman" w:hAnsi="Times New Roman"/>
          <w:sz w:val="20"/>
        </w:rPr>
        <w:t xml:space="preserve"> hereof only (other than clause (A)(4) of </w:t>
      </w:r>
      <w:r>
        <w:rPr>
          <w:rFonts w:ascii="Times New Roman" w:hAnsi="Times New Roman"/>
          <w:sz w:val="20"/>
          <w:u w:val="single"/>
        </w:rPr>
        <w:t>Section 6.05(a)</w:t>
      </w:r>
      <w:r>
        <w:rPr>
          <w:rFonts w:ascii="Times New Roman" w:hAnsi="Times New Roman"/>
          <w:sz w:val="20"/>
        </w:rPr>
        <w:t>), there shall be excluded from Consolidated Net Income any income arising from any sale or other disposition of Restricted Investments made by Bidco and its Restricted Subsidiaries, any repurchases and redemptions of Restricted Investments from Bidco and its Restricted Subsidiaries, any repayments of loans and advances which constitute Restricted Investments by Bidco or any of its Restricted Subsidiaries, any sale or other disposition of the stock of an Unrestricted Subsidiary or any distribution or dividend from an Unrestricted Subsidiary, in each case only to the extent such amounts increase the amount of Restricted Payments permitted under</w:t>
      </w:r>
      <w:r>
        <w:rPr>
          <w:rFonts w:ascii="Times New Roman" w:hAnsi="Times New Roman"/>
          <w:sz w:val="20"/>
          <w:u w:val="single"/>
        </w:rPr>
        <w:t xml:space="preserve"> Section 6.05(a)(A)(4)</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Consolidated Senior Secured First Lien Indebtedness</w:t>
      </w:r>
      <w:r>
        <w:rPr>
          <w:rFonts w:ascii="Times New Roman" w:hAnsi="Times New Roman"/>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on an equal priority basis with Liens on the Collateral securing the Loan Document Obligations (including, for avoidance of doubt, the Loan Document Obligations), determined on a consolidated basis in accordance with IFRS. </w:t>
      </w:r>
    </w:p>
    <w:p>
      <w:pPr>
        <w:pStyle w:val="TextBody"/>
        <w:bidi w:val="0"/>
        <w:spacing w:before="240" w:after="0"/>
        <w:jc w:val="left"/>
        <w:rPr/>
      </w:pPr>
      <w:r>
        <w:rPr/>
        <w:t>“</w:t>
      </w:r>
      <w:r>
        <w:rPr>
          <w:rFonts w:ascii="Times New Roman" w:hAnsi="Times New Roman"/>
          <w:sz w:val="20"/>
          <w:u w:val="single"/>
        </w:rPr>
        <w:t>Consolidated Senior Secured Indebtedness</w:t>
      </w:r>
      <w:r>
        <w:rPr>
          <w:rFonts w:ascii="Times New Roman" w:hAnsi="Times New Roman"/>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determined on a consolidated basis in accordance with IFRS. </w:t>
      </w:r>
    </w:p>
    <w:p>
      <w:pPr>
        <w:pStyle w:val="TextBody"/>
        <w:bidi w:val="0"/>
        <w:spacing w:before="240" w:after="0"/>
        <w:jc w:val="left"/>
        <w:rPr/>
      </w:pPr>
      <w:r>
        <w:rPr/>
        <w:t>“</w:t>
      </w:r>
      <w:r>
        <w:rPr>
          <w:rFonts w:ascii="Times New Roman" w:hAnsi="Times New Roman"/>
          <w:sz w:val="20"/>
          <w:u w:val="single"/>
        </w:rPr>
        <w:t>Consolidated Total Indebtedness</w:t>
      </w:r>
      <w:r>
        <w:rPr>
          <w:rFonts w:ascii="Times New Roman" w:hAnsi="Times New Roman"/>
          <w:sz w:val="20"/>
        </w:rPr>
        <w:t xml:space="preserve">” means, as of any date of determination, the aggregate amount of Indebtedness of Bidco and the Restricted Subsidiaries outstanding on such date, determined on a consolidated basis in accordance with IFRS (but excluding the effects of any discounting of Indebtedness resulting from the application of the acquisition method accounting in connection with the Transactions or any Permitted Acquisition (or other Investment not prohibited hereunder)) and consisting only of Indebtedness for borrowed money, drawn obligations under letters of credit that have not been reimbursed after two (2) Business Days, Capitalized Lease Obligations and debt obligations evidenced by promissory notes or similar instruments, but excluding any obligations under or in respect of Receivables Facilities and excluding outstanding Revolving Loans used to finance seasonal working capital needs of Bidco and its Subsidiaries (as reasonably determined by Bidco in its reasonable discretion), </w:t>
      </w:r>
      <w:r>
        <w:rPr>
          <w:rFonts w:ascii="Times New Roman" w:hAnsi="Times New Roman"/>
          <w:sz w:val="20"/>
          <w:u w:val="single"/>
        </w:rPr>
        <w:t>minus</w:t>
      </w:r>
      <w:r>
        <w:rPr>
          <w:rFonts w:ascii="Times New Roman" w:hAnsi="Times New Roman"/>
          <w:sz w:val="20"/>
        </w:rPr>
        <w:t xml:space="preserve"> the aggregate amount of cash and Cash Equivalents (in each case, free and clear of all liens, other than Liens permitted pursuant to </w:t>
      </w:r>
      <w:r>
        <w:rPr>
          <w:rFonts w:ascii="Times New Roman" w:hAnsi="Times New Roman"/>
          <w:sz w:val="20"/>
          <w:u w:val="single"/>
        </w:rPr>
        <w:t>Section 6.02</w:t>
      </w:r>
      <w:r>
        <w:rPr>
          <w:rFonts w:ascii="Times New Roman" w:hAnsi="Times New Roman"/>
          <w:sz w:val="20"/>
        </w:rPr>
        <w:t xml:space="preserve">), excluding cash and Cash Equivalents that are listed as “restricted” on the consolidated balance sheet of Bidco and the Restricted Subsidiaries as of such date, but including cash and Cash Equivalents subject to a Permitted Lien (which may also secure other Indebtedness secured by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lien on the Collateral along with the Secured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TextBody"/>
        <w:bidi w:val="0"/>
        <w:spacing w:before="0" w:after="0"/>
        <w:jc w:val="left"/>
        <w:rPr/>
      </w:pPr>
      <w:r>
        <w:rPr/>
        <w:t>“</w:t>
      </w:r>
      <w:r>
        <w:rPr>
          <w:rFonts w:ascii="Times New Roman" w:hAnsi="Times New Roman"/>
          <w:sz w:val="20"/>
          <w:u w:val="single"/>
        </w:rPr>
        <w:t>Consolidated Working Capital</w:t>
      </w:r>
      <w:r>
        <w:rPr>
          <w:rFonts w:ascii="Times New Roman" w:hAnsi="Times New Roman"/>
          <w:sz w:val="20"/>
        </w:rPr>
        <w:t xml:space="preserve">” means, at any date, the excess of (a) the sum of all amounts (other than cash and Cash Equivalents) that would, in conformity with IFRS, be set forth opposite the caption “total current assets” (or any like caption) on a consolidated balance sheet of Bidco and the Restricted Subsidiaries at such date, excluding the current portion of deferred income taxes </w:t>
      </w:r>
      <w:r>
        <w:rPr>
          <w:rFonts w:ascii="Times New Roman" w:hAnsi="Times New Roman"/>
          <w:sz w:val="20"/>
          <w:u w:val="single"/>
        </w:rPr>
        <w:t>over</w:t>
      </w:r>
      <w:r>
        <w:rPr>
          <w:rFonts w:ascii="Times New Roman" w:hAnsi="Times New Roman"/>
          <w:sz w:val="20"/>
        </w:rPr>
        <w:t xml:space="preserve"> (b) the sum of all amounts that would, in conformity with IFRS, be set forth opposite the caption “total current liabilities” (or any like caption) on a consolidated balance sheet of Bidco and the Restricted Subsidiaries on such date, including deferred revenue but excluding, without duplication, (i) the current portion of any Funded Debt, (ii) all Indebtedness consisting of Loans, Senior Secured Notes and obligations under Letters of Credit to the extent otherwise included therein, (iii) the current portion of interest and (iv) the current portion of current and deferred income taxes; </w:t>
      </w:r>
      <w:r>
        <w:rPr>
          <w:rFonts w:ascii="Times New Roman" w:hAnsi="Times New Roman"/>
          <w:sz w:val="20"/>
          <w:u w:val="single"/>
        </w:rPr>
        <w:t>provided</w:t>
      </w:r>
      <w:r>
        <w:rPr>
          <w:rFonts w:ascii="Times New Roman" w:hAnsi="Times New Roman"/>
          <w:sz w:val="20"/>
        </w:rPr>
        <w:t xml:space="preserve"> that, for purposes of calculating Excess Cash Flow, increases or decreases in working capital (A) arising from acquisitions or dispositions by Bidco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IFRS of assets or liabilities, as applicable, between current and noncurrent or (z) the effects of acquisition method accounting. </w:t>
      </w:r>
    </w:p>
    <w:p>
      <w:pPr>
        <w:pStyle w:val="TextBody"/>
        <w:bidi w:val="0"/>
        <w:spacing w:before="240" w:after="0"/>
        <w:jc w:val="left"/>
        <w:rPr/>
      </w:pPr>
      <w:r>
        <w:rPr/>
        <w:t>“</w:t>
      </w:r>
      <w:r>
        <w:rPr>
          <w:rFonts w:ascii="Times New Roman" w:hAnsi="Times New Roman"/>
          <w:sz w:val="20"/>
          <w:u w:val="single"/>
        </w:rPr>
        <w:t>Contingent Obligations</w:t>
      </w:r>
      <w:r>
        <w:rPr>
          <w:rFonts w:ascii="Times New Roman" w:hAnsi="Times New Roman"/>
          <w:sz w:val="20"/>
        </w:rPr>
        <w:t xml:space="preserve">” means, with respect to any Person, any obligation of such Person guaranteeing any leases, dividends or other obligations that do not constitute Indebtedness (“primary obligations”) of any other Person (the “primary obligor”) in any manner, whether directly or indirectly, including, without limitation, any obligation of such Person, whether or not contingent, </w:t>
      </w:r>
    </w:p>
    <w:p>
      <w:pPr>
        <w:pStyle w:val="TextBody"/>
        <w:bidi w:val="0"/>
        <w:spacing w:before="24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24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24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240" w:after="0"/>
        <w:jc w:val="left"/>
        <w:rPr>
          <w:rFonts w:ascii="Times New Roman" w:hAnsi="Times New Roman"/>
          <w:sz w:val="20"/>
        </w:rPr>
      </w:pPr>
      <w:r>
        <w:rPr>
          <w:rFonts w:ascii="Times New Roman" w:hAnsi="Times New Roman"/>
          <w:sz w:val="20"/>
        </w:rPr>
        <w:t xml:space="preserve">(b) to maintain working capital or equity capital of the primary obligor or otherwise to maintain the net worth or solvency of the primary obligor, or </w:t>
      </w:r>
    </w:p>
    <w:p>
      <w:pPr>
        <w:pStyle w:val="TextBody"/>
        <w:bidi w:val="0"/>
        <w:spacing w:before="24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sz w:val="20"/>
          <w:u w:val="single"/>
        </w:rPr>
        <w:t>Contract Consideration</w:t>
      </w:r>
      <w:r>
        <w:rPr>
          <w:rFonts w:ascii="Times New Roman" w:hAnsi="Times New Roman"/>
          <w:sz w:val="20"/>
        </w:rPr>
        <w:t xml:space="preserve">” has the meaning assigned to such term in the definition of “Excess Cash Flow”. </w:t>
      </w:r>
    </w:p>
    <w:p>
      <w:pPr>
        <w:pStyle w:val="TextBody"/>
        <w:bidi w:val="0"/>
        <w:spacing w:before="240" w:after="0"/>
        <w:jc w:val="left"/>
        <w:rPr/>
      </w:pPr>
      <w:r>
        <w:rPr/>
        <w:t>“</w:t>
      </w:r>
      <w:r>
        <w:rPr>
          <w:rFonts w:ascii="Times New Roman" w:hAnsi="Times New Roman"/>
          <w:sz w:val="20"/>
          <w:u w:val="single"/>
        </w:rPr>
        <w:t>Contributed Holdings Investments</w:t>
      </w:r>
      <w:r>
        <w:rPr>
          <w:rFonts w:ascii="Times New Roman" w:hAnsi="Times New Roman"/>
          <w:sz w:val="20"/>
        </w:rPr>
        <w:t xml:space="preserve">” has the meaning assigned to such term in </w:t>
      </w:r>
      <w:r>
        <w:rPr>
          <w:rFonts w:ascii="Times New Roman" w:hAnsi="Times New Roman"/>
          <w:sz w:val="20"/>
          <w:u w:val="single"/>
        </w:rPr>
        <w:t>Section 6.05(b)(xv)(I)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hAnsi="Times New Roman"/>
          <w:sz w:val="20"/>
          <w:u w:val="single"/>
        </w:rPr>
        <w:t>Controlled</w:t>
      </w:r>
      <w:r>
        <w:rPr>
          <w:rFonts w:ascii="Times New Roman" w:hAnsi="Times New Roman"/>
          <w:sz w:val="20"/>
        </w:rPr>
        <w:t xml:space="preserve">” has the meaning correlative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left"/>
        <w:rPr/>
      </w:pPr>
      <w:r>
        <w:rPr/>
        <w:t>“</w:t>
      </w:r>
      <w:r>
        <w:rPr>
          <w:rFonts w:ascii="Times New Roman" w:hAnsi="Times New Roman"/>
          <w:sz w:val="20"/>
          <w:u w:val="single"/>
        </w:rPr>
        <w:t>Controlled Investment Affiliate</w:t>
      </w:r>
      <w:r>
        <w:rPr>
          <w:rFonts w:ascii="Times New Roman" w:hAnsi="Times New Roman"/>
          <w:sz w:val="20"/>
        </w:rPr>
        <w:t xml:space="preserve">”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Bidco and/or other companies. </w:t>
      </w:r>
    </w:p>
    <w:p>
      <w:pPr>
        <w:pStyle w:val="TextBody"/>
        <w:bidi w:val="0"/>
        <w:spacing w:before="240" w:after="0"/>
        <w:jc w:val="left"/>
        <w:rPr/>
      </w:pPr>
      <w:r>
        <w:rPr/>
        <w:t>“</w:t>
      </w:r>
      <w:r>
        <w:rPr>
          <w:rFonts w:ascii="Times New Roman" w:hAnsi="Times New Roman"/>
          <w:sz w:val="20"/>
          <w:u w:val="single"/>
        </w:rPr>
        <w:t>Converted Restricted Subsidiary</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Converted Unrestricted Subsidiary</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Convertible Bonds</w:t>
      </w:r>
      <w:r>
        <w:rPr>
          <w:rFonts w:ascii="Times New Roman" w:hAnsi="Times New Roman"/>
          <w:sz w:val="20"/>
        </w:rPr>
        <w:t xml:space="preserve">” means the $650,000,000 3.875% convertible bonds due 2023 issued by Inmarsat Group Holdings Limited (f/k/a Inmarsat plc). </w:t>
      </w:r>
    </w:p>
    <w:p>
      <w:pPr>
        <w:pStyle w:val="TextBody"/>
        <w:bidi w:val="0"/>
        <w:spacing w:before="240" w:after="0"/>
        <w:jc w:val="left"/>
        <w:rPr/>
      </w:pPr>
      <w:r>
        <w:rPr/>
        <w:t>“</w:t>
      </w:r>
      <w:r>
        <w:rPr>
          <w:rFonts w:ascii="Times New Roman" w:hAnsi="Times New Roman"/>
          <w:sz w:val="20"/>
          <w:u w:val="single"/>
        </w:rPr>
        <w:t>Court Order</w:t>
      </w:r>
      <w:r>
        <w:rPr>
          <w:rFonts w:ascii="Times New Roman" w:hAnsi="Times New Roman"/>
          <w:sz w:val="20"/>
        </w:rPr>
        <w:t xml:space="preserve">” means the order of the High Court of Justice of England and Wales sanctioning the Scheme. </w:t>
      </w:r>
    </w:p>
    <w:p>
      <w:pPr>
        <w:pStyle w:val="TextBody"/>
        <w:bidi w:val="0"/>
        <w:spacing w:before="240" w:after="0"/>
        <w:jc w:val="left"/>
        <w:rPr/>
      </w:pPr>
      <w:r>
        <w:rPr/>
        <w:t>“</w:t>
      </w:r>
      <w:r>
        <w:rPr>
          <w:rFonts w:ascii="Times New Roman" w:hAnsi="Times New Roman"/>
          <w:sz w:val="20"/>
          <w:u w:val="single"/>
        </w:rPr>
        <w:t>Co-operation Agreement</w:t>
      </w:r>
      <w:r>
        <w:rPr>
          <w:rFonts w:ascii="Times New Roman" w:hAnsi="Times New Roman"/>
          <w:sz w:val="20"/>
        </w:rPr>
        <w:t xml:space="preserve">” means the co-operation agreement, dated as of March 25, 2019, entered into between Bidco and the Company in respect of the Acquisition. </w:t>
      </w:r>
    </w:p>
    <w:p>
      <w:pPr>
        <w:pStyle w:val="TextBody"/>
        <w:bidi w:val="0"/>
        <w:spacing w:before="240" w:after="0"/>
        <w:jc w:val="left"/>
        <w:rPr/>
      </w:pPr>
      <w:r>
        <w:rPr/>
        <w:t>“</w:t>
      </w:r>
      <w:r>
        <w:rPr>
          <w:rFonts w:ascii="Times New Roman" w:hAnsi="Times New Roman"/>
          <w:sz w:val="20"/>
          <w:u w:val="single"/>
        </w:rPr>
        <w:t>Credit Agreement Refinancing Indebtedness</w:t>
      </w:r>
      <w:r>
        <w:rPr>
          <w:rFonts w:ascii="Times New Roman" w:hAnsi="Times New Roman"/>
          <w:sz w:val="20"/>
        </w:rPr>
        <w:t>” means Indebtedness issued, incurred or otherwise obtained (including by means of the extension or renewal of existing Indebtedness) in exchange for, or to extend, renew, replace or refinance, in whole or part, existing Term Loans, Revolving Loans (or unused Revolving Commitments) or Incremental Equivalent Debt (“</w:t>
      </w:r>
      <w:r>
        <w:rPr>
          <w:rFonts w:ascii="Times New Roman" w:hAnsi="Times New Roman"/>
          <w:sz w:val="20"/>
          <w:u w:val="single"/>
        </w:rPr>
        <w:t>Refinanced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except in the case of any Designated Earlier Maturing Debt,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and does not have a shorter Weighted Average Life to Maturity than the Refinanced Debt), (c) shall not be guaranteed by any entity that is not a Loan Party, (d) in the case of any secured Indebtedness (i) is not secured by any assets not securing the Secured Obligations and (ii) if not comprising Other Term Loans or Other Revolving Commitments hereunder that are secured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other Secured Obligations, is subject to a Customary Intercreditor Agreement(s) and (e) otherwise has terms and conditions that shall be reasonably satisfactory to Bidco and the lenders providing such Credit Agreement Refinancing Indebtedness. Notwithstanding anything to the contrary, no Credit Agreement Refinancing Indebtedness shall be subject to any “most favored nation” pricing adjustments set forth in this Agreement. </w:t>
      </w:r>
    </w:p>
    <w:p>
      <w:pPr>
        <w:pStyle w:val="TextBody"/>
        <w:bidi w:val="0"/>
        <w:spacing w:before="240" w:after="0"/>
        <w:jc w:val="left"/>
        <w:rPr/>
      </w:pPr>
      <w:r>
        <w:rPr/>
        <w:t>“</w:t>
      </w:r>
      <w:r>
        <w:rPr>
          <w:rFonts w:ascii="Times New Roman" w:hAnsi="Times New Roman"/>
          <w:sz w:val="20"/>
          <w:u w:val="single"/>
        </w:rPr>
        <w:t>Cure Amount</w:t>
      </w:r>
      <w:r>
        <w:rPr>
          <w:rFonts w:ascii="Times New Roman" w:hAnsi="Times New Roman"/>
          <w:sz w:val="20"/>
        </w:rPr>
        <w:t xml:space="preserve">” has the meaning assigned to such term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Cure Right</w:t>
      </w:r>
      <w:r>
        <w:rPr>
          <w:rFonts w:ascii="Times New Roman" w:hAnsi="Times New Roman"/>
          <w:sz w:val="20"/>
        </w:rPr>
        <w:t xml:space="preserve">” has the meaning assigned to such term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Customary Intercreditor Agreement</w:t>
      </w:r>
      <w:r>
        <w:rPr>
          <w:rFonts w:ascii="Times New Roman" w:hAnsi="Times New Roman"/>
          <w:sz w:val="20"/>
        </w:rPr>
        <w:t xml:space="preserve">” means (a) to the extent executed in connection with the incurrence of Indebtedness secured by Liens on the Collateral which are intended to rank equal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TextBody"/>
        <w:bidi w:val="0"/>
        <w:spacing w:before="0" w:after="0"/>
        <w:jc w:val="left"/>
        <w:rPr>
          <w:rFonts w:ascii="Times New Roman" w:hAnsi="Times New Roman"/>
          <w:sz w:val="20"/>
        </w:rPr>
      </w:pPr>
      <w:r>
        <w:rPr>
          <w:rFonts w:ascii="Times New Roman" w:hAnsi="Times New Roman"/>
          <w:sz w:val="20"/>
        </w:rPr>
        <w:t xml:space="preserve">in priority to the Liens on the Collateral securing the Secured Obligations, at the option of Bidco, either (i) an intercreditor agreement substantially in the form of the Pari Passu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Bidco, either (i) an intercreditor agreement substantially in the form of the Second Lien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junior to the Liens on the Collateral securing the Secured Obligations. With regard to any changes in light of prevailing market conditions as set forth above in clause (a)(i) or (b)(i) or with regard to clause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Administrative Agent’s entry into such intercreditor agreement (including with such changes) is reasonable and to have consented to such intercreditor agreement (including with such changes) and to the Administrative Agent’s execution thereof.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2.21(b)</w:t>
      </w:r>
      <w:r>
        <w:rPr>
          <w:rFonts w:ascii="Times New Roman" w:hAnsi="Times New Roman"/>
          <w:sz w:val="20"/>
        </w:rPr>
        <w:t>, any Lender that (a) has failed to perform any of its funding obligations hereunder, including in respect of its Loans or participations in respect of Letters of Credit or Swingline Loans, within two (2) Business Days of the date required to be funded by it hereunder, (b) has notified Bidco, the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(c) has failed, within three (3) Business Days after request by the Administrative Agent (whether acting on its own behalf or at the reasonable request of Bidco (it being understood that the Administrative Agent shall comply with any such reasonable request)) or any Issuing Bank, to confirm in a manner satisfactory to the Administrative Agent, such Issuing Bank and Bidco that it will comply with its funding obligations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Bidco), or (d) has, or has a direct or indirect parent company that, other than via an Undisclosed Administration, (i) has become or is insolvent, (ii) has become the subject of a proceeding under any Debtor Relief Law, (iii) had a receiver, conservator, trustee, administrator, assignee for the benefit of creditors or similar Person charged with reorganization or liquidation of its business or a custodian appointed for it, (iv) has taken any action in furtherance of, or indicated its consent to, approval of or acquiescence in any such proceeding or appointment or (v) has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left"/>
        <w:rPr>
          <w:rFonts w:ascii="Times New Roman" w:hAnsi="Times New Roman"/>
          <w:sz w:val="20"/>
        </w:rPr>
      </w:pPr>
      <w:r>
        <w:rPr>
          <w:rFonts w:ascii="Times New Roman" w:hAnsi="Times New Roman"/>
          <w:sz w:val="20"/>
        </w:rPr>
        <w:t xml:space="preserve">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 </w:t>
      </w:r>
    </w:p>
    <w:p>
      <w:pPr>
        <w:pStyle w:val="TextBody"/>
        <w:bidi w:val="0"/>
        <w:spacing w:before="240" w:after="0"/>
        <w:jc w:val="left"/>
        <w:rPr/>
      </w:pPr>
      <w:r>
        <w:rPr/>
        <w:t>“</w:t>
      </w:r>
      <w:r>
        <w:rPr>
          <w:rFonts w:ascii="Times New Roman" w:hAnsi="Times New Roman"/>
          <w:sz w:val="20"/>
          <w:u w:val="single"/>
        </w:rPr>
        <w:t>Defaulting Lender Fronting Exposure</w:t>
      </w:r>
      <w:r>
        <w:rPr>
          <w:rFonts w:ascii="Times New Roman" w:hAnsi="Times New Roman"/>
          <w:sz w:val="20"/>
        </w:rPr>
        <w:t xml:space="preserve">” means, at any time there is a Revolving Lender that is a Defaulting Lender, (a) with respect to any Issuing Bank, such Defaulting Lender’s Applicable Percentage of the LC Exposure with respect to the Letters of Credit issued by such Issuing Bank, other than LC Exposure as to which such Defaulting Lender’s participation obligation has been reallocated to other Lenders or cash collateralized in accordance with the terms of this Agreement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of this Agreement. </w:t>
      </w:r>
    </w:p>
    <w:p>
      <w:pPr>
        <w:pStyle w:val="TextBody"/>
        <w:bidi w:val="0"/>
        <w:spacing w:before="240" w:after="0"/>
        <w:jc w:val="left"/>
        <w:rPr/>
      </w:pPr>
      <w:r>
        <w:rPr/>
        <w:t>“</w:t>
      </w:r>
      <w:r>
        <w:rPr>
          <w:rFonts w:ascii="Times New Roman" w:hAnsi="Times New Roman"/>
          <w:sz w:val="20"/>
          <w:u w:val="single"/>
        </w:rPr>
        <w:t>Designated Earlier Maturing Debt</w:t>
      </w:r>
      <w:r>
        <w:rPr>
          <w:rFonts w:ascii="Times New Roman" w:hAnsi="Times New Roman"/>
          <w:sz w:val="20"/>
        </w:rPr>
        <w:t xml:space="preserve">” means (x) any (i) Incremental Term Loans, (ii) Incremental Equivalent Debt, (iii) Credit Agreement Refinancing Indebtedness (other than Other Revolving Commitments) and/or (iv) other Indebtedness, in each case, incurred to consummate a Permitted Acquisition or other Investment not prohibited by this Agreement and (y) any (i) Incremental Term Loans, (ii) Incremental Equivalent Debt, (iii) Credit Agreement Refinancing Indebtedness (other than Other Revolving Commitments) and/or (iv) other Indebtedness designated by Bidco to the Administrative Agent that has a maturity date earlier than the Term Maturity Date and/or a shorter Weighted Average Life to Maturity than the remaining Amendment No. 1 Refinancing Term Loans; </w:t>
      </w:r>
      <w:r>
        <w:rPr>
          <w:rFonts w:ascii="Times New Roman" w:hAnsi="Times New Roman"/>
          <w:sz w:val="20"/>
          <w:u w:val="single"/>
        </w:rPr>
        <w:t>provided</w:t>
      </w:r>
      <w:r>
        <w:rPr>
          <w:rFonts w:ascii="Times New Roman" w:hAnsi="Times New Roman"/>
          <w:sz w:val="20"/>
        </w:rPr>
        <w:t xml:space="preserve"> that at the time of any incurrence of such Indebtedness pursuant to this clause (y), the aggregate principal amount of all such Indebtedness shall not exceed the greater of (x) $750,000,000 and (y) Consolidated EBITDA for the most recently ended Test Period as of such date, calculated on a Pro Forma Basis.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Bidco or a Restricted Subsidiary in connection with an Asset Sale that is so designated as Designated Non-cash Consideration pursuant to an officer’s certificate, setting forth the basis of such valuation, executed by a Financial Officer of Bidco or a Restricted Subsidiary, less the amount of cash or Cash Equivalents received in connection with a subsequent sale, redemption or repurchase of or collection or payment on such Designated Non-cash Consideration. </w:t>
      </w:r>
    </w:p>
    <w:p>
      <w:pPr>
        <w:pStyle w:val="TextBody"/>
        <w:bidi w:val="0"/>
        <w:spacing w:before="240" w:after="0"/>
        <w:jc w:val="left"/>
        <w:rPr/>
      </w:pPr>
      <w:r>
        <w:rPr/>
        <w:t>“</w:t>
      </w:r>
      <w:r>
        <w:rPr>
          <w:rFonts w:ascii="Times New Roman" w:hAnsi="Times New Roman"/>
          <w:sz w:val="20"/>
          <w:u w:val="single"/>
        </w:rPr>
        <w:t>Designated Alternative Security Debt</w:t>
      </w:r>
      <w:r>
        <w:rPr>
          <w:rFonts w:ascii="Times New Roman" w:hAnsi="Times New Roman"/>
          <w:sz w:val="20"/>
        </w:rPr>
        <w:t xml:space="preserve">” means any (i) Incremental Term Loans, (ii) Incremental Equivalent Debt, (iii) Credit Agreement Refinancing Indebtedness and/or (iv) other Indebtedness designated by Bidco to the Administrative Agent that is guaranteed by any entity that is not a Loan Party or secured by any assets other than Collateral; </w:t>
      </w:r>
      <w:r>
        <w:rPr>
          <w:rFonts w:ascii="Times New Roman" w:hAnsi="Times New Roman"/>
          <w:sz w:val="20"/>
          <w:u w:val="single"/>
        </w:rPr>
        <w:t>provided</w:t>
      </w:r>
      <w:r>
        <w:rPr>
          <w:rFonts w:ascii="Times New Roman" w:hAnsi="Times New Roman"/>
          <w:sz w:val="20"/>
        </w:rPr>
        <w:t xml:space="preserve"> that at the time of any incurrence of such Indebtedness, the aggregate principal amount of all such Indebtedness shall not exceed the greater of (x) $375,000,000 and (y) 50% of Consolidated EBITDA for the most recently ended Test Period as of such date, calculated on a Pro Forma Basis. </w:t>
      </w:r>
    </w:p>
    <w:p>
      <w:pPr>
        <w:pStyle w:val="TextBody"/>
        <w:bidi w:val="0"/>
        <w:spacing w:before="240" w:after="0"/>
        <w:jc w:val="left"/>
        <w:rPr/>
      </w:pPr>
      <w:r>
        <w:rPr/>
        <w:t>“</w:t>
      </w:r>
      <w:r>
        <w:rPr>
          <w:rFonts w:ascii="Times New Roman" w:hAnsi="Times New Roman"/>
          <w:sz w:val="20"/>
          <w:u w:val="single"/>
        </w:rPr>
        <w:t>Designated Preferred Stock</w:t>
      </w:r>
      <w:r>
        <w:rPr>
          <w:rFonts w:ascii="Times New Roman" w:hAnsi="Times New Roman"/>
          <w:sz w:val="20"/>
        </w:rPr>
        <w:t xml:space="preserve">” means Preferred Stock of Bidco or any direct or indirect parent company thereof (in each case other than Disqualified Equity Interests) that is issued for cash (other than to a Restricted Subsidiary or an employee stock ownership plan or trust established by Bidco or any of its Subsidiaries) and is so designated as Designated Preferred Stock, pursuant to an officer’s certificate executed by a Financial Officer of Bidco, a Restricted Subsidiary or the applicable parent corporation thereof, as the case may be, on the issuance date thereof, the cash proceeds of which are excluded from the calculation set forth in clause (A) of </w:t>
      </w:r>
      <w:r>
        <w:rPr>
          <w:rFonts w:ascii="Times New Roman" w:hAnsi="Times New Roman"/>
          <w:sz w:val="20"/>
          <w:u w:val="single"/>
        </w:rPr>
        <w:t>Section 6.05(a)</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left"/>
        <w:rPr/>
      </w:pPr>
      <w:r>
        <w:rPr/>
        <w:t>“</w:t>
      </w:r>
      <w:r>
        <w:rPr>
          <w:rFonts w:ascii="Times New Roman" w:hAnsi="Times New Roman"/>
          <w:sz w:val="20"/>
          <w:u w:val="single"/>
        </w:rPr>
        <w:t>Discount Prepayment Accepting Lender</w:t>
      </w:r>
      <w:r>
        <w:rPr>
          <w:rFonts w:ascii="Times New Roman" w:hAnsi="Times New Roman"/>
          <w:sz w:val="20"/>
        </w:rPr>
        <w:t>” has the meaning assigned to such term in</w:t>
      </w:r>
      <w:r>
        <w:rPr>
          <w:rFonts w:ascii="Times New Roman" w:hAnsi="Times New Roman"/>
          <w:sz w:val="20"/>
          <w:u w:val="single"/>
        </w:rPr>
        <w:t xml:space="preserve"> Section 2.10(a)(ii)(B)(2)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Amount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Notice</w:t>
      </w:r>
      <w:r>
        <w:rPr>
          <w:rFonts w:ascii="Times New Roman" w:hAnsi="Times New Roman"/>
          <w:sz w:val="20"/>
        </w:rPr>
        <w:t xml:space="preserve">” means a written notice of a Borrower Solicitation of Discount Range Prepayment Offers made pursuant to </w:t>
      </w:r>
      <w:r>
        <w:rPr>
          <w:rFonts w:ascii="Times New Roman" w:hAnsi="Times New Roman"/>
          <w:sz w:val="20"/>
          <w:u w:val="single"/>
        </w:rPr>
        <w:t>Section 2.10(a)(ii)(C)</w:t>
      </w:r>
      <w:r>
        <w:rPr>
          <w:rFonts w:ascii="Times New Roman" w:hAnsi="Times New Roman"/>
          <w:sz w:val="20"/>
        </w:rPr>
        <w:t xml:space="preserve"> substantially in the form of</w:t>
      </w:r>
      <w:r>
        <w:rPr>
          <w:rFonts w:ascii="Times New Roman" w:hAnsi="Times New Roman"/>
          <w:sz w:val="20"/>
          <w:u w:val="single"/>
        </w:rPr>
        <w:t xml:space="preserve"> Exhibit 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Offer</w:t>
      </w:r>
      <w:r>
        <w:rPr>
          <w:rFonts w:ascii="Times New Roman" w:hAnsi="Times New Roman"/>
          <w:sz w:val="20"/>
        </w:rPr>
        <w:t xml:space="preserve">” means the irrevocable written offer by a Term Lender, substantially in the form of </w:t>
      </w:r>
      <w:r>
        <w:rPr>
          <w:rFonts w:ascii="Times New Roman" w:hAnsi="Times New Roman"/>
          <w:sz w:val="20"/>
          <w:u w:val="single"/>
        </w:rPr>
        <w:t>Exhibit M</w:t>
      </w:r>
      <w:r>
        <w:rPr>
          <w:rFonts w:ascii="Times New Roman" w:hAnsi="Times New Roman"/>
          <w:sz w:val="20"/>
        </w:rPr>
        <w:t xml:space="preserve">, submitted in response to an invitation to submit offers following the Auction Agent’s receipt of a Discount Range Prepayment Notice. </w:t>
      </w:r>
    </w:p>
    <w:p>
      <w:pPr>
        <w:pStyle w:val="TextBody"/>
        <w:bidi w:val="0"/>
        <w:spacing w:before="240" w:after="0"/>
        <w:jc w:val="left"/>
        <w:rPr/>
      </w:pPr>
      <w:r>
        <w:rPr/>
        <w:t>“</w:t>
      </w:r>
      <w:r>
        <w:rPr>
          <w:rFonts w:ascii="Times New Roman" w:hAnsi="Times New Roman"/>
          <w:sz w:val="20"/>
          <w:u w:val="single"/>
        </w:rPr>
        <w:t>Discount Range Prepayment Response Date</w:t>
      </w:r>
      <w:r>
        <w:rPr>
          <w:rFonts w:ascii="Times New Roman" w:hAnsi="Times New Roman"/>
          <w:sz w:val="20"/>
        </w:rPr>
        <w:t>” has the meaning assigned to such term in</w:t>
      </w:r>
      <w:r>
        <w:rPr>
          <w:rFonts w:ascii="Times New Roman" w:hAnsi="Times New Roman"/>
          <w:sz w:val="20"/>
          <w:u w:val="single"/>
        </w:rPr>
        <w:t xml:space="preserve"> 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Proration</w:t>
      </w:r>
      <w:r>
        <w:rPr>
          <w:rFonts w:ascii="Times New Roman" w:hAnsi="Times New Roman"/>
          <w:sz w:val="20"/>
        </w:rPr>
        <w:t>” has the meaning assigned to such term in</w:t>
      </w:r>
      <w:r>
        <w:rPr>
          <w:rFonts w:ascii="Times New Roman" w:hAnsi="Times New Roman"/>
          <w:sz w:val="20"/>
          <w:u w:val="single"/>
        </w:rPr>
        <w:t xml:space="preserve"> Section 2.10(a)(ii)(C)(3)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Discounted Prepayment Determination Date</w:t>
      </w:r>
      <w:r>
        <w:rPr>
          <w:rFonts w:ascii="Times New Roman" w:hAnsi="Times New Roman"/>
          <w:sz w:val="20"/>
        </w:rPr>
        <w:t>” has the meaning assigned to such term in</w:t>
      </w:r>
      <w:r>
        <w:rPr>
          <w:rFonts w:ascii="Times New Roman" w:hAnsi="Times New Roman"/>
          <w:sz w:val="20"/>
          <w:u w:val="single"/>
        </w:rPr>
        <w:t xml:space="preserve"> 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Discounted Prepayment Effective Date</w:t>
      </w:r>
      <w:r>
        <w:rPr>
          <w:rFonts w:ascii="Times New Roman" w:hAnsi="Times New Roman"/>
          <w:sz w:val="20"/>
        </w:rPr>
        <w:t xml:space="preserve">” means in the case of a Borrower Offer of Specified Discount Prepayment or Borrower Solicitation of Discount Range Prepayment Offer, five (5) Business Days following the receipt by each relevant Term Lender of notice from the Auction Agent in accordance with </w:t>
      </w:r>
      <w:r>
        <w:rPr>
          <w:rFonts w:ascii="Times New Roman" w:hAnsi="Times New Roman"/>
          <w:sz w:val="20"/>
          <w:u w:val="single"/>
        </w:rPr>
        <w:t>Section 2.10(a)(ii)(B)</w:t>
      </w:r>
      <w:r>
        <w:rPr>
          <w:rFonts w:ascii="Times New Roman" w:hAnsi="Times New Roman"/>
          <w:sz w:val="20"/>
        </w:rPr>
        <w:t xml:space="preserve">, </w:t>
      </w:r>
      <w:r>
        <w:rPr>
          <w:rFonts w:ascii="Times New Roman" w:hAnsi="Times New Roman"/>
          <w:sz w:val="20"/>
          <w:u w:val="single"/>
        </w:rPr>
        <w:t>Section 2.10(a)(ii)(C)</w:t>
      </w:r>
      <w:r>
        <w:rPr>
          <w:rFonts w:ascii="Times New Roman" w:hAnsi="Times New Roman"/>
          <w:sz w:val="20"/>
        </w:rPr>
        <w:t xml:space="preserve"> or </w:t>
      </w:r>
      <w:r>
        <w:rPr>
          <w:rFonts w:ascii="Times New Roman" w:hAnsi="Times New Roman"/>
          <w:sz w:val="20"/>
          <w:u w:val="single"/>
        </w:rPr>
        <w:t>Section 2.10(a)(ii)(D)</w:t>
      </w:r>
      <w:r>
        <w:rPr>
          <w:rFonts w:ascii="Times New Roman" w:hAnsi="Times New Roman"/>
          <w:sz w:val="20"/>
        </w:rPr>
        <w:t xml:space="preserve">, as applicable unless a shorter period is agreed to between the Borrower and the Auction Agent. </w:t>
      </w:r>
    </w:p>
    <w:p>
      <w:pPr>
        <w:pStyle w:val="TextBody"/>
        <w:bidi w:val="0"/>
        <w:spacing w:before="240" w:after="0"/>
        <w:jc w:val="left"/>
        <w:rPr/>
      </w:pPr>
      <w:r>
        <w:rPr/>
        <w:t>“</w:t>
      </w:r>
      <w:r>
        <w:rPr>
          <w:rFonts w:ascii="Times New Roman" w:hAnsi="Times New Roman"/>
          <w:sz w:val="20"/>
          <w:u w:val="single"/>
        </w:rPr>
        <w:t>Discounted Term Loan Prepayment</w:t>
      </w:r>
      <w:r>
        <w:rPr>
          <w:rFonts w:ascii="Times New Roman" w:hAnsi="Times New Roman"/>
          <w:sz w:val="20"/>
        </w:rPr>
        <w:t xml:space="preserve">” has the meaning assigned to such term in </w:t>
      </w:r>
      <w:r>
        <w:rPr>
          <w:rFonts w:ascii="Times New Roman" w:hAnsi="Times New Roman"/>
          <w:sz w:val="20"/>
          <w:u w:val="single"/>
        </w:rPr>
        <w:t>Section 2.10(a)(ii)(A)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Disposed EBITDA</w:t>
      </w:r>
      <w:r>
        <w:rPr>
          <w:rFonts w:ascii="Times New Roman" w:hAnsi="Times New Roman"/>
          <w:sz w:val="20"/>
        </w:rPr>
        <w:t xml:space="preserve">”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Bidco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xml:space="preserve">” has the meaning assigned to such term in clause (1) of the definition of “Asset Sale”. </w:t>
      </w:r>
    </w:p>
    <w:p>
      <w:pPr>
        <w:pStyle w:val="TextBody"/>
        <w:bidi w:val="0"/>
        <w:spacing w:before="240" w:after="0"/>
        <w:jc w:val="left"/>
        <w:rPr/>
      </w:pPr>
      <w:r>
        <w:rPr/>
        <w:t>“</w:t>
      </w:r>
      <w:r>
        <w:rPr>
          <w:rFonts w:ascii="Times New Roman" w:hAnsi="Times New Roman"/>
          <w:sz w:val="20"/>
          <w:u w:val="single"/>
        </w:rPr>
        <w:t>Disqualified Equity Interests</w:t>
      </w:r>
      <w:r>
        <w:rPr>
          <w:rFonts w:ascii="Times New Roman" w:hAnsi="Times New Roman"/>
          <w:sz w:val="20"/>
        </w:rPr>
        <w:t xml:space="preserve">” means, with respect to any Person, any Equity Interests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TextBody"/>
        <w:bidi w:val="0"/>
        <w:spacing w:before="0" w:after="0"/>
        <w:jc w:val="left"/>
        <w:rPr>
          <w:rFonts w:ascii="Times New Roman" w:hAnsi="Times New Roman"/>
          <w:sz w:val="20"/>
        </w:rPr>
      </w:pPr>
      <w:r>
        <w:rPr>
          <w:rFonts w:ascii="Times New Roman" w:hAnsi="Times New Roman"/>
          <w:sz w:val="20"/>
        </w:rPr>
        <w:t xml:space="preserve">control or asset sale), in whole or in part, in each case prior to the date 91 days after the earlier of the maturity date of the Loans or the date the Loans are no longer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Equity Interests held by any future, current or former employee, director, officer, manager or consultant (or their respective Controlled Investment Affiliates (excluding the Investors (but not excluding any future, current or former employee, director, officer, manager or consultant)) or Immediate Family Members), of Bidco, any of its Subsidiaries, any of its direct or indirect parent companies or any other entity in which Bidco or a Restricted Subsidiary has an Investment and is designated in good faith as an “affiliate” by the board of directors of Bidco or a Restricted Subsidiary (or the compensation committee thereof), in each case pursuant to any stock subscription or shareholders’ agreement, management equity plan or stock option plan or any other management or employee benefit plan or agreement shall not constitute Disqualified Equity Interests solely because it may be required to be repurchased by Bidco or its Subsidiaries or in order to satisfy applicable statutory or regulatory obligations. Notwithstanding the preceding sentence, any Equity Interests that would constitute Disqualified Equity Interests solely because the holders of the Equity Interests have the right to require Bidco or a Subsidiary to repurchase such Equity Interests upon the occurrence of a change of control or an asset sale shall not constitute Disqualified Equity Interests if the terms of such Equity Interests (and all such securities into which it is convertible or for which it is ratable or exchangeable) provide that Bidco or such Subsidiary may not repurchase or redeem any such Equity Interests (and all such securities into which it is convertible or for which it is ratable or exchangeable) pursuant to such provisions unless such repurchase or redemption complies with the terms of this Agreement. The amount of Disqualified Equity Interests deemed to be outstanding at any time for purposes of this Agreement shall be the maximum amount that Bidco and its Restricted Subsidiaries may become obligated to pay upon the maturity of, or pursuant to any mandatory redemption provisions of, such Disqualified Equity Interests, exclusive of accrued dividends. </w:t>
      </w:r>
    </w:p>
    <w:p>
      <w:pPr>
        <w:pStyle w:val="TextBody"/>
        <w:bidi w:val="0"/>
        <w:spacing w:before="240" w:after="0"/>
        <w:jc w:val="left"/>
        <w:rPr/>
      </w:pPr>
      <w:r>
        <w:rPr/>
        <w:t>“</w:t>
      </w:r>
      <w:r>
        <w:rPr>
          <w:rFonts w:ascii="Times New Roman" w:hAnsi="Times New Roman"/>
          <w:sz w:val="20"/>
          <w:u w:val="single"/>
        </w:rPr>
        <w:t>Disqualified Lenders</w:t>
      </w:r>
      <w:r>
        <w:rPr>
          <w:rFonts w:ascii="Times New Roman" w:hAnsi="Times New Roman"/>
          <w:sz w:val="20"/>
        </w:rPr>
        <w:t xml:space="preserve">” means (i) those Persons identified by Bidco or a Restricted Subsidiary to the Administrative Agent in writing prior to March 23, 2019 as being “Disqualified Lenders,” (ii) those Persons who are competitors of Bidco and its Subsidiaries (other than any bona fide diversified debt investment fund) identified by the Investors, Bidco or a Restricted Subsidiary to the Administrative Agent from time to time in writing (including by email) which designation shall become effective two (2) days after delivery of each such written designation to the Administrative Agent, but which shall not apply retroactively to disqualify any persons that have previously acquired an assignment or participation interest in any Loan, (iii) Excluded Affiliates and (iv) in the case of each Person identified pursuant to clause (ii) above, any of their Affiliates that are either (x) identified in writing by the Investors, Bidco or a Restricted Subsidiary to the Administrative Agent from time to time or (y) are known or reasonably identifiable as an Affiliate of such Person (other than Affiliates that are bona fide diversified debt investment funds).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p>
    <w:p>
      <w:pPr>
        <w:pStyle w:val="TextBody"/>
        <w:bidi w:val="0"/>
        <w:spacing w:before="240" w:after="0"/>
        <w:jc w:val="left"/>
        <w:rPr/>
      </w:pPr>
      <w:r>
        <w:rPr/>
        <w:t>“</w:t>
      </w:r>
      <w:r>
        <w:rPr>
          <w:rFonts w:ascii="Times New Roman" w:hAnsi="Times New Roman"/>
          <w:sz w:val="20"/>
          <w:u w:val="single"/>
        </w:rPr>
        <w:t>Division</w:t>
      </w:r>
      <w:r>
        <w:rPr>
          <w:rFonts w:ascii="Times New Roman" w:hAnsi="Times New Roman"/>
          <w:sz w:val="20"/>
        </w:rPr>
        <w:t>” has the meaning assigned to such term in</w:t>
      </w:r>
      <w:r>
        <w:rPr>
          <w:rFonts w:ascii="Times New Roman" w:hAnsi="Times New Roman"/>
          <w:sz w:val="20"/>
          <w:u w:val="single"/>
        </w:rPr>
        <w:t xml:space="preserve"> Section 1.10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on any date of determination, (a) with respect to any amount denominated in dollars, such amount, and (b) with respect to any amount in any Alternative Currency or any other currency, the equivalent in dollars of such amount, as determined by the Administrative Agent or the applicable Issuing Bank, as applicable, pursuant to </w:t>
      </w:r>
      <w:r>
        <w:rPr>
          <w:rFonts w:ascii="Times New Roman" w:hAnsi="Times New Roman"/>
          <w:sz w:val="20"/>
          <w:u w:val="single"/>
        </w:rPr>
        <w:t>Section 1.09</w:t>
      </w:r>
      <w:r>
        <w:rPr>
          <w:rFonts w:ascii="Times New Roman" w:hAnsi="Times New Roman"/>
          <w:sz w:val="20"/>
        </w:rPr>
        <w:t xml:space="preserve"> using the Spot Rate with respect to such currency at the time in effect under the provisions of such Section.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left"/>
        <w:rPr/>
      </w:pPr>
      <w:r>
        <w:rPr/>
        <w:t>“</w:t>
      </w:r>
      <w:r>
        <w:rPr>
          <w:rFonts w:ascii="Times New Roman" w:hAnsi="Times New Roman"/>
          <w:sz w:val="20"/>
          <w:u w:val="single"/>
        </w:rPr>
        <w:t>Domestic Foreign Holdco</w:t>
      </w:r>
      <w:r>
        <w:rPr>
          <w:rFonts w:ascii="Times New Roman" w:hAnsi="Times New Roman"/>
          <w:sz w:val="20"/>
        </w:rPr>
        <w:t xml:space="preserve">” means any Subsidiary that is not a CFC, substantially all of whose assets (directly and/or indirectly through one or more Subsidiaries) are capital stock (and, if applicable, debt) of one or more Subsidiaries that are (1) CFCs that are direct or indirect Subsidiaries of a Domestic Subsidiary and/or (2) other Domestic Foreign Holdcos.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that is organized under the law of the United States, any state thereof or the District of Columbia. </w:t>
      </w:r>
    </w:p>
    <w:p>
      <w:pPr>
        <w:pStyle w:val="TextBody"/>
        <w:bidi w:val="0"/>
        <w:spacing w:before="240" w:after="0"/>
        <w:jc w:val="left"/>
        <w:rPr/>
      </w:pPr>
      <w:r>
        <w:rPr/>
        <w:t>“</w:t>
      </w:r>
      <w:r>
        <w:rPr>
          <w:rFonts w:ascii="Times New Roman" w:hAnsi="Times New Roman"/>
          <w:sz w:val="20"/>
          <w:u w:val="single"/>
        </w:rPr>
        <w:t>ECF Percentage</w:t>
      </w:r>
      <w:r>
        <w:rPr>
          <w:rFonts w:ascii="Times New Roman" w:hAnsi="Times New Roman"/>
          <w:sz w:val="20"/>
        </w:rPr>
        <w:t xml:space="preserve">” means, with respect to the prepayment required by </w:t>
      </w:r>
      <w:r>
        <w:rPr>
          <w:rFonts w:ascii="Times New Roman" w:hAnsi="Times New Roman"/>
          <w:sz w:val="20"/>
          <w:u w:val="single"/>
        </w:rPr>
        <w:t>Section 2.10(d)</w:t>
      </w:r>
      <w:r>
        <w:rPr>
          <w:rFonts w:ascii="Times New Roman" w:hAnsi="Times New Roman"/>
          <w:sz w:val="20"/>
        </w:rPr>
        <w:t xml:space="preserve"> with respect to any fiscal year of Bidco, if the Senior Secured First Lien Net Leverage Ratio (prior to giving effect to the applicable prepayment pursuant to </w:t>
      </w:r>
      <w:r>
        <w:rPr>
          <w:rFonts w:ascii="Times New Roman" w:hAnsi="Times New Roman"/>
          <w:sz w:val="20"/>
          <w:u w:val="single"/>
        </w:rPr>
        <w:t>Section 2.10(d)</w:t>
      </w:r>
      <w:r>
        <w:rPr>
          <w:rFonts w:ascii="Times New Roman" w:hAnsi="Times New Roman"/>
          <w:sz w:val="20"/>
        </w:rPr>
        <w:t xml:space="preserve">, but after giving effect to any voluntary prepayments made pursuant to </w:t>
      </w:r>
      <w:r>
        <w:rPr>
          <w:rFonts w:ascii="Times New Roman" w:hAnsi="Times New Roman"/>
          <w:sz w:val="20"/>
          <w:u w:val="single"/>
        </w:rPr>
        <w:t>Section 2.10(a)</w:t>
      </w:r>
      <w:r>
        <w:rPr>
          <w:rFonts w:ascii="Times New Roman" w:hAnsi="Times New Roman"/>
          <w:sz w:val="20"/>
        </w:rPr>
        <w:t xml:space="preserve"> or otherwise in a manner not prohibited by</w:t>
      </w:r>
      <w:r>
        <w:rPr>
          <w:rFonts w:ascii="Times New Roman" w:hAnsi="Times New Roman"/>
          <w:sz w:val="20"/>
          <w:u w:val="single"/>
        </w:rPr>
        <w:t xml:space="preserve"> Section 9.04(g)</w:t>
      </w:r>
      <w:r>
        <w:rPr>
          <w:rFonts w:ascii="Times New Roman" w:hAnsi="Times New Roman"/>
          <w:sz w:val="20"/>
        </w:rPr>
        <w:t xml:space="preserve"> prior to the date of such prepayment) as of the end of such fiscal year is (a) greater than 4.60 to 1.00, 50% of Excess Cash Flow for such fiscal year, (b) greater than 4.10 to 1.00 but less than or equal to 4.60 to 1.00, 25% of Excess Cash Flow for such fiscal year and (c) less than or equal to 4.10 to 1.00, 0% of Excess Cash Flow for such fiscal year.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means December 12, 2019. </w:t>
      </w:r>
    </w:p>
    <w:p>
      <w:pPr>
        <w:pStyle w:val="TextBody"/>
        <w:bidi w:val="0"/>
        <w:spacing w:before="240" w:after="0"/>
        <w:jc w:val="left"/>
        <w:rPr/>
      </w:pPr>
      <w:r>
        <w:rPr/>
        <w:t>“</w:t>
      </w:r>
      <w:r>
        <w:rPr>
          <w:rFonts w:ascii="Times New Roman" w:hAnsi="Times New Roman"/>
          <w:sz w:val="20"/>
          <w:u w:val="single"/>
        </w:rPr>
        <w:t>Effective Yield</w:t>
      </w:r>
      <w:r>
        <w:rPr>
          <w:rFonts w:ascii="Times New Roman" w:hAnsi="Times New Roman"/>
          <w:sz w:val="20"/>
        </w:rPr>
        <w:t xml:space="preserve">” means, as to any Indebtedness, the effective yield on such Indebtedness in the reasonable determination of the Administrative Agent and Bidco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(and, with respect to the Amendment No. 1 Refinancing Term Loans, assuming that such Loans were issued with the same upfront fees and original issue discount as the Initial Term Loans)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w:t>
      </w:r>
      <w:r>
        <w:rPr>
          <w:rFonts w:ascii="Times New Roman" w:hAnsi="Times New Roman"/>
          <w:sz w:val="20"/>
          <w:u w:val="single"/>
        </w:rPr>
        <w:t>Section 2.10(a)(i)</w:t>
      </w:r>
      <w:r>
        <w:rPr>
          <w:rFonts w:ascii="Times New Roman" w:hAnsi="Times New Roman"/>
          <w:sz w:val="20"/>
        </w:rPr>
        <w:t xml:space="preserve">, any original issue discount or upfront fees payable in connection with the Initial Term Loans issued on the Effective Date); </w:t>
      </w:r>
      <w:r>
        <w:rPr>
          <w:rFonts w:ascii="Times New Roman" w:hAnsi="Times New Roman"/>
          <w:sz w:val="20"/>
          <w:u w:val="single"/>
        </w:rPr>
        <w:t>provided</w:t>
      </w:r>
      <w:r>
        <w:rPr>
          <w:rFonts w:ascii="Times New Roman" w:hAnsi="Times New Roman"/>
          <w:sz w:val="20"/>
        </w:rPr>
        <w:t xml:space="preserve"> that with respect to any Indebtedness that includes a “LIBOR floor” or “Base Rate floor,” (i) to the extent that the LIBO Rate or Alternate Base Rate (without giving effect to any floors in such definitions), as applicable, on the date that the Effective Yield is being calculated is less than such floor, the amount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left"/>
        <w:rPr>
          <w:rFonts w:ascii="Times New Roman" w:hAnsi="Times New Roman"/>
          <w:sz w:val="20"/>
        </w:rPr>
      </w:pPr>
      <w:r>
        <w:rPr>
          <w:rFonts w:ascii="Times New Roman" w:hAnsi="Times New Roman"/>
          <w:sz w:val="20"/>
        </w:rPr>
        <w:t xml:space="preserve">difference shall be deemed added to the interest rate margin for such Indebtedness for the purpose of calculating the Effective Yield and (ii) to the extent that the LIBO Rate or Alternate Base Rate (without giving effect to any floors in such definitions), as applicable, on the date that the Effective Yield is being calculated is greater than such floor, then the floor shall be disregarded in calculating the Effective Yield.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 a Lender, (b) an Affiliate of a Lender, (c) an Approved Fund and (d) any other Person (other than Holdings, any Intermediate Parent, Bidco or any of their respective Affiliates), other than, in each case, (i) a natural person, (ii) a Defaulting Lender or (iii) a Disqualified Lender. Notwithstanding the foregoing, each Loan Party and each Lender acknowledges and agrees that the Administrative Agent shall have no liability with respect to any assignment made to a Disqualified Lender unless (i) the Administrative Agent has acted with gross negligence, bad faith or willful misconduct (as determined by a court of competent jurisdiction in a final and non-appealable judgment) and (ii) Bidco has not consented to such assignment or is not deemed to have consented to such assignment to the extent required by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EMU Legislation</w:t>
      </w:r>
      <w:r>
        <w:rPr>
          <w:rFonts w:ascii="Times New Roman" w:hAnsi="Times New Roman"/>
          <w:sz w:val="20"/>
        </w:rPr>
        <w:t xml:space="preserve">” means the legislative measures of the European Council for the introduction of, changeover to or operation of a single or unified European currency.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shall mean ambient air, indoor air, surface water, groundwater, drinking water, land surface, sediments, and subsurface strata and natural resources such as wetlands, flora and fauna.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applicable Requirements of Law relating to the protection of the environment, to preservation or reclamation of natural resources, to the Release or threatened Release of any Hazardous Material, or (to the extent relating to exposure to Hazardous Materials) to health or safety matters.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resulting from or based upon (a) any actual or alleged violation of any Environmental Law or permit, license or approval issued thereunder, (b) the generation, use, handling, transportation, storage, or treatment of any Hazardous Materials, (c) exposure to any Hazardous Materials or (d) the Release or threatened Release of any Hazardous Materials. </w:t>
      </w:r>
    </w:p>
    <w:p>
      <w:pPr>
        <w:pStyle w:val="TextBody"/>
        <w:bidi w:val="0"/>
        <w:spacing w:before="240" w:after="0"/>
        <w:jc w:val="left"/>
        <w:rPr/>
      </w:pPr>
      <w:r>
        <w:rPr/>
        <w:t>“</w:t>
      </w:r>
      <w:r>
        <w:rPr>
          <w:rFonts w:ascii="Times New Roman" w:hAnsi="Times New Roman"/>
          <w:sz w:val="20"/>
          <w:u w:val="single"/>
        </w:rPr>
        <w:t>Equity Contributions</w:t>
      </w:r>
      <w:r>
        <w:rPr>
          <w:rFonts w:ascii="Times New Roman" w:hAnsi="Times New Roman"/>
          <w:sz w:val="20"/>
        </w:rPr>
        <w:t xml:space="preserve">” means the aggregate amount of investments (made on or prior to the relevant date of determination) in cash or in kind in the form of equity interests (including share subscriptions, share premium and/or contribution to capital reserves) or Subordinated Shareholder Liabilities by the Investors and Holdings (or any of their parent entities) (directly or indirectly) to Bidco.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w:t>
      </w:r>
    </w:p>
    <w:p>
      <w:pPr>
        <w:pStyle w:val="TextBody"/>
        <w:bidi w:val="0"/>
        <w:spacing w:before="240" w:after="0"/>
        <w:jc w:val="left"/>
        <w:rPr/>
      </w:pPr>
      <w:r>
        <w:rPr/>
        <w:t>“</w:t>
      </w:r>
      <w:r>
        <w:rPr>
          <w:rFonts w:ascii="Times New Roman" w:hAnsi="Times New Roman"/>
          <w:sz w:val="20"/>
          <w:u w:val="single"/>
        </w:rPr>
        <w:t>Equity Offering</w:t>
      </w:r>
      <w:r>
        <w:rPr>
          <w:rFonts w:ascii="Times New Roman" w:hAnsi="Times New Roman"/>
          <w:sz w:val="20"/>
        </w:rPr>
        <w:t xml:space="preserve">” means any public or private sale of common stock or Preferred Stock of Bidco or any of its direct or indirect parent companies (excluding Disqualified Equity Interest), other than: </w:t>
      </w:r>
    </w:p>
    <w:p>
      <w:pPr>
        <w:pStyle w:val="TextBody"/>
        <w:bidi w:val="0"/>
        <w:spacing w:before="120" w:after="0"/>
        <w:jc w:val="left"/>
        <w:rPr>
          <w:rFonts w:ascii="Times New Roman" w:hAnsi="Times New Roman"/>
          <w:sz w:val="20"/>
        </w:rPr>
      </w:pPr>
      <w:r>
        <w:rPr>
          <w:rFonts w:ascii="Times New Roman" w:hAnsi="Times New Roman"/>
          <w:sz w:val="20"/>
        </w:rPr>
        <w:t xml:space="preserve">(1) public offerings with respect to Bidco’s or any direct or indirect parent company’s common stock registered on Form S-8;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TextBody"/>
        <w:bidi w:val="0"/>
        <w:spacing w:before="0" w:after="0"/>
        <w:jc w:val="left"/>
        <w:rPr>
          <w:rFonts w:ascii="Times New Roman" w:hAnsi="Times New Roman"/>
          <w:sz w:val="20"/>
        </w:rPr>
      </w:pPr>
      <w:r>
        <w:rPr>
          <w:rFonts w:ascii="Times New Roman" w:hAnsi="Times New Roman"/>
          <w:sz w:val="20"/>
        </w:rPr>
        <w:t xml:space="preserve">(2) issuances to any Subsidiary of Bidco; and </w:t>
      </w:r>
    </w:p>
    <w:p>
      <w:pPr>
        <w:pStyle w:val="TextBody"/>
        <w:bidi w:val="0"/>
        <w:spacing w:before="120" w:after="0"/>
        <w:jc w:val="left"/>
        <w:rPr>
          <w:rFonts w:ascii="Times New Roman" w:hAnsi="Times New Roman"/>
          <w:sz w:val="20"/>
        </w:rPr>
      </w:pPr>
      <w:r>
        <w:rPr>
          <w:rFonts w:ascii="Times New Roman" w:hAnsi="Times New Roman"/>
          <w:sz w:val="20"/>
        </w:rPr>
        <w:t xml:space="preserve">(3) any such public or private sale that constitutes an Excluded Contribution or a Contributed Holdings Investment.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its withdrawal or partial withdrawal from any Multiemployer Plan; (h) the receipt by a Loan Party or any ERISA Affiliate from a Multiemployer Plan of any notice concerning the imposition of Withdrawal Liability on a Loan Party or ERISA Affiliate; (i) the failure of a Loan Party or any ERISA Affiliate to pay when due, after the expiration of any applicable grace period, any installment payment with respect to any Withdrawal Liability; or (j)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Participating Member States introduced in accordance with the EMU Legislation. </w:t>
      </w:r>
    </w:p>
    <w:p>
      <w:pPr>
        <w:pStyle w:val="TextBody"/>
        <w:bidi w:val="0"/>
        <w:spacing w:before="240" w:after="0"/>
        <w:jc w:val="left"/>
        <w:rPr/>
      </w:pPr>
      <w:r>
        <w:rPr/>
        <w:t>“</w:t>
      </w:r>
      <w:r>
        <w:rPr>
          <w:rFonts w:ascii="Times New Roman" w:hAnsi="Times New Roman"/>
          <w:sz w:val="20"/>
          <w:u w:val="single"/>
        </w:rPr>
        <w:t>Eurodollar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LIBO Rate.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means, for any period, an amount equal to the excess of: </w:t>
      </w:r>
    </w:p>
    <w:p>
      <w:pPr>
        <w:pStyle w:val="TextBody"/>
        <w:bidi w:val="0"/>
        <w:spacing w:before="120" w:after="0"/>
        <w:jc w:val="left"/>
        <w:rPr>
          <w:rFonts w:ascii="Times New Roman" w:hAnsi="Times New Roman"/>
          <w:sz w:val="20"/>
        </w:rPr>
      </w:pPr>
      <w:r>
        <w:rPr>
          <w:rFonts w:ascii="Times New Roman" w:hAnsi="Times New Roman"/>
          <w:sz w:val="20"/>
        </w:rPr>
        <w:t xml:space="preserve">(a)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Net Income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p>
    <w:p>
      <w:pPr>
        <w:pStyle w:val="TextBody"/>
        <w:bidi w:val="0"/>
        <w:spacing w:before="0" w:after="0"/>
        <w:jc w:val="left"/>
        <w:rPr>
          <w:rFonts w:ascii="Times New Roman" w:hAnsi="Times New Roman"/>
          <w:sz w:val="20"/>
        </w:rPr>
      </w:pPr>
      <w:r>
        <w:rPr>
          <w:rFonts w:ascii="Times New Roman" w:hAnsi="Times New Roman"/>
          <w:sz w:val="20"/>
        </w:rPr>
        <w:t xml:space="preserve">(ii) an amount equal to the amount of all non-cash charges to the extent deducted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(iii) decreases in Consolidated Working Capital and long-term accounts receivable for such period (other than decreases relating to dispositions permitted pursuant to clause (k) of the definition of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loss on dispositions by Bidco and the Restricted Subsidiaries during such period (other than dispositions in the ordinary course of business) to the extent deducted in arriving at such Consolidated Net Income, </w:t>
      </w:r>
      <w:r>
        <w:rPr>
          <w:rFonts w:ascii="Times New Roman" w:hAnsi="Times New Roman"/>
          <w:sz w:val="20"/>
          <w:u w:val="single"/>
        </w:rPr>
        <w:t>less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(1), (2), (8), (10), (11), (12), (16) and (17) of the definition of “Consolidated Net Income” (other than cash charges in respect of Transaction Costs paid on or about the Effective Date to the extent financed with the proceeds of Indebtedness incurred on the Effective Date or an equity investment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without duplication of amounts deducted pursuant to clause (xii) below in prior fiscal years, the amount of capital expenditures made in cash or accrued during such period, except to the extent that such capital expenditures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and all prepayments of revolving loans and swingline loans (including Revolving Loans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Bidco or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gain on dispositions by Bidco and the Restricted Subsidiaries during such period (other than dispositions in the ordinary course of business) to the extent included in arriving at such Consolidated Net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TextBody"/>
        <w:bidi w:val="0"/>
        <w:spacing w:before="0" w:after="0"/>
        <w:jc w:val="left"/>
        <w:rPr>
          <w:rFonts w:ascii="Times New Roman" w:hAnsi="Times New Roman"/>
          <w:sz w:val="20"/>
        </w:rPr>
      </w:pPr>
      <w:r>
        <w:rPr>
          <w:rFonts w:ascii="Times New Roman" w:hAnsi="Times New Roman"/>
          <w:sz w:val="20"/>
        </w:rPr>
        <w:t xml:space="preserve">(v) increases in Consolidated Working Capital and long-term accounts receivable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(vi) cash payments by Bidco and the Restricted Subsidiaries during such period in respect of long-term liabilities of Bidco and the Restricted Subsidiaries other than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(vii) without duplication of amounts deducted pursuant to clause (xii) below in prior fiscal years, the amount of Investments (other than Investments in Cash Equivalents) and acquisitions not prohibited by this Agreement, except to the extent that such Investments and acquisitions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(viii) the amount of dividends and other Restricted Payments (including the amount of Tax Distributions made by Bidco to the extent not deducted in arriving at Consolidated Net Income) paid in cash during such period, except to the extent that such dividends and Restricted Payments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(ix) the aggregate amount of payments and expenditures actually made by Bidco and the Restricted Subsidiaries in cash during such period (including expenditures for the payment of financing fees) to the extent that such payments and expenditures are not expensed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(x) cash payments by Bidco and the Restricted Subsidiaries during such period in respect of non-cash charges included in the calculation of Consolidated Net Income in any prior period; </w:t>
      </w:r>
    </w:p>
    <w:p>
      <w:pPr>
        <w:pStyle w:val="TextBody"/>
        <w:bidi w:val="0"/>
        <w:spacing w:before="120" w:after="0"/>
        <w:jc w:val="left"/>
        <w:rPr>
          <w:rFonts w:ascii="Times New Roman" w:hAnsi="Times New Roman"/>
          <w:sz w:val="20"/>
        </w:rPr>
      </w:pPr>
      <w:r>
        <w:rPr>
          <w:rFonts w:ascii="Times New Roman" w:hAnsi="Times New Roman"/>
          <w:sz w:val="20"/>
        </w:rPr>
        <w:t xml:space="preserve">(xi) the aggregate amount of any premium, make-whole or penalty payments actually paid in cash by Bidco and the Restricted Subsidiaries during such period that are required to be made in connection with any prepayment of Indebtedness; </w:t>
      </w:r>
    </w:p>
    <w:p>
      <w:pPr>
        <w:pStyle w:val="TextBody"/>
        <w:bidi w:val="0"/>
        <w:spacing w:before="120" w:after="0"/>
        <w:jc w:val="left"/>
        <w:rPr>
          <w:rFonts w:ascii="Times New Roman" w:hAnsi="Times New Roman"/>
          <w:sz w:val="20"/>
        </w:rPr>
      </w:pPr>
      <w:r>
        <w:rPr>
          <w:rFonts w:ascii="Times New Roman" w:hAnsi="Times New Roman"/>
          <w:sz w:val="20"/>
        </w:rPr>
        <w:t>(xii) at the option of Bidco, and without duplication of amounts deducted in prior periods, (A) the aggregate consideration required to be paid in cash by Bidco or any of the Restricted Subsidiaries pursuant to binding contracts, commitments, letters of intent or purchase orders (the “</w:t>
      </w:r>
      <w:r>
        <w:rPr>
          <w:rFonts w:ascii="Times New Roman" w:hAnsi="Times New Roman"/>
          <w:sz w:val="20"/>
          <w:u w:val="single"/>
        </w:rPr>
        <w:t>Contract Consideration</w:t>
      </w:r>
      <w:r>
        <w:rPr>
          <w:rFonts w:ascii="Times New Roman" w:hAnsi="Times New Roman"/>
          <w:sz w:val="20"/>
        </w:rPr>
        <w:t xml:space="preserve">”), in each case, entered into prior to or during such period and (B) to the extent set forth in a certificate of a Financial Officer delivered to the Administrative Agent at or before the time the Compliance Certificate for such period is required to be delivered pursuant to </w:t>
      </w:r>
      <w:r>
        <w:rPr>
          <w:rFonts w:ascii="Times New Roman" w:hAnsi="Times New Roman"/>
          <w:sz w:val="20"/>
          <w:u w:val="single"/>
        </w:rPr>
        <w:t>Section 5.01(d)</w:t>
      </w:r>
      <w:r>
        <w:rPr>
          <w:rFonts w:ascii="Times New Roman" w:hAnsi="Times New Roman"/>
          <w:sz w:val="20"/>
        </w:rPr>
        <w:t>, the aggregate amount of cash that is reasonably expected to be paid in respect of planned cash expenditures by Bidco or any of the Restricted Subsidiaries (the “</w:t>
      </w:r>
      <w:r>
        <w:rPr>
          <w:rFonts w:ascii="Times New Roman" w:hAnsi="Times New Roman"/>
          <w:sz w:val="20"/>
          <w:u w:val="single"/>
        </w:rPr>
        <w:t>Planned Expenditures</w:t>
      </w:r>
      <w:r>
        <w:rPr>
          <w:rFonts w:ascii="Times New Roman" w:hAnsi="Times New Roman"/>
          <w:sz w:val="20"/>
        </w:rPr>
        <w:t xml:space="preserve">”), in the case of each of clauses (A) and (B), relating to Permitted Acquisitions, other Investments (other than Investments in Cash Equivalents), capital expenditures (including Capitalized Software Expenditures or other purchases of Intellectual Property) or Restricted Payments to be consummated or made during a subsequent period; </w:t>
      </w:r>
      <w:r>
        <w:rPr>
          <w:rFonts w:ascii="Times New Roman" w:hAnsi="Times New Roman"/>
          <w:sz w:val="20"/>
          <w:u w:val="single"/>
        </w:rPr>
        <w:t>provided</w:t>
      </w:r>
      <w:r>
        <w:rPr>
          <w:rFonts w:ascii="Times New Roman" w:hAnsi="Times New Roman"/>
          <w:sz w:val="20"/>
        </w:rPr>
        <w:t xml:space="preserve">, that to the extent the aggregate amount of cash actually utilized to finance such Permitted Acquisitions, Investments, capital expenditures or Restricted Payments during such subsequent period (excluding any cash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TextBody"/>
        <w:bidi w:val="0"/>
        <w:spacing w:before="0" w:after="0"/>
        <w:jc w:val="left"/>
        <w:rPr>
          <w:rFonts w:ascii="Times New Roman" w:hAnsi="Times New Roman"/>
          <w:sz w:val="20"/>
        </w:rPr>
      </w:pPr>
      <w:r>
        <w:rPr>
          <w:rFonts w:ascii="Times New Roman" w:hAnsi="Times New Roman"/>
          <w:sz w:val="20"/>
        </w:rPr>
        <w:t xml:space="preserve">proceeds of long-term Indebtedness of Bidco or the Restricted Subsidiaries (other than the Revolving Loans)) is less than the Contract Consideration and Planned Expenditures, the amount of such shortfall shall be added to the calculation of Excess Cash Flow at the end of such subsequent period; </w:t>
      </w:r>
    </w:p>
    <w:p>
      <w:pPr>
        <w:pStyle w:val="TextBody"/>
        <w:bidi w:val="0"/>
        <w:spacing w:before="120" w:after="0"/>
        <w:jc w:val="left"/>
        <w:rPr>
          <w:rFonts w:ascii="Times New Roman" w:hAnsi="Times New Roman"/>
          <w:sz w:val="20"/>
        </w:rPr>
      </w:pPr>
      <w:r>
        <w:rPr>
          <w:rFonts w:ascii="Times New Roman" w:hAnsi="Times New Roman"/>
          <w:sz w:val="20"/>
        </w:rPr>
        <w:t xml:space="preserve">(xiii) the amount of cash payments made in such period to the extent they exceed the amount of rent payments deducted in determining Consolidated Net Income for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(xiv) the amount of taxes (including penalties and interest) paid in cash and/or tax reserves set aside or payable (without duplication) in such period to the extent they exceed the amount of tax expense deducted in determining Consolidated Net Income for such period.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from time to time. </w:t>
      </w:r>
    </w:p>
    <w:p>
      <w:pPr>
        <w:pStyle w:val="TextBody"/>
        <w:bidi w:val="0"/>
        <w:spacing w:before="240" w:after="0"/>
        <w:jc w:val="left"/>
        <w:rPr/>
      </w:pPr>
      <w:r>
        <w:rPr/>
        <w:t>“</w:t>
      </w:r>
      <w:r>
        <w:rPr>
          <w:rFonts w:ascii="Times New Roman" w:hAnsi="Times New Roman"/>
          <w:sz w:val="20"/>
          <w:u w:val="single"/>
        </w:rPr>
        <w:t>Excluded Affiliates</w:t>
      </w:r>
      <w:r>
        <w:rPr>
          <w:rFonts w:ascii="Times New Roman" w:hAnsi="Times New Roman"/>
          <w:sz w:val="20"/>
        </w:rPr>
        <w:t xml:space="preserve">” means (a) Affiliates of the Joint Lead Arrangers that are engaged as principals primarily in private equity, mezzanine financing or venture capital and (b) employees of the Joint Lead Arrangers engaged directly or indirectly in the sale of the Company as representatives of the Company (other than, in each case, such Persons engaged by Bidco or its Affiliates as part of the Transactions and such senior employees who are required, in accordance with industry regulations or such Joint Lead Arranger’s (or its Affiliate’s) internal policies and procedures, to act in a supervisory capacity and such Joint Lead Arranger’s internal legal, compliance, risk management, credit or investment committee members). </w:t>
      </w:r>
    </w:p>
    <w:p>
      <w:pPr>
        <w:pStyle w:val="TextBody"/>
        <w:bidi w:val="0"/>
        <w:spacing w:before="240" w:after="0"/>
        <w:jc w:val="left"/>
        <w:rPr/>
      </w:pPr>
      <w:r>
        <w:rPr/>
        <w:t>“</w:t>
      </w:r>
      <w:r>
        <w:rPr>
          <w:rFonts w:ascii="Times New Roman" w:hAnsi="Times New Roman"/>
          <w:sz w:val="20"/>
          <w:u w:val="single"/>
        </w:rPr>
        <w:t>Excluded Assets</w:t>
      </w:r>
      <w:r>
        <w:rPr>
          <w:rFonts w:ascii="Times New Roman" w:hAnsi="Times New Roman"/>
          <w:sz w:val="20"/>
        </w:rPr>
        <w:t xml:space="preserve">” means (a) in relation to a U.S. Loan Party, “Excluded Assets” as defined in the Collateral Agreement, (b) in relation to the relevant Loan Party, any other excluded assets defined or described in any other Security Documents, as reasonably agreed between the Administrative Agent and Bidco and (c) in relation to a Non-U.S. Loan Party, any assets of, held by or relating to, such Non-U.S. Loan Party, which, in each case, do not fall within the assets expressly contemplated under the definition of Overriding Principle (as defined in the Agreed Security Principles) or are otherwise excluded in accordance with the Agreed Security Principles. Notwithstanding anything to the contrary herein (but subject to the Agreed Security Principles in the case of any Non-U.S. Loan Party), the Collateral shall include all Satellite Collateral; </w:t>
      </w:r>
      <w:r>
        <w:rPr>
          <w:rFonts w:ascii="Times New Roman" w:hAnsi="Times New Roman"/>
          <w:sz w:val="20"/>
          <w:u w:val="single"/>
        </w:rPr>
        <w:t>provided</w:t>
      </w:r>
      <w:r>
        <w:rPr>
          <w:rFonts w:ascii="Times New Roman" w:hAnsi="Times New Roman"/>
          <w:sz w:val="20"/>
        </w:rPr>
        <w:t xml:space="preserve"> that the Collateral shall not include (and Excluded Assets shall include) any Satellite Collateral to the extent granting a security therein is contractually or legally prohibited, prevented by public policy or national security concern or requires governmental (including regulatory) consent, approval, license or authorization from any Governmental Authority. </w:t>
      </w:r>
    </w:p>
    <w:p>
      <w:pPr>
        <w:pStyle w:val="TextBody"/>
        <w:bidi w:val="0"/>
        <w:spacing w:before="240" w:after="0"/>
        <w:jc w:val="left"/>
        <w:rPr/>
      </w:pPr>
      <w:r>
        <w:rPr/>
        <w:t>“</w:t>
      </w:r>
      <w:r>
        <w:rPr>
          <w:rFonts w:ascii="Times New Roman" w:hAnsi="Times New Roman"/>
          <w:sz w:val="20"/>
          <w:u w:val="single"/>
        </w:rPr>
        <w:t>Excluded Contribution</w:t>
      </w:r>
      <w:r>
        <w:rPr>
          <w:rFonts w:ascii="Times New Roman" w:hAnsi="Times New Roman"/>
          <w:sz w:val="20"/>
        </w:rPr>
        <w:t xml:space="preserve">” means net cash proceeds, marketable securities or Qualified Proceeds received by Bidco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and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of Bidco or to any management equity plan or stock option plan or any other management or employee benefit plan or agreement of Bidco) of Equity Interests (other than Disqualified Equity Interests and Designated Preferred Stock) of Bidco,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TextBody"/>
        <w:bidi w:val="0"/>
        <w:spacing w:before="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by the principal financial officer of Bidco on the date such capital contributions are made or the date such Equity Interests are sold, as the case may be, which are excluded from the calculation set forth in clause (A) of </w:t>
      </w:r>
      <w:r>
        <w:rPr>
          <w:rFonts w:ascii="Times New Roman" w:hAnsi="Times New Roman"/>
          <w:sz w:val="20"/>
          <w:u w:val="single"/>
        </w:rPr>
        <w:t>Section 6.05(a)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has the meaning assigned to such term in </w:t>
      </w:r>
      <w:r>
        <w:rPr>
          <w:rFonts w:ascii="Times New Roman" w:hAnsi="Times New Roman"/>
          <w:sz w:val="20"/>
          <w:u w:val="single"/>
        </w:rPr>
        <w:t>Section 2.10(a)(ii)(A)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Jurisdiction</w:t>
      </w:r>
      <w:r>
        <w:rPr>
          <w:rFonts w:ascii="Times New Roman" w:hAnsi="Times New Roman"/>
          <w:sz w:val="20"/>
        </w:rPr>
        <w:t xml:space="preserve">” means each of Bosnia, Brazil, China, Columbia, Ecuador, Egypt, India, Indonesia, Japan, Macedonia, Panama, Peru, Qatar, Romania, Russia, Serbia, Saudi Arabia, South Africa, the United Arab Emirates and Vietnam.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means (i) with reference to any Domestic Subsidiary, (a) any Subsidiary that is a Non-Wholly Owned Subsidiary, including any joint ventures, (b) each Subsidiary listed on </w:t>
      </w:r>
      <w:r>
        <w:rPr>
          <w:rFonts w:ascii="Times New Roman" w:hAnsi="Times New Roman"/>
          <w:sz w:val="20"/>
          <w:u w:val="single"/>
        </w:rPr>
        <w:t>Schedule 1.01(b)</w:t>
      </w:r>
      <w:r>
        <w:rPr>
          <w:rFonts w:ascii="Times New Roman" w:hAnsi="Times New Roman"/>
          <w:sz w:val="20"/>
        </w:rPr>
        <w:t xml:space="preserve">, (c) any Subsidiary for which the Guarantee of or the grant of Liens to secure the Secured Obligations (i) is prohibited by any applicable contractual obligation existing on the Effective Date or on the date any such Subsidiary is acquired or organized or ceases to be an Excluded Subsidiary pursuant to any other clause of this definition (as long as such prohibition was not entered into in contemplation of such transaction) or (ii) is prohibited by any Requirement of Law or requires governmental consent, approval, license or authorization (unless such consent, approval, license or authorization has been obtained), (d) any Immaterial Subsidiary, (e)(i) any direct or indirect Subsidiary that is (or that is a direct or indirect Subsidiary of) a CFC that is a Subsidiary of a Domestic Subsidiary, (ii) any Domestic Foreign Holdco and (iii) any Subsidiary whose provision of a Guarantee would result in a material adverse Tax consequence to Bidco or any Borrower (or, if applicable, the common parent of Bidco’s consolidated group for applicable income Tax purposes) and its Subsidiaries as reasonably determined by Bidco in consultation with the Administrative Agent, (f) each Unrestricted Subsidiary, (g) any Subsidiary that is (or, if it were a Loan Party, would be) an “investment company” under the Investment Company Act of 1940, as amended, (h) any not-for profit Subsidiaries, captive insurance companies, captive risk retention subsidiaries, special purpose securitization vehicle (including any Receivables Subsidiary) or other special purpose subsidiaries, or any broker dealer or trust companies, (i) [reserved], (j) any Restricted Subsidiary acquired pursuant to a Permitted Acquisition (or other Investment not prohibited by this Agreement) that is financed with Indebtedness permitted under </w:t>
      </w:r>
      <w:r>
        <w:rPr>
          <w:rFonts w:ascii="Times New Roman" w:hAnsi="Times New Roman"/>
          <w:sz w:val="20"/>
          <w:u w:val="single"/>
        </w:rPr>
        <w:t>Section 6.01</w:t>
      </w:r>
      <w:r>
        <w:rPr>
          <w:rFonts w:ascii="Times New Roman" w:hAnsi="Times New Roman"/>
          <w:sz w:val="20"/>
        </w:rPr>
        <w:t xml:space="preserve"> hereof as assumed Indebtedness and any Restricted Subsidiary thereof that Guarantees such Indebtedness, in each case to the extent such Indebtedness prohibits such Restricted Subsidiary from becoming a Guarantor, (k) any Subsidiary whose capital requirements are subject to regulation by a Governmental Authority in respect of which the guaranteeing by such Subsidiary of the Loan Document Obligations would, as reasonably determined by Bidco, result in adverse regulatory consequences to such Subsidiary or impair the conduct of the business of such Subsidiary and any Subsidiary of such Subsidiary and (l) [reserved], (ii) with reference to any Foreign Subsidiary, any Foreign Subsidiary excluded pursuant to the Agreed Security Principles, and (iii) any other Subsidiary with respect to which, in the reasonable judgment of Bidco and the Administrative Agent, the cost, burden, difficulty or other consequences (including any adverse Tax consequences) of providing a Guarantee of the Secured Obligations shall be excessive in view of the benefits to be obtained by the Secured Parties therefrom; </w:t>
      </w:r>
      <w:r>
        <w:rPr>
          <w:rFonts w:ascii="Times New Roman" w:hAnsi="Times New Roman"/>
          <w:sz w:val="20"/>
          <w:u w:val="single"/>
        </w:rPr>
        <w:t>provided</w:t>
      </w:r>
      <w:r>
        <w:rPr>
          <w:rFonts w:ascii="Times New Roman" w:hAnsi="Times New Roman"/>
          <w:sz w:val="20"/>
        </w:rPr>
        <w:t xml:space="preserve"> that upon notice to the Administrative Agent, Bidco may at any time and in its sole discretion, deem that any Subsidiary shall not be an Excluded Subsidiary for purposes of this Agreement and the other Loan Documents.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Guarantor at any time, any Secured Swap Obligation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Secured Swap Obligation (or any guarantee thereof) is or becomes illegal under the Commodity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TextBody"/>
        <w:bidi w:val="0"/>
        <w:spacing w:before="0" w:after="0"/>
        <w:jc w:val="left"/>
        <w:rPr>
          <w:rFonts w:ascii="Times New Roman" w:hAnsi="Times New Roman"/>
          <w:sz w:val="20"/>
        </w:rPr>
      </w:pPr>
      <w:r>
        <w:rPr>
          <w:rFonts w:ascii="Times New Roman" w:hAnsi="Times New Roman"/>
          <w:sz w:val="20"/>
        </w:rPr>
        <w:t xml:space="preserve">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with respect to the Administrative Agent, any Lender, any Issuing Bank or any other recipient of any payment to be made by or on account of any obligation of any Loan Party hereunder or under any other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(ii) as a result of any other present or former connection between such recipient and the jurisdiction imposing such Tax (other than a connection arising solely from such recipient having executed, delivered, become a party to, performed its obligations or received payments under, received or perfected a security interest under or enforced any Loan Documents or engaged in any other transaction pursuant to any Loan Document, or having sold or assigned an interest in any Loan Documents), (b) any branch profits tax imposed under Section 884(a) of the Code, or any similar Tax, imposed by any jurisdiction described in clause (a) above, (c) any Tax imposed pursuant to FATCA, (d) any withholding Tax that is attributable to a Lender’s failure to comply with </w:t>
      </w:r>
      <w:r>
        <w:rPr>
          <w:rFonts w:ascii="Times New Roman" w:hAnsi="Times New Roman"/>
          <w:sz w:val="20"/>
          <w:u w:val="single"/>
        </w:rPr>
        <w:t>Section 2.16(e)</w:t>
      </w:r>
      <w:r>
        <w:rPr>
          <w:rFonts w:ascii="Times New Roman" w:hAnsi="Times New Roman"/>
          <w:sz w:val="20"/>
        </w:rPr>
        <w:t xml:space="preserve"> and (e) except in the case of an assignee pursuant to a request by Bidco under</w:t>
      </w:r>
      <w:r>
        <w:rPr>
          <w:rFonts w:ascii="Times New Roman" w:hAnsi="Times New Roman"/>
          <w:sz w:val="20"/>
          <w:u w:val="single"/>
        </w:rPr>
        <w:t xml:space="preserve"> Section 2.18</w:t>
      </w:r>
      <w:r>
        <w:rPr>
          <w:rFonts w:ascii="Times New Roman" w:hAnsi="Times New Roman"/>
          <w:sz w:val="20"/>
        </w:rPr>
        <w:t xml:space="preserve"> hereto, any withholding Taxes that are imposed by a Borrower Tax Jurisdiction on amounts payable by that Borrower to a Lender or on amounts payable by a Guarantor to a Lender in respect of amounts payable to the Lender by that Borrower and which arise pursuant to any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w:t>
      </w:r>
      <w:r>
        <w:rPr>
          <w:rFonts w:ascii="Times New Roman" w:hAnsi="Times New Roman"/>
          <w:sz w:val="20"/>
          <w:u w:val="single"/>
        </w:rPr>
        <w:t xml:space="preserve"> Section 2.16(a)</w:t>
      </w:r>
      <w:r>
        <w:rPr>
          <w:rFonts w:ascii="Times New Roman" w:hAnsi="Times New Roman"/>
          <w:sz w:val="20"/>
        </w:rPr>
        <w:t xml:space="preserve">. For the purposes of clause (e) of this definition of Excluded Taxes, withholding tax imposed on amounts payable to or for the account of a Lender with respect to an interest in a Loan or Commitment as a result of, or in connection with, (i) any change that occurs pursuant to, or in connection with the adoption, ratification, approval or acceptance of, the MLI in or by any jurisdiction; or (ii) any change arising in consequence of, or in connection with, the United Kingdom ceasing to be a member state of the European Union, shall be considered in effect at the time the relevant Lender becomes a party to this Agreement.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shall mean each of the letters of credit described on Schedule 1.01(c) hereto. </w:t>
      </w:r>
    </w:p>
    <w:p>
      <w:pPr>
        <w:pStyle w:val="TextBody"/>
        <w:bidi w:val="0"/>
        <w:spacing w:before="240" w:after="0"/>
        <w:jc w:val="left"/>
        <w:rPr/>
      </w:pPr>
      <w:r>
        <w:rPr/>
        <w:t>“</w:t>
      </w:r>
      <w:r>
        <w:rPr>
          <w:rFonts w:ascii="Times New Roman" w:hAnsi="Times New Roman"/>
          <w:sz w:val="20"/>
          <w:u w:val="single"/>
        </w:rPr>
        <w:t>Existing Revolving Facility Agreement</w:t>
      </w:r>
      <w:r>
        <w:rPr>
          <w:rFonts w:ascii="Times New Roman" w:hAnsi="Times New Roman"/>
          <w:sz w:val="20"/>
        </w:rPr>
        <w:t xml:space="preserve">” means the $750,200,000 multicurrency revolving credit facility agreement originally dated June 30, 2011 (as amended, restated, amended and restated, supplemented or otherwise modified from time to time) between, amongst others, Inmarsat Investments Limited as company and National Westminster Bank Plc as agent and security agent.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or “</w:t>
      </w:r>
      <w:r>
        <w:rPr>
          <w:rFonts w:ascii="Times New Roman" w:hAnsi="Times New Roman"/>
          <w:sz w:val="20"/>
          <w:u w:val="single"/>
        </w:rPr>
        <w:t>fair market value</w:t>
      </w:r>
      <w:r>
        <w:rPr>
          <w:rFonts w:ascii="Times New Roman" w:hAnsi="Times New Roman"/>
          <w:sz w:val="20"/>
        </w:rPr>
        <w:t xml:space="preserv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as reasonably determined by Bidco in good faith (which determination shall be conclusive).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TextBody"/>
        <w:bidi w:val="0"/>
        <w:spacing w:before="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thereto), any current or future United States Department of Treasury regulations thereunder or other official administrative interpretations thereof, any agreements entered into pursuant to current Section 1471(b)(1) of the Code as of the date of this Agreement (or any amended or successor version described above) and any intergovernmental agreements implementing the foregoing.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the third amended and restated fee letter dated as of October 7,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corporate controller of Holdings, Bidco or a Restricted Subsidiary, as applicable. </w:t>
      </w:r>
    </w:p>
    <w:p>
      <w:pPr>
        <w:pStyle w:val="TextBody"/>
        <w:bidi w:val="0"/>
        <w:spacing w:before="240" w:after="0"/>
        <w:jc w:val="left"/>
        <w:rPr/>
      </w:pPr>
      <w:r>
        <w:rPr/>
        <w:t>“</w:t>
      </w:r>
      <w:r>
        <w:rPr>
          <w:rFonts w:ascii="Times New Roman" w:hAnsi="Times New Roman"/>
          <w:sz w:val="20"/>
          <w:u w:val="single"/>
        </w:rPr>
        <w:t>Financial Performance Covenant</w:t>
      </w:r>
      <w:r>
        <w:rPr>
          <w:rFonts w:ascii="Times New Roman" w:hAnsi="Times New Roman"/>
          <w:sz w:val="20"/>
        </w:rPr>
        <w:t xml:space="preserve">” means the covenant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 Transactions</w:t>
      </w:r>
      <w:r>
        <w:rPr>
          <w:rFonts w:ascii="Times New Roman" w:hAnsi="Times New Roman"/>
          <w:sz w:val="20"/>
        </w:rPr>
        <w:t xml:space="preserve">” means (a) the execution, delivery and performance by each </w:t>
      </w:r>
    </w:p>
    <w:p>
      <w:pPr>
        <w:pStyle w:val="TextBody"/>
        <w:bidi w:val="0"/>
        <w:spacing w:before="0" w:after="0"/>
        <w:jc w:val="left"/>
        <w:rPr>
          <w:rFonts w:ascii="Times New Roman" w:hAnsi="Times New Roman"/>
          <w:sz w:val="20"/>
        </w:rPr>
      </w:pPr>
      <w:r>
        <w:rPr>
          <w:rFonts w:ascii="Times New Roman" w:hAnsi="Times New Roman"/>
          <w:sz w:val="20"/>
        </w:rPr>
        <w:t xml:space="preserve">Loan Party of the Loan Documents to which it is to be a party, (b) the borrowing of Loans hereunder and the use of the proceeds thereof and (c) the issuance, amendment or extension of Letters of Credit hereunder and the use of proceeds thereof. </w:t>
      </w:r>
    </w:p>
    <w:p>
      <w:pPr>
        <w:pStyle w:val="TextBody"/>
        <w:bidi w:val="0"/>
        <w:spacing w:before="240" w:after="0"/>
        <w:jc w:val="left"/>
        <w:rPr/>
      </w:pPr>
      <w:r>
        <w:rPr/>
        <w:t>“</w:t>
      </w:r>
      <w:r>
        <w:rPr>
          <w:rFonts w:ascii="Times New Roman" w:hAnsi="Times New Roman"/>
          <w:sz w:val="20"/>
          <w:u w:val="single"/>
        </w:rPr>
        <w:t>Finco 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and any successor to its rating agency business. </w:t>
      </w:r>
    </w:p>
    <w:p>
      <w:pPr>
        <w:pStyle w:val="TextBody"/>
        <w:bidi w:val="0"/>
        <w:spacing w:before="240" w:after="0"/>
        <w:jc w:val="left"/>
        <w:rPr/>
      </w:pPr>
      <w:r>
        <w:rPr/>
        <w:t>“</w:t>
      </w:r>
      <w:r>
        <w:rPr>
          <w:rFonts w:ascii="Times New Roman" w:hAnsi="Times New Roman"/>
          <w:sz w:val="20"/>
          <w:u w:val="single"/>
        </w:rPr>
        <w:t>Fixed Amounts</w:t>
      </w:r>
      <w:r>
        <w:rPr>
          <w:rFonts w:ascii="Times New Roman" w:hAnsi="Times New Roman"/>
          <w:sz w:val="20"/>
        </w:rPr>
        <w:t xml:space="preserve">” has the meaning assigned to such term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Fixed Charges</w:t>
      </w:r>
      <w:r>
        <w:rPr>
          <w:rFonts w:ascii="Times New Roman" w:hAnsi="Times New Roman"/>
          <w:sz w:val="20"/>
        </w:rPr>
        <w:t xml:space="preserve">” means, with respect to any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(2) all cash dividends or other distributions paid (excluding items eliminated in consolidation) on any series of Preferred Stock of any Restricted Subsidiary during such period;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p>
    <w:p>
      <w:pPr>
        <w:pStyle w:val="TextBody"/>
        <w:bidi w:val="0"/>
        <w:spacing w:before="0" w:after="0"/>
        <w:jc w:val="left"/>
        <w:rPr>
          <w:rFonts w:ascii="Times New Roman" w:hAnsi="Times New Roman"/>
          <w:sz w:val="20"/>
        </w:rPr>
      </w:pPr>
      <w:r>
        <w:rPr>
          <w:rFonts w:ascii="Times New Roman" w:hAnsi="Times New Roman"/>
          <w:sz w:val="20"/>
        </w:rPr>
        <w:t xml:space="preserve">(3) all cash dividends or other distributions paid (excluding items eliminated in consolidation) on any series of Disqualified Equity Interests during such period.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 Lender that is not a United States Person (as defined in Section 7701(a)(30) of the Code). </w:t>
      </w:r>
    </w:p>
    <w:p>
      <w:pPr>
        <w:pStyle w:val="TextBody"/>
        <w:bidi w:val="0"/>
        <w:spacing w:before="240" w:after="0"/>
        <w:jc w:val="left"/>
        <w:rPr/>
      </w:pPr>
      <w:r>
        <w:rPr/>
        <w:t>“</w:t>
      </w:r>
      <w:r>
        <w:rPr>
          <w:rFonts w:ascii="Times New Roman" w:hAnsi="Times New Roman"/>
          <w:sz w:val="20"/>
          <w:u w:val="single"/>
        </w:rPr>
        <w:t>Foreign Prepayment Event</w:t>
      </w:r>
      <w:r>
        <w:rPr>
          <w:rFonts w:ascii="Times New Roman" w:hAnsi="Times New Roman"/>
          <w:sz w:val="20"/>
        </w:rPr>
        <w:t xml:space="preserve">” has the meaning assigned to such term in </w:t>
      </w:r>
      <w:r>
        <w:rPr>
          <w:rFonts w:ascii="Times New Roman" w:hAnsi="Times New Roman"/>
          <w:sz w:val="20"/>
          <w:u w:val="single"/>
        </w:rPr>
        <w:t>Section 2.10(g)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any Subsidiary that is organized under the laws of a jurisdiction other than the United States, any state thereof or the District of Columbia. </w:t>
      </w:r>
    </w:p>
    <w:p>
      <w:pPr>
        <w:pStyle w:val="TextBody"/>
        <w:bidi w:val="0"/>
        <w:spacing w:before="240" w:after="0"/>
        <w:jc w:val="left"/>
        <w:rPr/>
      </w:pPr>
      <w:r>
        <w:rPr/>
        <w:t>“</w:t>
      </w:r>
      <w:r>
        <w:rPr>
          <w:rFonts w:ascii="Times New Roman" w:hAnsi="Times New Roman"/>
          <w:sz w:val="20"/>
          <w:u w:val="single"/>
        </w:rPr>
        <w:t>Form Intercreditor Agreements</w:t>
      </w:r>
      <w:r>
        <w:rPr>
          <w:rFonts w:ascii="Times New Roman" w:hAnsi="Times New Roman"/>
          <w:sz w:val="20"/>
        </w:rPr>
        <w:t xml:space="preserve">” means (a) an intercreditor agreement substantially in the form of the Pari Passu Intercreditor Agreement and/or (b) an intercreditor agreement substantially in the form of the Second Lien Intercreditor Agreement, as applicable. </w:t>
      </w:r>
    </w:p>
    <w:p>
      <w:pPr>
        <w:pStyle w:val="TextBody"/>
        <w:bidi w:val="0"/>
        <w:spacing w:before="240" w:after="0"/>
        <w:jc w:val="left"/>
        <w:rPr/>
      </w:pPr>
      <w:r>
        <w:rPr/>
        <w:t>“</w:t>
      </w:r>
      <w:r>
        <w:rPr>
          <w:rFonts w:ascii="Times New Roman" w:hAnsi="Times New Roman"/>
          <w:sz w:val="20"/>
          <w:u w:val="single"/>
        </w:rPr>
        <w:t>Funded Debt</w:t>
      </w:r>
      <w:r>
        <w:rPr>
          <w:rFonts w:ascii="Times New Roman" w:hAnsi="Times New Roman"/>
          <w:sz w:val="20"/>
        </w:rPr>
        <w:t xml:space="preserve">” means all Indebtedness of Bidco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as in effect from time to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Bidco notifies the Administrative Agent that Bidco requests an amendment to any provision hereof to eliminate the effect of any change occurring after the Effective Date in GAAP or in the application thereof on the operation of such provision (or if the Administrative Agent notifies Bidco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(b) the amount of any Indebtedness under GAAP with respect to Capitalized Lease Obligations shall be determined providing that all obligations of any Person that are or would have been characterized as an operating lease as determined in accordance with GAAP as in effect prior to February 25, 2016 (whether or not such operating lease was in effect on such date) shall continue to be accounted for as an operating lease (and not as a Capitalized Lease or Capitalized Lease Obligation) for purposes of this Agreement regardless of any change in GAAP following such date that would otherwise require such obligation to be recharacterized as a Capitalized Lease Obligation, to the extent that financial reporting shall not be affected hereby and (c) at Bidco’s sole election from time to time, any adverse impact directly or indirectly relating to or resulting from the implementation of FASB Accounting Standards Codification 606-Revenue From Contracts With Customers and any successor standard thereto (or any equivalent measure under IFRS) shall be disregarded with respect to all ratios, calculations and determinations based upon GAAP to be calculated or made, as the case may be, pursuant to this Agreement. </w:t>
      </w:r>
    </w:p>
    <w:p>
      <w:pPr>
        <w:pStyle w:val="TextBody"/>
        <w:bidi w:val="0"/>
        <w:spacing w:before="240" w:after="0"/>
        <w:jc w:val="left"/>
        <w:rPr/>
      </w:pPr>
      <w:r>
        <w:rPr/>
        <w:t>“</w:t>
      </w:r>
      <w:r>
        <w:rPr>
          <w:rFonts w:ascii="Times New Roman" w:hAnsi="Times New Roman"/>
          <w:sz w:val="20"/>
          <w:u w:val="single"/>
        </w:rPr>
        <w:t>General Debt Basket Reallocated Amount</w:t>
      </w:r>
      <w:r>
        <w:rPr>
          <w:rFonts w:ascii="Times New Roman" w:hAnsi="Times New Roman"/>
          <w:sz w:val="20"/>
        </w:rPr>
        <w:t xml:space="preserve">” means any amount that, at the option of Holdings, Bidco or a Borrower, has been reallocated from </w:t>
      </w:r>
      <w:r>
        <w:rPr>
          <w:rFonts w:ascii="Times New Roman" w:hAnsi="Times New Roman"/>
          <w:sz w:val="20"/>
          <w:u w:val="single"/>
        </w:rPr>
        <w:t>Section 6.01(b)(xi)(b)(x)</w:t>
      </w:r>
      <w:r>
        <w:rPr>
          <w:rFonts w:ascii="Times New Roman" w:hAnsi="Times New Roman"/>
          <w:sz w:val="20"/>
        </w:rPr>
        <w:t xml:space="preserve"> to clause (I)(a)(ii) of the “Incremental Cap,” which shall be deemed to be a utilization of the basket set forth in</w:t>
      </w:r>
      <w:r>
        <w:rPr>
          <w:rFonts w:ascii="Times New Roman" w:hAnsi="Times New Roman"/>
          <w:sz w:val="20"/>
          <w:u w:val="single"/>
        </w:rPr>
        <w:t xml:space="preserve"> Section 6.01(b)(xi)(b)(x)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left"/>
        <w:rPr/>
      </w:pPr>
      <w:r>
        <w:rPr/>
        <w:t>“</w:t>
      </w:r>
      <w:r>
        <w:rPr>
          <w:rFonts w:ascii="Times New Roman" w:hAnsi="Times New Roman"/>
          <w:sz w:val="20"/>
          <w:u w:val="single"/>
        </w:rPr>
        <w:t>Governmental Approvals</w:t>
      </w:r>
      <w:r>
        <w:rPr>
          <w:rFonts w:ascii="Times New Roman" w:hAnsi="Times New Roman"/>
          <w:sz w:val="20"/>
        </w:rPr>
        <w:t xml:space="preserve">” means all authorizations, consents, approvals, permits, licenses and exemptions of, registrations and filings with, and reports to, Governmental Authorities.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means Bidco and its Restricted Subsidiaries from time to time.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 </w:t>
      </w:r>
    </w:p>
    <w:p>
      <w:pPr>
        <w:pStyle w:val="TextBody"/>
        <w:bidi w:val="0"/>
        <w:spacing w:before="240" w:after="0"/>
        <w:jc w:val="left"/>
        <w:rPr/>
      </w:pPr>
      <w:r>
        <w:rPr/>
        <w:t>“</w:t>
      </w:r>
      <w:r>
        <w:rPr>
          <w:rFonts w:ascii="Times New Roman" w:hAnsi="Times New Roman"/>
          <w:sz w:val="20"/>
          <w:u w:val="single"/>
        </w:rPr>
        <w:t>Guarantee Agreement</w:t>
      </w:r>
      <w:r>
        <w:rPr>
          <w:rFonts w:ascii="Times New Roman" w:hAnsi="Times New Roman"/>
          <w:sz w:val="20"/>
        </w:rPr>
        <w:t xml:space="preserve">” means the Guarantee Agreement among the Loan Parties and the Collateral Agent, substantially in the form of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Guarantee Limitations</w:t>
      </w:r>
      <w:r>
        <w:rPr>
          <w:rFonts w:ascii="Times New Roman" w:hAnsi="Times New Roman"/>
          <w:sz w:val="20"/>
        </w:rPr>
        <w:t xml:space="preserve">” has the meaning specified in the Guarantee Agreement, as may be supplemented from time to time in accordance with the terms thereof. </w:t>
      </w:r>
    </w:p>
    <w:p>
      <w:pPr>
        <w:pStyle w:val="TextBody"/>
        <w:bidi w:val="0"/>
        <w:spacing w:before="240" w:after="0"/>
        <w:jc w:val="left"/>
        <w:rPr/>
      </w:pPr>
      <w:r>
        <w:rPr/>
        <w:t>“</w:t>
      </w:r>
      <w:r>
        <w:rPr>
          <w:rFonts w:ascii="Times New Roman" w:hAnsi="Times New Roman"/>
          <w:sz w:val="20"/>
          <w:u w:val="single"/>
        </w:rPr>
        <w:t>Guarantor Coverage Material Subsidiary</w:t>
      </w:r>
      <w:r>
        <w:rPr>
          <w:rFonts w:ascii="Times New Roman" w:hAnsi="Times New Roman"/>
          <w:sz w:val="20"/>
        </w:rPr>
        <w:t xml:space="preserve">” means the Finco Borrower, (following the Acquisition) the Company and, at any time, each Non-U.S. Restricted Subsidiary that has earnings before interest, tax, depreciation and amortization (calculated (I) on an unconsolidated basis, (II) by excluding goodwill, intra-Group items and investments in Subsidiaries (in each case to the extent applicable) and (III) otherwise on the same basis as Consolidated EBITDA) representing 5% or more of Consolidated EBITDA of Bidco and its Restricted Subsidiaries, </w:t>
      </w:r>
      <w:r>
        <w:rPr>
          <w:rFonts w:ascii="Times New Roman" w:hAnsi="Times New Roman"/>
          <w:sz w:val="20"/>
          <w:u w:val="single"/>
        </w:rPr>
        <w:t>provided that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calculation shall be determined by reference to the most recent Compliance Certificate required to be delivered by Bidco in respect of the latest financial statements delivered under </w:t>
      </w:r>
      <w:r>
        <w:rPr>
          <w:rFonts w:ascii="Times New Roman" w:hAnsi="Times New Roman"/>
          <w:sz w:val="20"/>
          <w:u w:val="single"/>
        </w:rPr>
        <w:t>Section 5.01(a)</w:t>
      </w:r>
      <w:r>
        <w:rPr>
          <w:rFonts w:ascii="Times New Roman" w:hAnsi="Times New Roman"/>
          <w:sz w:val="20"/>
        </w:rPr>
        <w:t xml:space="preserv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TextBody"/>
        <w:bidi w:val="0"/>
        <w:spacing w:before="0" w:after="0"/>
        <w:jc w:val="left"/>
        <w:rPr>
          <w:rFonts w:ascii="Times New Roman" w:hAnsi="Times New Roman"/>
          <w:sz w:val="20"/>
        </w:rPr>
      </w:pPr>
      <w:r>
        <w:rPr>
          <w:rFonts w:ascii="Times New Roman" w:hAnsi="Times New Roman"/>
          <w:sz w:val="20"/>
        </w:rPr>
        <w:t xml:space="preserve">(b) any entity having negative earnings before interest, tax, depreciation and amortization shall be deemed to have zero earnings before interest, tax, depreciation and amortization; and </w:t>
      </w:r>
    </w:p>
    <w:p>
      <w:pPr>
        <w:pStyle w:val="TextBody"/>
        <w:bidi w:val="0"/>
        <w:spacing w:before="240" w:after="0"/>
        <w:jc w:val="left"/>
        <w:rPr>
          <w:rFonts w:ascii="Times New Roman" w:hAnsi="Times New Roman"/>
          <w:sz w:val="20"/>
        </w:rPr>
      </w:pPr>
      <w:r>
        <w:rPr>
          <w:rFonts w:ascii="Times New Roman" w:hAnsi="Times New Roman"/>
          <w:sz w:val="20"/>
        </w:rPr>
        <w:t xml:space="preserve">(c) each Restricted Subsidiary that is incorporated in an Excluded Jurisdiction and/or is otherwise not required to (or is unable to) become a Guarantor in accordance with the Agreed Security Principles will not be considered a Guarantor Coverage Material Subsidiary. </w:t>
      </w:r>
    </w:p>
    <w:p>
      <w:pPr>
        <w:pStyle w:val="TextBody"/>
        <w:bidi w:val="0"/>
        <w:spacing w:before="240" w:after="0"/>
        <w:jc w:val="left"/>
        <w:rPr/>
      </w:pPr>
      <w:r>
        <w:rPr/>
        <w:t>“</w:t>
      </w:r>
      <w:r>
        <w:rPr>
          <w:rFonts w:ascii="Times New Roman" w:hAnsi="Times New Roman"/>
          <w:sz w:val="20"/>
          <w:u w:val="single"/>
        </w:rPr>
        <w:t>Guarantor Coverage Test</w:t>
      </w:r>
      <w:r>
        <w:rPr>
          <w:rFonts w:ascii="Times New Roman" w:hAnsi="Times New Roman"/>
          <w:sz w:val="20"/>
        </w:rPr>
        <w:t>” means confirmation that the aggregate (without double counting) earnings before interest, tax, depreciation and amortization (calculated on the same basis as Consolidated EBITDA but taking each entity on an unconsolidated basis and excluding goodwill, all intra Group items and investments in Subsidiaries of any member of the Group) (“</w:t>
      </w:r>
      <w:r>
        <w:rPr>
          <w:rFonts w:ascii="Times New Roman" w:hAnsi="Times New Roman"/>
          <w:sz w:val="20"/>
          <w:u w:val="single"/>
        </w:rPr>
        <w:t>EBITDA</w:t>
      </w:r>
      <w:r>
        <w:rPr>
          <w:rFonts w:ascii="Times New Roman" w:hAnsi="Times New Roman"/>
          <w:sz w:val="20"/>
        </w:rPr>
        <w:t xml:space="preserve">”) of Bidco and its Restricted Subsidiaries that are Guarantors equals or exceeds 80.0% of Consolidated EBITDA of Bidco and its Restricted Subsidiaries; </w:t>
      </w:r>
      <w:r>
        <w:rPr>
          <w:rFonts w:ascii="Times New Roman" w:hAnsi="Times New Roman"/>
          <w:sz w:val="20"/>
          <w:u w:val="single"/>
        </w:rPr>
        <w:t>provided that</w:t>
      </w:r>
      <w:r>
        <w:rPr>
          <w:rFonts w:ascii="Times New Roman" w:hAnsi="Times New Roman"/>
          <w:sz w:val="20"/>
        </w:rPr>
        <w:t xml:space="preserve">, for the purposes of calculating the Guarantor Coverage Test only: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any Guarantor generates negative EBITDA, such Guarantor shall be deemed to have zero EBITDA, for the purpose of calculating the numerator of the Guarantor Coverage Test; and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elected by Bidco, to the extent that any member of the Group (i) is not a Guarantor and (ii) is incorporated in an Excluded Jurisdiction and/or is otherwise not required to (or is unable to) become a Guarantor in accordance with the Agreed Security Principles, then such member of the Group shall be deemed to have zero (0) EBITDA, for the purpose of calculating the denominator of the Guarantor Coverage Test. </w:t>
      </w:r>
    </w:p>
    <w:p>
      <w:pPr>
        <w:pStyle w:val="TextBody"/>
        <w:bidi w:val="0"/>
        <w:spacing w:before="240" w:after="0"/>
        <w:jc w:val="left"/>
        <w:rPr/>
      </w:pPr>
      <w:r>
        <w:rPr/>
        <w:t>“</w:t>
      </w:r>
      <w:r>
        <w:rPr>
          <w:rFonts w:ascii="Times New Roman" w:hAnsi="Times New Roman"/>
          <w:sz w:val="20"/>
          <w:u w:val="single"/>
        </w:rPr>
        <w:t>Guarantors</w:t>
      </w:r>
      <w:r>
        <w:rPr>
          <w:rFonts w:ascii="Times New Roman" w:hAnsi="Times New Roman"/>
          <w:sz w:val="20"/>
        </w:rPr>
        <w:t xml:space="preserve">” means Holdings, Bidco, any Intermediate Parent and the Subsidiary Loan Parties.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radioactive, hazardous or toxic substances, wastes or other pollutants, including petroleum or petroleum by-products or distillates, asbestos or asbestos-containing materials, polychlorinated biphenyls, radon gas, or infectious or medical wastes, in each case in any form regulated pursuant to any Environmental Law. </w:t>
      </w:r>
    </w:p>
    <w:p>
      <w:pPr>
        <w:pStyle w:val="TextBody"/>
        <w:bidi w:val="0"/>
        <w:spacing w:before="240" w:after="0"/>
        <w:jc w:val="left"/>
        <w:rPr/>
      </w:pPr>
      <w:r>
        <w:rPr/>
        <w:t>“</w:t>
      </w:r>
      <w:r>
        <w:rPr>
          <w:rFonts w:ascii="Times New Roman" w:hAnsi="Times New Roman"/>
          <w:sz w:val="20"/>
          <w:u w:val="single"/>
        </w:rPr>
        <w:t>Hedging Obligations</w:t>
      </w:r>
      <w:r>
        <w:rPr>
          <w:rFonts w:ascii="Times New Roman" w:hAnsi="Times New Roman"/>
          <w:sz w:val="20"/>
        </w:rPr>
        <w:t xml:space="preserve">” means, with respect to any Person, the obligations of such Person under any Swap Agreement.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means (a) prior to any IPO, Initial Holdings and (b) upon and after an IPO, (i) if the IPO Entity is Initial Holdings or any Person of which Initial Holdings is a Subsidiary, Initial Holdings or (ii) if the IPO Entity is an Intermediate Parent, the IPO Entity. </w:t>
      </w:r>
    </w:p>
    <w:p>
      <w:pPr>
        <w:pStyle w:val="TextBody"/>
        <w:bidi w:val="0"/>
        <w:spacing w:before="240" w:after="0"/>
        <w:jc w:val="left"/>
        <w:rPr/>
      </w:pPr>
      <w:r>
        <w:rPr/>
        <w:t>“</w:t>
      </w:r>
      <w:r>
        <w:rPr>
          <w:rFonts w:ascii="Times New Roman" w:hAnsi="Times New Roman"/>
          <w:sz w:val="20"/>
          <w:u w:val="single"/>
        </w:rPr>
        <w:t>ICE LIBOR</w:t>
      </w:r>
      <w:r>
        <w:rPr>
          <w:rFonts w:ascii="Times New Roman" w:hAnsi="Times New Roman"/>
          <w:sz w:val="20"/>
        </w:rPr>
        <w:t xml:space="preserve">” has the meaning assigned to such term in the definition of “Alternate Base Rate.” </w:t>
      </w:r>
    </w:p>
    <w:p>
      <w:pPr>
        <w:pStyle w:val="TextBody"/>
        <w:bidi w:val="0"/>
        <w:spacing w:before="240" w:after="0"/>
        <w:jc w:val="left"/>
        <w:rPr/>
      </w:pPr>
      <w:r>
        <w:rPr/>
        <w:t>“</w:t>
      </w:r>
      <w:r>
        <w:rPr>
          <w:rFonts w:ascii="Times New Roman" w:hAnsi="Times New Roman"/>
          <w:sz w:val="20"/>
          <w:u w:val="single"/>
        </w:rPr>
        <w:t>Identified Participating Lenders</w:t>
      </w:r>
      <w:r>
        <w:rPr>
          <w:rFonts w:ascii="Times New Roman" w:hAnsi="Times New Roman"/>
          <w:sz w:val="20"/>
        </w:rPr>
        <w:t xml:space="preserve">” has the meaning assigned to such term in </w:t>
      </w:r>
      <w:r>
        <w:rPr>
          <w:rFonts w:ascii="Times New Roman" w:hAnsi="Times New Roman"/>
          <w:sz w:val="20"/>
          <w:u w:val="single"/>
        </w:rPr>
        <w:t>Section 2.10(a)(ii)(C)(3)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Identified Qualifying Lenders</w:t>
      </w:r>
      <w:r>
        <w:rPr>
          <w:rFonts w:ascii="Times New Roman" w:hAnsi="Times New Roman"/>
          <w:sz w:val="20"/>
        </w:rPr>
        <w:t xml:space="preserve">” has the meaning specified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means the International Financial Reporting Standards of the International Accounting Standards Board as adopted in the European Union;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Bidco notifies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that Bidco requests an amendment to any provision hereof to eliminate the effect of any change occurring after the Effective Date in IFRS or in the application thereof on the operation of such provision (or if the Administrative Agent notifies Bidco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 the amount of any Indebtedness under IFRS with respect to Capitalized Lease Obligations shall be determined in accordance with the definition of Capitalized Lease Obligations and (b) at any time after the Effective Date, Bidco may elect, upon notice to the Administrative Agent, to apply GAAP accounting principles in lieu of IFRS and, upon any such election, references herein to IFRS shall thereafter be construed to mean GAAP (except as otherwise provided herein), including as to the ability of Bidco or the Required Lenders to make an election pursuant to </w:t>
      </w:r>
      <w:r>
        <w:rPr>
          <w:rFonts w:ascii="Times New Roman" w:hAnsi="Times New Roman"/>
          <w:sz w:val="20"/>
          <w:u w:val="single"/>
        </w:rPr>
        <w:t>clause (a)</w:t>
      </w:r>
      <w:r>
        <w:rPr>
          <w:rFonts w:ascii="Times New Roman" w:hAnsi="Times New Roman"/>
          <w:sz w:val="20"/>
        </w:rPr>
        <w:t xml:space="preserve"> above; provided that (x) any election made pursuant to this </w:t>
      </w:r>
      <w:r>
        <w:rPr>
          <w:rFonts w:ascii="Times New Roman" w:hAnsi="Times New Roman"/>
          <w:sz w:val="20"/>
          <w:u w:val="single"/>
        </w:rPr>
        <w:t>clause (b)</w:t>
      </w:r>
      <w:r>
        <w:rPr>
          <w:rFonts w:ascii="Times New Roman" w:hAnsi="Times New Roman"/>
          <w:sz w:val="20"/>
        </w:rPr>
        <w:t xml:space="preserve">, once made, shall be irrevocable, (y) any calculation or determination in this Agreement that requires the application of IFRS for periods that include fiscal quarters ended prior to Bidco’s election to apply GAAP shall remain as previously calculated or determined in accordance with IFRS and (z) Bidco may only make an election pursuant to this </w:t>
      </w:r>
      <w:r>
        <w:rPr>
          <w:rFonts w:ascii="Times New Roman" w:hAnsi="Times New Roman"/>
          <w:sz w:val="20"/>
          <w:u w:val="single"/>
        </w:rPr>
        <w:t>clause (b)</w:t>
      </w:r>
      <w:r>
        <w:rPr>
          <w:rFonts w:ascii="Times New Roman" w:hAnsi="Times New Roman"/>
          <w:sz w:val="20"/>
        </w:rPr>
        <w:t xml:space="preserve"> if it also elects to report any subsequent financial reports required to be made by Bidco, including pursuant to </w:t>
      </w:r>
      <w:r>
        <w:rPr>
          <w:rFonts w:ascii="Times New Roman" w:hAnsi="Times New Roman"/>
          <w:sz w:val="20"/>
          <w:u w:val="single"/>
        </w:rPr>
        <w:t>Section 5.01(a)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GAAP, and (c) at Bidco’s sole election from time to time, any adverse impact directly or indirectly relating to or resulting from the implementation of IFRS 15 and any successor standard thereto (or any equivalent measure under GAAP) shall be disregarded with respect to all ratios, calculations and determinations based upon IFRS to be calculated or made, as the case may be, pursuant to this Agreement.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means any Restricted Subsidiary other than a Material Subsidiary. </w:t>
      </w:r>
    </w:p>
    <w:p>
      <w:pPr>
        <w:pStyle w:val="TextBody"/>
        <w:bidi w:val="0"/>
        <w:spacing w:before="240" w:after="0"/>
        <w:jc w:val="left"/>
        <w:rPr/>
      </w:pPr>
      <w:r>
        <w:rPr/>
        <w:t>“</w:t>
      </w:r>
      <w:r>
        <w:rPr>
          <w:rFonts w:ascii="Times New Roman" w:hAnsi="Times New Roman"/>
          <w:sz w:val="20"/>
          <w:u w:val="single"/>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left"/>
        <w:rPr/>
      </w:pPr>
      <w:r>
        <w:rPr/>
        <w:t>“</w:t>
      </w:r>
      <w:r>
        <w:rPr>
          <w:rFonts w:ascii="Times New Roman" w:hAnsi="Times New Roman"/>
          <w:sz w:val="20"/>
          <w:u w:val="single"/>
        </w:rPr>
        <w:t>Impacted Loans</w:t>
      </w:r>
      <w:r>
        <w:rPr>
          <w:rFonts w:ascii="Times New Roman" w:hAnsi="Times New Roman"/>
          <w:sz w:val="20"/>
        </w:rPr>
        <w:t xml:space="preserve">” has the meaning assigned to such term in </w:t>
      </w:r>
      <w:r>
        <w:rPr>
          <w:rFonts w:ascii="Times New Roman" w:hAnsi="Times New Roman"/>
          <w:sz w:val="20"/>
          <w:u w:val="single"/>
        </w:rPr>
        <w:t>Section 2.13(a)(ii)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Increased Amount</w:t>
      </w:r>
      <w:r>
        <w:rPr>
          <w:rFonts w:ascii="Times New Roman" w:hAnsi="Times New Roman"/>
          <w:sz w:val="20"/>
        </w:rPr>
        <w:t>” shall have the meaning assigned to such term in</w:t>
      </w:r>
      <w:r>
        <w:rPr>
          <w:rFonts w:ascii="Times New Roman" w:hAnsi="Times New Roman"/>
          <w:sz w:val="20"/>
          <w:u w:val="single"/>
        </w:rPr>
        <w:t xml:space="preserve"> Section 6.02(c)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Cap</w:t>
      </w:r>
      <w:r>
        <w:rPr>
          <w:rFonts w:ascii="Times New Roman" w:hAnsi="Times New Roman"/>
          <w:sz w:val="20"/>
        </w:rPr>
        <w:t xml:space="preserve">” means, as of any date of determination, the sum of: </w:t>
      </w:r>
    </w:p>
    <w:p>
      <w:pPr>
        <w:pStyle w:val="TextBody"/>
        <w:bidi w:val="0"/>
        <w:spacing w:before="240" w:after="0"/>
        <w:jc w:val="left"/>
        <w:rPr>
          <w:rFonts w:ascii="Times New Roman" w:hAnsi="Times New Roman"/>
          <w:sz w:val="20"/>
        </w:rPr>
      </w:pPr>
      <w:r>
        <w:rPr>
          <w:rFonts w:ascii="Times New Roman" w:hAnsi="Times New Roman"/>
          <w:sz w:val="20"/>
        </w:rPr>
        <w:t xml:space="preserve">(I) (a) $750,000,000 </w:t>
      </w:r>
      <w:r>
        <w:rPr>
          <w:rFonts w:ascii="Times New Roman" w:hAnsi="Times New Roman"/>
          <w:sz w:val="20"/>
          <w:u w:val="single"/>
        </w:rPr>
        <w:t>plus</w:t>
      </w:r>
      <w:r>
        <w:rPr>
          <w:rFonts w:ascii="Times New Roman" w:hAnsi="Times New Roman"/>
          <w:sz w:val="20"/>
        </w:rPr>
        <w:t xml:space="preserve"> (ii) any General Debt Basket Reallocated Amount; plus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all voluntary prepayments of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(including purchases of the Loans, Incremental Equivalent Debt and/or any other Indebtedness secured by the Collateral on a</w:t>
      </w:r>
      <w:r>
        <w:rPr>
          <w:rFonts w:ascii="Times New Roman" w:hAnsi="Times New Roman"/>
          <w:sz w:val="20"/>
          <w:u w:val="single"/>
        </w:rPr>
        <w:t xml:space="preserve"> pari passu</w:t>
      </w:r>
      <w:r>
        <w:rPr>
          <w:rFonts w:ascii="Times New Roman" w:hAnsi="Times New Roman"/>
          <w:sz w:val="20"/>
        </w:rPr>
        <w:t xml:space="preserve"> basis with, or senior to, the Secured Obligations by Bidco and its Subsidiaries at or below par, in which case the amount of voluntary prepayments of Loans shall be deemed to be the actual face amount the resulting reduction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left"/>
        <w:rPr>
          <w:rFonts w:ascii="Times New Roman" w:hAnsi="Times New Roman"/>
          <w:sz w:val="20"/>
        </w:rPr>
      </w:pPr>
      <w:r>
        <w:rPr>
          <w:rFonts w:ascii="Times New Roman" w:hAnsi="Times New Roman"/>
          <w:sz w:val="20"/>
        </w:rPr>
        <w:t xml:space="preserve">Indebtedness of such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and the amount paid in cash in respect of any reduction in the outstanding amount of any loan resulting from the application of any “yank-a-bank” provisions) (and in the case of any revolving loans, a corresponding commitment reduction) (other than, in each case, prepayments, repurchases and commitment reductions with the proceeds of (x) Refinancing Indebtedness, (y) Indebtedness the proceeds of which are used to refinance the Term Loans and Revolving Loans and (z) other long-term Indebtedness (other than Revolving Loans));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aggregate principal amount of all Incremental Facilities and all Incremental Equivalent Debt outstanding at such time that was incurred in reliance on the foregoing clauses (a) and/or (b);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in the case of any Incremental Facilities or Incremental Equivalent Debt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the maximum aggregate principal amount that can be incurred without causing the Senior Secured First Lien Net Leverage Ratio to exceed 5.10 to 1.00 for the most recently ended Test Period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any Incremental Facilities or Incremental Equivalent Debt secured by the Collateral on a junior basis with the Secured Obligations, the maximum aggregate principal amount that can be incurred without causing the Senior Secured Net Leverage Ratio to exceed 5.10 to 1.00 for the most recently ended Test Period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Incremental Facilities or Incremental Equivalent Debt that is unsecured or is secured by assets that are not Collateral, the maximum aggregate principal amount that can be incurred without causing, at Bidco’s option, either: </w:t>
      </w:r>
    </w:p>
    <w:p>
      <w:pPr>
        <w:pStyle w:val="TextBody"/>
        <w:bidi w:val="0"/>
        <w:spacing w:before="120" w:after="0"/>
        <w:jc w:val="left"/>
        <w:rPr>
          <w:rFonts w:ascii="Times New Roman" w:hAnsi="Times New Roman"/>
          <w:sz w:val="20"/>
        </w:rPr>
      </w:pPr>
      <w:r>
        <w:rPr>
          <w:rFonts w:ascii="Times New Roman" w:hAnsi="Times New Roman"/>
          <w:sz w:val="20"/>
        </w:rPr>
        <w:t xml:space="preserve">(i) the Interest Coverage Ratio to be less than 2.00 to 1.00 for the most recently ended Test Period as of such date; or </w:t>
      </w:r>
    </w:p>
    <w:p>
      <w:pPr>
        <w:pStyle w:val="TextBody"/>
        <w:bidi w:val="0"/>
        <w:spacing w:before="120" w:after="0"/>
        <w:jc w:val="left"/>
        <w:rPr>
          <w:rFonts w:ascii="Times New Roman" w:hAnsi="Times New Roman"/>
          <w:sz w:val="20"/>
        </w:rPr>
      </w:pPr>
      <w:r>
        <w:rPr>
          <w:rFonts w:ascii="Times New Roman" w:hAnsi="Times New Roman"/>
          <w:sz w:val="20"/>
        </w:rPr>
        <w:t xml:space="preserve">(ii) the Total Net Leverage Ratio to exceed 5.10 to 1.00 for the most recently ended Test Period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 Revolving Loans or (ii) Incremental Facility or Incremental Equivalent Debt made pursuant to clause (I) above) for the most recently ended Test Period as of such date and subject to </w:t>
      </w:r>
      <w:r>
        <w:rPr>
          <w:rFonts w:ascii="Times New Roman" w:hAnsi="Times New Roman"/>
          <w:sz w:val="20"/>
          <w:u w:val="single"/>
        </w:rPr>
        <w:t>Section 1.06</w:t>
      </w:r>
      <w:r>
        <w:rPr>
          <w:rFonts w:ascii="Times New Roman" w:hAnsi="Times New Roman"/>
          <w:sz w:val="20"/>
        </w:rPr>
        <w:t xml:space="preserve"> to the extent applicable. Indebtedness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Bidco does not make an election, Bidco will be deemed to have elected clause (II)); </w:t>
      </w:r>
      <w:r>
        <w:rPr>
          <w:rFonts w:ascii="Times New Roman" w:hAnsi="Times New Roman"/>
          <w:sz w:val="20"/>
          <w:u w:val="single"/>
        </w:rPr>
        <w:t>provided</w:t>
      </w:r>
      <w:r>
        <w:rPr>
          <w:rFonts w:ascii="Times New Roman" w:hAnsi="Times New Roman"/>
          <w:sz w:val="20"/>
        </w:rPr>
        <w:t xml:space="preserve"> that any such Indebtedness originally incurred pursuant to clause (I) above shall cease to be deemed outstanding under clause (I) and shall instead be deemed to be outstanding pursuant to clause (II) above from and after the first date on which Bidco could have incurred the aggregate principal amount of such Indebtedness pursuant to clause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TextBody"/>
        <w:bidi w:val="0"/>
        <w:spacing w:before="0" w:after="0"/>
        <w:jc w:val="left"/>
        <w:rPr/>
      </w:pPr>
      <w:r>
        <w:rPr/>
        <w:t>“</w:t>
      </w:r>
      <w:r>
        <w:rPr>
          <w:rFonts w:ascii="Times New Roman" w:hAnsi="Times New Roman"/>
          <w:sz w:val="20"/>
          <w:u w:val="single"/>
        </w:rPr>
        <w:t>Incremental Equivalent Debt</w:t>
      </w:r>
      <w:r>
        <w:rPr>
          <w:rFonts w:ascii="Times New Roman" w:hAnsi="Times New Roman"/>
          <w:sz w:val="20"/>
        </w:rPr>
        <w:t xml:space="preserve">” has the meaning assigned to such term in </w:t>
      </w:r>
      <w:r>
        <w:rPr>
          <w:rFonts w:ascii="Times New Roman" w:hAnsi="Times New Roman"/>
          <w:sz w:val="20"/>
          <w:u w:val="single"/>
        </w:rPr>
        <w:t>Section 6.01(b)(xxvi)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Facilities</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Facility Amendment</w:t>
      </w:r>
      <w:r>
        <w:rPr>
          <w:rFonts w:ascii="Times New Roman" w:hAnsi="Times New Roman"/>
          <w:sz w:val="20"/>
        </w:rPr>
        <w:t xml:space="preserve">” has the meaning assigned to such term in </w:t>
      </w:r>
      <w:r>
        <w:rPr>
          <w:rFonts w:ascii="Times New Roman" w:hAnsi="Times New Roman"/>
          <w:sz w:val="20"/>
          <w:u w:val="single"/>
        </w:rPr>
        <w:t>Section 2.19(c)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Revolving Commitment Increase</w:t>
      </w:r>
      <w:r>
        <w:rPr>
          <w:rFonts w:ascii="Times New Roman" w:hAnsi="Times New Roman"/>
          <w:sz w:val="20"/>
        </w:rPr>
        <w:t xml:space="preserve">” has the meaning assigned to such term is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Facility</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Increase</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means any Term Loan provided under any Incremental Facility. </w:t>
      </w:r>
    </w:p>
    <w:p>
      <w:pPr>
        <w:pStyle w:val="TextBody"/>
        <w:bidi w:val="0"/>
        <w:spacing w:before="240" w:after="0"/>
        <w:jc w:val="left"/>
        <w:rPr/>
      </w:pPr>
      <w:r>
        <w:rPr/>
        <w:t>“</w:t>
      </w:r>
      <w:r>
        <w:rPr>
          <w:rFonts w:ascii="Times New Roman" w:hAnsi="Times New Roman"/>
          <w:sz w:val="20"/>
          <w:u w:val="single"/>
        </w:rPr>
        <w:t>Incurrence Based Amounts</w:t>
      </w:r>
      <w:r>
        <w:rPr>
          <w:rFonts w:ascii="Times New Roman" w:hAnsi="Times New Roman"/>
          <w:sz w:val="20"/>
        </w:rPr>
        <w:t xml:space="preserve">” has the meaning assigned to such term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(including principal and premium)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(a)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(b) evidenced by bonds, notes, debentures or similar instruments or letters of credit or bankers’ acceptances (or, without duplication,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(c) representing the balance deferred and unpaid of the purchase price of any property (including Capitalized Lease Obligations), except (i) 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IFRS and any purchase price holdbacks in respect of a portion of the purchase price of an asset to satisfy warranty or other unperformed obligations of the seller; or </w:t>
      </w:r>
    </w:p>
    <w:p>
      <w:pPr>
        <w:pStyle w:val="TextBody"/>
        <w:bidi w:val="0"/>
        <w:spacing w:before="120" w:after="0"/>
        <w:jc w:val="left"/>
        <w:rPr>
          <w:rFonts w:ascii="Times New Roman" w:hAnsi="Times New Roman"/>
          <w:sz w:val="20"/>
        </w:rPr>
      </w:pPr>
      <w:r>
        <w:rPr>
          <w:rFonts w:ascii="Times New Roman" w:hAnsi="Times New Roman"/>
          <w:sz w:val="20"/>
        </w:rPr>
        <w:t xml:space="preserve">(d) representing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of the foregoing Indebtedness (other than letters of credit and Hedging Obligations) would appear as a liability upon a balance sheet (excluding the footnotes thereto) of such Person prepared in accordance with IFRS;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not otherwise included, any obligation by such Person to be liable for, or to pay, as obligor, guarantor or otherwise, on the obligations of the type referred 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TextBody"/>
        <w:bidi w:val="0"/>
        <w:spacing w:before="0" w:after="0"/>
        <w:jc w:val="left"/>
        <w:rPr>
          <w:rFonts w:ascii="Times New Roman" w:hAnsi="Times New Roman"/>
          <w:sz w:val="20"/>
        </w:rPr>
      </w:pPr>
      <w:r>
        <w:rPr>
          <w:rFonts w:ascii="Times New Roman" w:hAnsi="Times New Roman"/>
          <w:sz w:val="20"/>
        </w:rPr>
        <w:t xml:space="preserve">clause (1) of a third Person (whether or not such items would appear upon the balance sheet of such obligor or guarantor), other than by endorsement of negotiable instruments for collection in the ordinary course of business; </w:t>
      </w:r>
      <w:r>
        <w:rPr>
          <w:rFonts w:ascii="Times New Roman" w:hAnsi="Times New Roman"/>
          <w:sz w:val="20"/>
          <w:u w:val="single"/>
        </w:rPr>
        <w:t>provided</w:t>
      </w:r>
      <w:r>
        <w:rPr>
          <w:rFonts w:ascii="Times New Roman" w:hAnsi="Times New Roman"/>
          <w:sz w:val="20"/>
        </w:rPr>
        <w:t xml:space="preserve"> that the amount of Indebtedness of any Person for purposes of this clause (2) shall be deemed to be equal to the lesser of (i) the aggregate unpaid amount of such Indebtedness and (ii) the fair market value of the property encumbered thereby as determined by such Person in good faith; and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not otherwise included, the obligations of the type referred to in clause (1) of a third Person secured by a Lien on any asset owned by such first Person, whether or not such Indebtedness is assumed by such first Person;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Indebtedness shall be deemed not to include (a) Contingent Obligations incurred in the ordinary course of business, (b) [reserved], (c) Indebtedness of any parent of Bidco appearing on the balance sheet of Bidco, or solely by reason of push down accounting under IFRS, (d) intercompany liabilities arising from their cash management, tax, and accounting operations, (e) intercompany loans, advances or Indebtedness having a term not exceeding 364 days (inclusive of any rollover or extensions of terms) and made in the ordinary course of business, (f) obligations under any satellite manufacturing contract or Satellite Purchase Agreement (including any contingent in-orbit incentive payments or other contingent deferred payments earned by a manufacturer during the life of a Satellite under such satellite manufacturing contract or Satellite Purchase Agreement and including any Guarantee for any such indebtedness), (g) obligations under satellite capacity or bandwidth arrangements (whether or not classified and accounted for as a capitalized lease for financial reporting purposes in accordance with IFRS), (h) obligations to make progress or incentive payments (including any in-orbit incentive payments) or other deferred payments earned during the life of a Satellite under any satellite manufacturing contract or obligations under any contract of launch services with respect to a Satellite or (i) obligations to make payments to one or more insurers under any policies of insurance with respect to a Satellite, including payments in respect of premiums and any requirement to remit to such insurer(s) a portion of the future revenues generated by a Satellite with respect to which a claim has been paid for a loss under such insurance or other salvage rights of such insurer(s), in each case in accordance with the terms of the insurance policies relating thereto.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means all Taxes, other than (i) Excluded Taxes, (ii) VAT (which, if applicable, shall be dealt with in accordance with</w:t>
      </w:r>
      <w:r>
        <w:rPr>
          <w:rFonts w:ascii="Times New Roman" w:hAnsi="Times New Roman"/>
          <w:sz w:val="20"/>
          <w:u w:val="single"/>
        </w:rPr>
        <w:t xml:space="preserve"> Section 2.16</w:t>
      </w:r>
      <w:r>
        <w:rPr>
          <w:rFonts w:ascii="Times New Roman" w:hAnsi="Times New Roman"/>
          <w:sz w:val="20"/>
        </w:rPr>
        <w:t xml:space="preserve">), and (iii)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assigned to such term in </w:t>
      </w:r>
      <w:r>
        <w:rPr>
          <w:rFonts w:ascii="Times New Roman" w:hAnsi="Times New Roman"/>
          <w:sz w:val="20"/>
          <w:u w:val="single"/>
        </w:rPr>
        <w:t>Section 9.12(a)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 Memorandum</w:t>
      </w:r>
      <w:r>
        <w:rPr>
          <w:rFonts w:ascii="Times New Roman" w:hAnsi="Times New Roman"/>
          <w:sz w:val="20"/>
        </w:rPr>
        <w:t xml:space="preserve">” means the Confidential Information Memorandum dated September 2019, relating to Bidco, the Borrowers and the Transactions. </w:t>
      </w:r>
    </w:p>
    <w:p>
      <w:pPr>
        <w:pStyle w:val="TextBody"/>
        <w:bidi w:val="0"/>
        <w:spacing w:before="240" w:after="0"/>
        <w:jc w:val="left"/>
        <w:rPr/>
      </w:pPr>
      <w:r>
        <w:rPr/>
        <w:t>“</w:t>
      </w:r>
      <w:r>
        <w:rPr>
          <w:rFonts w:ascii="Times New Roman" w:hAnsi="Times New Roman"/>
          <w:sz w:val="20"/>
          <w:u w:val="single"/>
        </w:rPr>
        <w:t>Initial Guernsey Collateral Agreement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 first ranking security agreement from Initial Holdings in favor of the Collateral Agent over its Equity Interests in Bidco; </w:t>
      </w:r>
    </w:p>
    <w:p>
      <w:pPr>
        <w:pStyle w:val="TextBody"/>
        <w:bidi w:val="0"/>
        <w:spacing w:before="240" w:after="0"/>
        <w:jc w:val="left"/>
        <w:rPr>
          <w:rFonts w:ascii="Times New Roman" w:hAnsi="Times New Roman"/>
          <w:sz w:val="20"/>
        </w:rPr>
      </w:pPr>
      <w:r>
        <w:rPr>
          <w:rFonts w:ascii="Times New Roman" w:hAnsi="Times New Roman"/>
          <w:sz w:val="20"/>
        </w:rPr>
        <w:t xml:space="preserve">(b) a first ranking security agreement from the Finco Borrower in favor of the Collateral Agent over any structural intercompany receivables owed to it from Bidco;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p>
    <w:p>
      <w:pPr>
        <w:pStyle w:val="TextBody"/>
        <w:bidi w:val="0"/>
        <w:spacing w:before="0" w:after="0"/>
        <w:jc w:val="left"/>
        <w:rPr>
          <w:rFonts w:ascii="Times New Roman" w:hAnsi="Times New Roman"/>
          <w:sz w:val="20"/>
        </w:rPr>
      </w:pPr>
      <w:r>
        <w:rPr>
          <w:rFonts w:ascii="Times New Roman" w:hAnsi="Times New Roman"/>
          <w:sz w:val="20"/>
        </w:rPr>
        <w:t xml:space="preserve">(c) a first ranking security agreement from Bidco in favor of the Finco Borrower over its material operating bank accounts (without control over use) as security for Bidco’s obligations under any structural intercompany loans made to it by the Finco Borrower; </w:t>
      </w:r>
    </w:p>
    <w:p>
      <w:pPr>
        <w:pStyle w:val="TextBody"/>
        <w:bidi w:val="0"/>
        <w:spacing w:before="240" w:after="0"/>
        <w:jc w:val="left"/>
        <w:rPr>
          <w:rFonts w:ascii="Times New Roman" w:hAnsi="Times New Roman"/>
          <w:sz w:val="20"/>
        </w:rPr>
      </w:pPr>
      <w:r>
        <w:rPr>
          <w:rFonts w:ascii="Times New Roman" w:hAnsi="Times New Roman"/>
          <w:sz w:val="20"/>
        </w:rPr>
        <w:t xml:space="preserve">(d) a second ranking security agreement from Bidco in favor of the Collateral Agent over its material operating bank accounts (without control over use); and </w:t>
      </w:r>
    </w:p>
    <w:p>
      <w:pPr>
        <w:pStyle w:val="TextBody"/>
        <w:bidi w:val="0"/>
        <w:spacing w:before="240" w:after="0"/>
        <w:jc w:val="left"/>
        <w:rPr>
          <w:rFonts w:ascii="Times New Roman" w:hAnsi="Times New Roman"/>
          <w:sz w:val="20"/>
        </w:rPr>
      </w:pPr>
      <w:r>
        <w:rPr>
          <w:rFonts w:ascii="Times New Roman" w:hAnsi="Times New Roman"/>
          <w:sz w:val="20"/>
        </w:rPr>
        <w:t xml:space="preserve">(e) a first ranking security agreement from the Finco Borrower in favor of the Collateral Agent over its rights in respect of the security referred to in paragraph (c) above. </w:t>
      </w:r>
    </w:p>
    <w:p>
      <w:pPr>
        <w:pStyle w:val="TextBody"/>
        <w:bidi w:val="0"/>
        <w:spacing w:before="240" w:after="0"/>
        <w:jc w:val="left"/>
        <w:rPr/>
      </w:pPr>
      <w:r>
        <w:rPr/>
        <w:t>“</w:t>
      </w:r>
      <w:r>
        <w:rPr>
          <w:rFonts w:ascii="Times New Roman" w:hAnsi="Times New Roman"/>
          <w:sz w:val="20"/>
          <w:u w:val="single"/>
        </w:rPr>
        <w:t>Initial Holdings</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Initial Luxembourg Collateral Agreement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 first ranking security agreement from Bidco in favor of the Collateral Agent over its Equity Interests in the Finco Borrower; </w:t>
      </w:r>
    </w:p>
    <w:p>
      <w:pPr>
        <w:pStyle w:val="TextBody"/>
        <w:bidi w:val="0"/>
        <w:spacing w:before="240" w:after="0"/>
        <w:jc w:val="left"/>
        <w:rPr>
          <w:rFonts w:ascii="Times New Roman" w:hAnsi="Times New Roman"/>
          <w:sz w:val="20"/>
        </w:rPr>
      </w:pPr>
      <w:r>
        <w:rPr>
          <w:rFonts w:ascii="Times New Roman" w:hAnsi="Times New Roman"/>
          <w:sz w:val="20"/>
        </w:rPr>
        <w:t xml:space="preserve">(b) a first ranking security agreement from the Finco Borrower in favor of the Collateral Agent in respect of material operating bank accounts (without control over use); and </w:t>
      </w:r>
    </w:p>
    <w:p>
      <w:pPr>
        <w:pStyle w:val="TextBody"/>
        <w:bidi w:val="0"/>
        <w:spacing w:before="240" w:after="0"/>
        <w:jc w:val="left"/>
        <w:rPr>
          <w:rFonts w:ascii="Times New Roman" w:hAnsi="Times New Roman"/>
          <w:sz w:val="20"/>
        </w:rPr>
      </w:pPr>
      <w:r>
        <w:rPr>
          <w:rFonts w:ascii="Times New Roman" w:hAnsi="Times New Roman"/>
          <w:sz w:val="20"/>
        </w:rPr>
        <w:t xml:space="preserve">(c) a first ranking security agreement from the Finco Borrower in favor of the Collateral Agent over any structural intercompany receivables owed to it from Bidco. </w:t>
      </w:r>
    </w:p>
    <w:p>
      <w:pPr>
        <w:pStyle w:val="TextBody"/>
        <w:bidi w:val="0"/>
        <w:spacing w:before="240" w:after="0"/>
        <w:jc w:val="left"/>
        <w:rPr/>
      </w:pPr>
      <w:r>
        <w:rPr/>
        <w:t>“</w:t>
      </w:r>
      <w:r>
        <w:rPr>
          <w:rFonts w:ascii="Times New Roman" w:hAnsi="Times New Roman"/>
          <w:sz w:val="20"/>
          <w:u w:val="single"/>
        </w:rPr>
        <w:t>Initial Term Commitment</w:t>
      </w:r>
      <w:r>
        <w:rPr>
          <w:rFonts w:ascii="Times New Roman" w:hAnsi="Times New Roman"/>
          <w:sz w:val="20"/>
        </w:rPr>
        <w:t xml:space="preserve">” means, with respect to each Lender, the commitment, if any, of such Lender to make an Initial Term Loan hereunder, expressed as an amount representing the maximum principal amount of the Initial Term Loan to be made by such Lender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assignments by or to such Lender pursuant to an Assignment and Assumption. The amount of each Lender’s Initial Term Commitment as of the Effective Date is set forth on Schedule 2.01 or in the Assignment and Assumption pursuant to which such Lender shall have assumed its Initial Term Commitment. As of the Effective Date, the total Initial Term Commitment is $1,750,000,000. </w:t>
      </w:r>
    </w:p>
    <w:p>
      <w:pPr>
        <w:pStyle w:val="TextBody"/>
        <w:bidi w:val="0"/>
        <w:spacing w:before="240" w:after="0"/>
        <w:jc w:val="left"/>
        <w:rPr/>
      </w:pPr>
      <w:r>
        <w:rPr/>
        <w:t>“</w:t>
      </w:r>
      <w:r>
        <w:rPr>
          <w:rFonts w:ascii="Times New Roman" w:hAnsi="Times New Roman"/>
          <w:sz w:val="20"/>
          <w:u w:val="single"/>
        </w:rPr>
        <w:t>Initial Term Commitment Expiration Date</w:t>
      </w:r>
      <w:r>
        <w:rPr>
          <w:rFonts w:ascii="Times New Roman" w:hAnsi="Times New Roman"/>
          <w:sz w:val="20"/>
        </w:rPr>
        <w:t xml:space="preserve">” means the earlier to occur of (x) the last day of the Certain Funds Period and (y) the date on which the Initial Term Commitments are reduced to zero. </w:t>
      </w:r>
    </w:p>
    <w:p>
      <w:pPr>
        <w:pStyle w:val="TextBody"/>
        <w:bidi w:val="0"/>
        <w:spacing w:before="240" w:after="0"/>
        <w:jc w:val="left"/>
        <w:rPr/>
      </w:pPr>
      <w:r>
        <w:rPr/>
        <w:t>“</w:t>
      </w:r>
      <w:r>
        <w:rPr>
          <w:rFonts w:ascii="Times New Roman" w:hAnsi="Times New Roman"/>
          <w:sz w:val="20"/>
          <w:u w:val="single"/>
        </w:rPr>
        <w:t>Initial Term Loans</w:t>
      </w:r>
      <w:r>
        <w:rPr>
          <w:rFonts w:ascii="Times New Roman" w:hAnsi="Times New Roman"/>
          <w:sz w:val="20"/>
        </w:rPr>
        <w:t xml:space="preserve">” means the Loans made pursuant to </w:t>
      </w:r>
      <w:r>
        <w:rPr>
          <w:rFonts w:ascii="Times New Roman" w:hAnsi="Times New Roman"/>
          <w:sz w:val="20"/>
          <w:u w:val="single"/>
        </w:rPr>
        <w:t>Section 2.01(a)</w:t>
      </w:r>
      <w:r>
        <w:rPr>
          <w:rFonts w:ascii="Times New Roman" w:hAnsi="Times New Roman"/>
          <w:sz w:val="20"/>
        </w:rPr>
        <w:t xml:space="preserve">. On the Amendment No. 1 Effective Date, the Initial Term Loans were repaid in full with the proceeds of the Amendment No. 1 Refinancing Term Loans. For the avoidance of doubt, the Amendment No. 1 Refinancing Terms Loans shall not constitute Initial Term Loans.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assigned to such term in the Collateral Agreement. </w:t>
      </w:r>
    </w:p>
    <w:p>
      <w:pPr>
        <w:pStyle w:val="TextBody"/>
        <w:bidi w:val="0"/>
        <w:spacing w:before="240" w:after="0"/>
        <w:jc w:val="left"/>
        <w:rPr/>
      </w:pPr>
      <w:r>
        <w:rPr/>
        <w:t>“</w:t>
      </w:r>
      <w:r>
        <w:rPr>
          <w:rFonts w:ascii="Times New Roman" w:hAnsi="Times New Roman"/>
          <w:sz w:val="20"/>
          <w:u w:val="single"/>
        </w:rPr>
        <w:t>Intellectual Property Security Agreements</w:t>
      </w:r>
      <w:r>
        <w:rPr>
          <w:rFonts w:ascii="Times New Roman" w:hAnsi="Times New Roman"/>
          <w:sz w:val="20"/>
        </w:rPr>
        <w:t xml:space="preserve">” means, collectively, the Trademark Security Agreement, the Patent Security Agreement and the Copyright Security Agreement, in each case which has the meaning assigned to such term in the Collateral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p>
      <w:pPr>
        <w:pStyle w:val="TextBody"/>
        <w:bidi w:val="0"/>
        <w:spacing w:before="0" w:after="0"/>
        <w:jc w:val="left"/>
        <w:rPr/>
      </w:pPr>
      <w:r>
        <w:rPr/>
        <w:t>“</w:t>
      </w:r>
      <w:r>
        <w:rPr>
          <w:rFonts w:ascii="Times New Roman" w:hAnsi="Times New Roman"/>
          <w:sz w:val="20"/>
          <w:u w:val="single"/>
        </w:rPr>
        <w:t>Interest Coverage Ratio</w:t>
      </w:r>
      <w:r>
        <w:rPr>
          <w:rFonts w:ascii="Times New Roman" w:hAnsi="Times New Roman"/>
          <w:sz w:val="20"/>
        </w:rPr>
        <w:t xml:space="preserve">” means, as of any date of determination, the ratio, on a Pro Forma Basis, of (a) Consolidated EBITDA for the most recently ended Test Period as of such date to (b) Consolidated Cash Interest Expense for the most recently ended Test Period as of such date.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any Borrower to convert or continue a Revolving Borrowing or Term Borrowing in accordance with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(including a Swingline Loan), the last Business Day of each March, June, September and December and (b) 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any Eurodollar Borrowing, the period commencing on the date such Borrowing is disbursed or converted to or continued as a Eurodollar Borrowing and ending on the date that is one, two, three or six months thereafter as selected by any Borrower in its Borrowing Request (or, if consented to by each Lender participating therein, twelve months or such shorter period as such Borrower may elect); </w:t>
      </w:r>
      <w:r>
        <w:rPr>
          <w:rFonts w:ascii="Times New Roman" w:hAnsi="Times New Roman"/>
          <w:sz w:val="20"/>
          <w:u w:val="single"/>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immediately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(c) no Interest Period shall extend beyond (i) in the case of Amendment No. 1 Refinancing Term Loans, the Term Maturity Date, and (ii) in the case of Revolving Loans, the Revolving Maturity Date and (d) to the extent a Borrower has elected to make a Eurodollar Borrowing on the Effective Date, the Interest Period may, at the election of such Borrower and with the consent of the Administrative Agent (not to be unreasonably withheld, conditioned or delayed), have a different duration (it being understood that any such Interest Period will be calculated based on the next longest Interest Period referred to above) such that the Interest Period will end on January 31, 2020.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sz w:val="20"/>
          <w:u w:val="single"/>
        </w:rPr>
        <w:t>Interim Facilities Agreement</w:t>
      </w:r>
      <w:r>
        <w:rPr>
          <w:rFonts w:ascii="Times New Roman" w:hAnsi="Times New Roman"/>
          <w:sz w:val="20"/>
        </w:rPr>
        <w:t xml:space="preserve">” means the interim facilities agreement originally dated 24 March 2019, as amended and restated on 13 April 2019, between, among others, Bidco as Obligors’ Agent (as defined therein) and Barclays Bank PLC as Interim Facility Agent (as defined therein). </w:t>
      </w:r>
    </w:p>
    <w:p>
      <w:pPr>
        <w:pStyle w:val="TextBody"/>
        <w:bidi w:val="0"/>
        <w:spacing w:before="240" w:after="0"/>
        <w:jc w:val="left"/>
        <w:rPr/>
      </w:pPr>
      <w:r>
        <w:rPr/>
        <w:t>“</w:t>
      </w:r>
      <w:r>
        <w:rPr>
          <w:rFonts w:ascii="Times New Roman" w:hAnsi="Times New Roman"/>
          <w:sz w:val="20"/>
          <w:u w:val="single"/>
        </w:rPr>
        <w:t>Intermediate Parent</w:t>
      </w:r>
      <w:r>
        <w:rPr>
          <w:rFonts w:ascii="Times New Roman" w:hAnsi="Times New Roman"/>
          <w:sz w:val="20"/>
        </w:rPr>
        <w:t xml:space="preserve">” means any Wholly Owned Subsidiary of Holdings that is organized under the laws of (i) Luxembourg, (ii) Guernsey or (iii) England and Wales, in each case and of which Bidco is a subsidiary. </w:t>
      </w:r>
    </w:p>
    <w:p>
      <w:pPr>
        <w:pStyle w:val="TextBody"/>
        <w:bidi w:val="0"/>
        <w:spacing w:before="240" w:after="0"/>
        <w:jc w:val="left"/>
        <w:rPr/>
      </w:pPr>
      <w:r>
        <w:rPr/>
        <w:t>“</w:t>
      </w:r>
      <w:r>
        <w:rPr>
          <w:rFonts w:ascii="Times New Roman" w:hAnsi="Times New Roman"/>
          <w:sz w:val="20"/>
          <w:u w:val="single"/>
        </w:rPr>
        <w:t>Interpolated Rate</w:t>
      </w:r>
      <w:r>
        <w:rPr>
          <w:rFonts w:ascii="Times New Roman" w:hAnsi="Times New Roman"/>
          <w:sz w:val="20"/>
        </w:rPr>
        <w:t xml:space="preserve">” means, in relation to the “LIBO Rate” for any Loan, the rate which results from interpolating on a linear basis between: (i) the rate appearing on Reuters Screen LIBOR01 Page (or on any successor or substitute page of such service) for the longest period (for which that rate is available) which is less than the Interest Period and (ii) the rate appearing on Reuters Screen LIBOR01 Page (or on any successor or substitute page of such service) for the shortest period (for which that rate is available) which exceeds the Interest Period, each as of approximately 11:00 A.M., London, England time, two Business Days prior to the commencement of such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left"/>
        <w:rPr/>
      </w:pPr>
      <w:r>
        <w:rPr/>
        <w:t>“</w:t>
      </w:r>
      <w:r>
        <w:rPr>
          <w:rFonts w:ascii="Times New Roman" w:hAnsi="Times New Roman"/>
          <w:sz w:val="20"/>
          <w:u w:val="single"/>
        </w:rPr>
        <w:t>Investment</w:t>
      </w:r>
      <w:r>
        <w:rPr>
          <w:rFonts w:ascii="Times New Roman" w:hAnsi="Times New Roman"/>
          <w:sz w:val="20"/>
        </w:rPr>
        <w:t xml:space="preserve">”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Bidco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IFRS to be classified on the balance sheet (excluding the footnotes) of Bidco in the same manner as the other investments included in this definition to the extent such transactions involve the transfer of cash or other property; </w:t>
      </w:r>
      <w:r>
        <w:rPr>
          <w:rFonts w:ascii="Times New Roman" w:hAnsi="Times New Roman"/>
          <w:sz w:val="20"/>
          <w:u w:val="single"/>
        </w:rPr>
        <w:t>provided</w:t>
      </w:r>
      <w:r>
        <w:rPr>
          <w:rFonts w:ascii="Times New Roman" w:hAnsi="Times New Roman"/>
          <w:sz w:val="20"/>
        </w:rPr>
        <w:t xml:space="preserve"> that endorsements of negotiable instruments and documents in the ordinary course of business will not be deemed to be an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definition of “Unrestricted Subsidiary” and </w:t>
      </w:r>
      <w:r>
        <w:rPr>
          <w:rFonts w:ascii="Times New Roman" w:hAnsi="Times New Roman"/>
          <w:sz w:val="20"/>
          <w:u w:val="single"/>
        </w:rPr>
        <w:t>Section 6.05</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(1) “Investments” shall include the portion (proportionate to Bidco’s direct or indirect equity interest in such Subsidiary) of the fair market value of the net assets of a Subsidiary of Bidco at the time that such Subsidiary is designated an Unrestricted Subsidiary;</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a redesignation of such Subsidiary as a Restricted Subsidiary, Bidco or the applicable Restricted Subsidiary shall be deemed to continue to have a permanent “Investment” in an Unrestricted Subsidiary in an amount (if positive) equal to: </w:t>
      </w:r>
    </w:p>
    <w:p>
      <w:pPr>
        <w:pStyle w:val="TextBody"/>
        <w:bidi w:val="0"/>
        <w:spacing w:before="120" w:after="0"/>
        <w:jc w:val="left"/>
        <w:rPr>
          <w:rFonts w:ascii="Times New Roman" w:hAnsi="Times New Roman"/>
          <w:sz w:val="20"/>
        </w:rPr>
      </w:pPr>
      <w:r>
        <w:rPr>
          <w:rFonts w:ascii="Times New Roman" w:hAnsi="Times New Roman"/>
          <w:sz w:val="20"/>
        </w:rPr>
        <w:t xml:space="preserve">(a) Bidco’s “Investment” in such Subsidiary at the time of such redesignation; less </w:t>
      </w:r>
    </w:p>
    <w:p>
      <w:pPr>
        <w:pStyle w:val="TextBody"/>
        <w:bidi w:val="0"/>
        <w:spacing w:before="120" w:after="0"/>
        <w:jc w:val="left"/>
        <w:rPr>
          <w:rFonts w:ascii="Times New Roman" w:hAnsi="Times New Roman"/>
          <w:sz w:val="20"/>
        </w:rPr>
      </w:pPr>
      <w:r>
        <w:rPr>
          <w:rFonts w:ascii="Times New Roman" w:hAnsi="Times New Roman"/>
          <w:sz w:val="20"/>
        </w:rPr>
        <w:t xml:space="preserve">(b) the portion (proportionate to Bidco’s equity interest in such Subsidiary) of the fair market value of the net assets of such Subsidiary at the time of such redesignation; and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shall be valued at its fair market value at the time of such transfer, in each case as determined in good faith by a Responsible Officer of Bidco or any Borrower.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outstanding at any time shall be the original cost of such Investment, reduced by any dividend, distribution, interest payment, return of capital, repayment or other amount received in cash or other property by Bidco or a Restricted Subsidiary in respect of such Investment. </w:t>
      </w:r>
    </w:p>
    <w:p>
      <w:pPr>
        <w:pStyle w:val="TextBody"/>
        <w:bidi w:val="0"/>
        <w:spacing w:before="240" w:after="0"/>
        <w:jc w:val="left"/>
        <w:rPr/>
      </w:pPr>
      <w:r>
        <w:rPr/>
        <w:t>“</w:t>
      </w:r>
      <w:r>
        <w:rPr>
          <w:rFonts w:ascii="Times New Roman" w:hAnsi="Times New Roman"/>
          <w:sz w:val="20"/>
          <w:u w:val="single"/>
        </w:rPr>
        <w:t>Investment Grade Rating</w:t>
      </w:r>
      <w:r>
        <w:rPr>
          <w:rFonts w:ascii="Times New Roman" w:hAnsi="Times New Roman"/>
          <w:sz w:val="20"/>
        </w:rPr>
        <w:t xml:space="preserve">” means a rating equal to or higher than (x) Baa3 (or the equivalent) by Moody’s, (y) BBB- (or the equivalent) by S&amp;P or (z) a rating of BBB- (or the equivalent) by Fitch, as applicable, or if such obligations are not then rated by Moody’s, S&amp;P or Fitch, an equivalent rating by any other rating agency. </w:t>
      </w:r>
    </w:p>
    <w:p>
      <w:pPr>
        <w:pStyle w:val="TextBody"/>
        <w:bidi w:val="0"/>
        <w:spacing w:before="240" w:after="0"/>
        <w:jc w:val="left"/>
        <w:rPr/>
      </w:pPr>
      <w:r>
        <w:rPr/>
        <w:t>“</w:t>
      </w:r>
      <w:r>
        <w:rPr>
          <w:rFonts w:ascii="Times New Roman" w:hAnsi="Times New Roman"/>
          <w:sz w:val="20"/>
          <w:u w:val="single"/>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p>
    <w:p>
      <w:pPr>
        <w:pStyle w:val="TextBody"/>
        <w:bidi w:val="0"/>
        <w:spacing w:before="0" w:after="0"/>
        <w:jc w:val="left"/>
        <w:rPr>
          <w:rFonts w:ascii="Times New Roman" w:hAnsi="Times New Roman"/>
          <w:sz w:val="20"/>
        </w:rPr>
      </w:pPr>
      <w:r>
        <w:rPr>
          <w:rFonts w:ascii="Times New Roman" w:hAnsi="Times New Roman"/>
          <w:sz w:val="20"/>
        </w:rPr>
        <w:t xml:space="preserve">(2) debt securities or debt instruments with an Investment Grade Rating, but excluding any debt securities or instruments constituting loans or advances among Bidco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any fund that invests exclusively in investments of the type described in clauses (1) and (2) which fund may also hold immaterial amounts of cash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(4) corresponding instruments in countries other than the United States of America customarily utilized for high quality investments. </w:t>
      </w:r>
    </w:p>
    <w:p>
      <w:pPr>
        <w:pStyle w:val="TextBody"/>
        <w:bidi w:val="0"/>
        <w:spacing w:before="240" w:after="0"/>
        <w:jc w:val="left"/>
        <w:rPr/>
      </w:pPr>
      <w:r>
        <w:rPr/>
        <w:t>“</w:t>
      </w:r>
      <w:r>
        <w:rPr>
          <w:rFonts w:ascii="Times New Roman" w:hAnsi="Times New Roman"/>
          <w:sz w:val="20"/>
          <w:u w:val="single"/>
        </w:rPr>
        <w:t>Investors</w:t>
      </w:r>
      <w:r>
        <w:rPr>
          <w:rFonts w:ascii="Times New Roman" w:hAnsi="Times New Roman"/>
          <w:sz w:val="20"/>
        </w:rPr>
        <w:t xml:space="preserve">” means Warburg Pincus LLC, Apax Partners LLP, Ontario Teachers’ Pension Plan Board, Canada Pension Plan Investment Board and their respective Affiliates and any funds, partnerships or other investment vehicles managed or directly or indirectly controlled by them, but not including, however, any portfolio companies of the foregoing.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means the initial underwritten public offering (other than a public offering pursuant to a registration statement on Form S-8) of common Equity Interests of Initial Holdings, a parent entity of Initial Holdings or an Intermediate Parent. </w:t>
      </w:r>
      <w:r>
        <w:rPr>
          <w:rFonts w:ascii="Times New Roman" w:hAnsi="Times New Roman"/>
          <w:color w:val="0000FF"/>
          <w:sz w:val="20"/>
          <w:u w:val="single"/>
          <w:bdr w:val="double" w:sz="2" w:space="1" w:color="000000"/>
        </w:rPr>
        <w:t>For the avoidance of doubt, an IPO shall not be deemed to have occurred hereunder on or after the consummation of the Viasat Acquisition due to Viasat being a public company.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IPO Entity</w:t>
      </w:r>
      <w:r>
        <w:rPr>
          <w:rFonts w:ascii="Times New Roman" w:hAnsi="Times New Roman"/>
          <w:sz w:val="20"/>
        </w:rPr>
        <w:t xml:space="preserve">” means, at any time upon and after an IPO, either Initial Holdings, a parent entity of Initial Holdings or an Intermediate Parent, as the case may be, the Equity Interests of which were issued or otherwise sold in a transaction described in the definition of “IPO”; </w:t>
      </w:r>
      <w:r>
        <w:rPr>
          <w:rFonts w:ascii="Times New Roman" w:hAnsi="Times New Roman"/>
          <w:sz w:val="20"/>
          <w:u w:val="single"/>
        </w:rPr>
        <w:t>provided</w:t>
      </w:r>
      <w:r>
        <w:rPr>
          <w:rFonts w:ascii="Times New Roman" w:hAnsi="Times New Roman"/>
          <w:sz w:val="20"/>
        </w:rPr>
        <w:t xml:space="preserve"> that, immediately following the IPO, Bidco is a direct or indirect Wholly Owned Subsidiary of such IPO Entity and such IPO Entity owns, directly or through its subsidiaries, substantially all the businesses and assets owned or conducted, directly or indirectly, by Bidco immediately prior to the IPO.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means (a) each of Bank of America, N.A., Barclays, UBS AG, Stamford Branch, BNP Paribas Fortis S.A./N.V., HSBC Bank PLC, ING Bank N.V., National Westminster Bank PLC, Sumitomo Mitsui Banking Corporation, Intesa Sanpaolo S.p.A., MUFG Bank, Ltd., Natixis, New York Branch, DNB (UK) Limited, The Bank of Nova Scotia, London Branch, J.P. Morgan AG and Mizuho Bank, Ltd. (</w:t>
      </w:r>
      <w:r>
        <w:rPr>
          <w:rFonts w:ascii="Times New Roman" w:hAnsi="Times New Roman"/>
          <w:sz w:val="20"/>
          <w:u w:val="single"/>
        </w:rPr>
        <w:t>provided</w:t>
      </w:r>
      <w:r>
        <w:rPr>
          <w:rFonts w:ascii="Times New Roman" w:hAnsi="Times New Roman"/>
          <w:sz w:val="20"/>
        </w:rPr>
        <w:t xml:space="preserve"> that Barclays and UBS AG, Stamford Branch and their respective Affiliates shall each only be required to issue standby Letters of Credit) and (b) each Revolving Lender that shall have become an Issuing Bank hereunder as provided in </w:t>
      </w:r>
      <w:r>
        <w:rPr>
          <w:rFonts w:ascii="Times New Roman" w:hAnsi="Times New Roman"/>
          <w:sz w:val="20"/>
          <w:u w:val="single"/>
        </w:rPr>
        <w:t>Section 2.04(k)</w:t>
      </w:r>
      <w:r>
        <w:rPr>
          <w:rFonts w:ascii="Times New Roman" w:hAnsi="Times New Roman"/>
          <w:sz w:val="20"/>
        </w:rPr>
        <w:t xml:space="preserve"> (other than any Person that shall have ceased to be an Issuing Bank as provided in </w:t>
      </w:r>
      <w:r>
        <w:rPr>
          <w:rFonts w:ascii="Times New Roman" w:hAnsi="Times New Roman"/>
          <w:sz w:val="20"/>
          <w:u w:val="single"/>
        </w:rPr>
        <w:t>Section 2.04(l)</w:t>
      </w:r>
      <w:r>
        <w:rPr>
          <w:rFonts w:ascii="Times New Roman" w:hAnsi="Times New Roman"/>
          <w:sz w:val="20"/>
        </w:rPr>
        <w:t xml:space="preserve">),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 </w:t>
      </w:r>
    </w:p>
    <w:p>
      <w:pPr>
        <w:pStyle w:val="TextBody"/>
        <w:bidi w:val="0"/>
        <w:spacing w:before="240" w:after="0"/>
        <w:jc w:val="left"/>
        <w:rPr/>
      </w:pPr>
      <w:r>
        <w:rPr/>
        <w:t>“</w:t>
      </w:r>
      <w:r>
        <w:rPr>
          <w:rFonts w:ascii="Times New Roman" w:hAnsi="Times New Roman"/>
          <w:sz w:val="20"/>
          <w:u w:val="single"/>
        </w:rPr>
        <w:t>Joint Lead Arrangers</w:t>
      </w:r>
      <w:r>
        <w:rPr>
          <w:rFonts w:ascii="Times New Roman" w:hAnsi="Times New Roman"/>
          <w:sz w:val="20"/>
        </w:rPr>
        <w:t xml:space="preserve">” means (1)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hereunder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TextBody"/>
        <w:bidi w:val="0"/>
        <w:spacing w:before="0" w:after="0"/>
        <w:jc w:val="left"/>
        <w:rPr>
          <w:rFonts w:ascii="Times New Roman" w:hAnsi="Times New Roman"/>
          <w:sz w:val="20"/>
        </w:rPr>
      </w:pPr>
      <w:r>
        <w:rPr>
          <w:rFonts w:ascii="Times New Roman" w:hAnsi="Times New Roman"/>
          <w:sz w:val="20"/>
        </w:rPr>
        <w:t xml:space="preserve">(ii) Barclays Bank PLC, BofA Securities, Inc. (f/k/a Merrill Lynch, Pierce, Fenner &amp; Smith Incorporated), UBS Securities LLC, BNP Paribas Fortis S.A./N.V., HSBC Bank PLC, ING Bank N.V., Natixis, New York Branch, NatWest Markets plc, Sumitomo Mitsui Banking Corporation, Banca IMI S.p.A., London Branch, MUFG Bank, Ltd., DNB (UK) Limited, The Bank of Nova Scotia, London Branch and Mizuho Bank, Ltd. each in their capacity as joint bookrunners, and any permitted successors and assigns thereof, in their respective capacities as joint bookrunners hereunder and (2)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under the Amendment No. 1 and (ii) Barclays Bank PLC, BofA Securities, Inc. (f/k/a Merrill Lynch, Pierce, Fenner &amp; Smith Incorporated), UBS Securities LLC, BNP Paribas Fortis S.A./N.V., HSBC Bank PLC, ING Bank N.V., Natixis, New York Branch, NatWest Markets plc, Sumitomo Mitsui Banking Corporation, Intesa Sanpaolo S.p.A., J.P. Morgan AG, MUFG Bank, Ltd., DNB (UK) Limited, The Bank of Nova Scotia, London Branch and Mizuho Bank, Ltd. each in their capacity as joint bookrunners, and any permitted successors and assigns thereof, in their respective capacities as joint bookrunners under the Amendment No. 1. </w:t>
      </w:r>
    </w:p>
    <w:p>
      <w:pPr>
        <w:pStyle w:val="TextBody"/>
        <w:bidi w:val="0"/>
        <w:spacing w:before="240" w:after="0"/>
        <w:jc w:val="left"/>
        <w:rPr/>
      </w:pPr>
      <w:r>
        <w:rPr/>
        <w:t>“</w:t>
      </w:r>
      <w:r>
        <w:rPr>
          <w:rFonts w:ascii="Times New Roman" w:hAnsi="Times New Roman"/>
          <w:sz w:val="20"/>
          <w:u w:val="single"/>
        </w:rPr>
        <w:t>Judgment Currency</w:t>
      </w:r>
      <w:r>
        <w:rPr>
          <w:rFonts w:ascii="Times New Roman" w:hAnsi="Times New Roman"/>
          <w:sz w:val="20"/>
        </w:rPr>
        <w:t xml:space="preserve">” has the meaning specified in </w:t>
      </w:r>
      <w:r>
        <w:rPr>
          <w:rFonts w:ascii="Times New Roman" w:hAnsi="Times New Roman"/>
          <w:sz w:val="20"/>
          <w:u w:val="single"/>
        </w:rPr>
        <w:t>Section 9.22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 </w:t>
      </w:r>
    </w:p>
    <w:p>
      <w:pPr>
        <w:pStyle w:val="TextBody"/>
        <w:bidi w:val="0"/>
        <w:spacing w:before="240" w:after="0"/>
        <w:jc w:val="left"/>
        <w:rPr/>
      </w:pPr>
      <w:r>
        <w:rPr/>
        <w:t>“</w:t>
      </w:r>
      <w:r>
        <w:rPr>
          <w:rFonts w:ascii="Times New Roman" w:hAnsi="Times New Roman"/>
          <w:sz w:val="20"/>
          <w:u w:val="single"/>
        </w:rPr>
        <w:t>LC Commitment</w:t>
      </w:r>
      <w:r>
        <w:rPr>
          <w:rFonts w:ascii="Times New Roman" w:hAnsi="Times New Roman"/>
          <w:sz w:val="20"/>
        </w:rPr>
        <w:t xml:space="preserve">” shall mean, in the case of each Issuing Bank, such amounts as set forth in </w:t>
      </w:r>
      <w:r>
        <w:rPr>
          <w:rFonts w:ascii="Times New Roman" w:hAnsi="Times New Roman"/>
          <w:sz w:val="20"/>
          <w:u w:val="single"/>
        </w:rPr>
        <w:t>Schedule 2.01</w:t>
      </w:r>
      <w:r>
        <w:rPr>
          <w:rFonts w:ascii="Times New Roman" w:hAnsi="Times New Roman"/>
          <w:sz w:val="20"/>
        </w:rPr>
        <w:t xml:space="preserve"> hereto; </w:t>
      </w:r>
      <w:r>
        <w:rPr>
          <w:rFonts w:ascii="Times New Roman" w:hAnsi="Times New Roman"/>
          <w:sz w:val="20"/>
          <w:u w:val="single"/>
        </w:rPr>
        <w:t>provided</w:t>
      </w:r>
      <w:r>
        <w:rPr>
          <w:rFonts w:ascii="Times New Roman" w:hAnsi="Times New Roman"/>
          <w:sz w:val="20"/>
        </w:rPr>
        <w:t xml:space="preserve"> that upon the request of Bidco or any Borrower, any Issuing Bank may agree, in its sole discretion, to increase its LC Commitments under this definition, subject to the aggregate LC Commitments not exceeding the Letter of Credit Sublimit; </w:t>
      </w:r>
      <w:r>
        <w:rPr>
          <w:rFonts w:ascii="Times New Roman" w:hAnsi="Times New Roman"/>
          <w:sz w:val="20"/>
          <w:u w:val="single"/>
        </w:rPr>
        <w:t>provided</w:t>
      </w:r>
      <w:r>
        <w:rPr>
          <w:rFonts w:ascii="Times New Roman" w:hAnsi="Times New Roman"/>
          <w:sz w:val="20"/>
        </w:rPr>
        <w:t xml:space="preserve"> that each Issuing Bank’s individual portion of the Letter of Credit Sublimit as set forth in this definition may be increased or decreased by Bidco or such Borrower subject only to the consent of such Issuing Bank.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an honoring of a drawing by an Issuing Bank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amount of all Letters of Credit that remains available for drawing at such time and (b) the aggregate amount of all LC Disbursements that have not yet been reimbursed by or on behalf of the applicable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hAnsi="Times New Roman"/>
          <w:sz w:val="20"/>
          <w:u w:val="single"/>
        </w:rPr>
        <w:t>provided</w:t>
      </w:r>
      <w:r>
        <w:rPr>
          <w:rFonts w:ascii="Times New Roman" w:hAnsi="Times New Roman"/>
          <w:sz w:val="20"/>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TextBody"/>
        <w:bidi w:val="0"/>
        <w:spacing w:before="0" w:after="0"/>
        <w:jc w:val="left"/>
        <w:rPr/>
      </w:pPr>
      <w:r>
        <w:rPr/>
        <w:t>“</w:t>
      </w:r>
      <w:r>
        <w:rPr>
          <w:rFonts w:ascii="Times New Roman" w:hAnsi="Times New Roman"/>
          <w:sz w:val="20"/>
          <w:u w:val="single"/>
        </w:rPr>
        <w:t>LC Reimbursement Date</w:t>
      </w:r>
      <w:r>
        <w:rPr>
          <w:rFonts w:ascii="Times New Roman" w:hAnsi="Times New Roman"/>
          <w:sz w:val="20"/>
        </w:rPr>
        <w:t xml:space="preserve">” has the meaning assigned to such term in </w:t>
      </w:r>
      <w:r>
        <w:rPr>
          <w:rFonts w:ascii="Times New Roman" w:hAnsi="Times New Roman"/>
          <w:sz w:val="20"/>
          <w:u w:val="single"/>
        </w:rPr>
        <w:t>Section 2.04(f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LCT Election</w:t>
      </w:r>
      <w:r>
        <w:rPr>
          <w:rFonts w:ascii="Times New Roman" w:hAnsi="Times New Roman"/>
          <w:sz w:val="20"/>
        </w:rPr>
        <w:t xml:space="preserve">” has the meaning assigned to such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LCT Test Date</w:t>
      </w:r>
      <w:r>
        <w:rPr>
          <w:rFonts w:ascii="Times New Roman" w:hAnsi="Times New Roman"/>
          <w:sz w:val="20"/>
        </w:rPr>
        <w:t xml:space="preserve">” has the meaning assigned to such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Legal Reservations</w:t>
      </w:r>
      <w:r>
        <w:rPr>
          <w:rFonts w:ascii="Times New Roman" w:hAnsi="Times New Roman"/>
          <w:sz w:val="20"/>
        </w:rPr>
        <w:t xml:space="preserve">” means (a) the principle that equitable remedies are remedies which may be granted or refused at the discretion of the court and principles of good faith and fair dealing, (b) applicable Debtor Relief Laws, (c) the existence of timing limitations with respect to the bringing of claims under applicable limitation laws and the defenses of acquiescence, set-off or counterclaim and the possibility that an undertaking to assume liability for, or to indemnify a Person against, non-payment of stamp duty may be void, (d) the principle that in certain jurisdictions and under certain circumstances a Lien granted by way of fixed charge may be re-characterized as a floating charge or that security purported to be constituted as an assignment may be re-characterized as a charge, (e) the principle that additional interest imposed pursuant to any relevant agreement may be held to be unenforceable on the grounds that it is a penalty and thus void, (f) the principle that a court may not give effect to an indemnity for legal costs incurred by an unsuccessful litigant, (g) the principle that the creation or purported creation of collateral over any claim, other right, contract or agreement which is subject to a prohibition on transfer, assignment or charging may be void, ineffective or invalid and may give rise to a breach of the contract or agreement (or contract or agreement relating to or governing the claim or other right) over which security has purportedly been created, (h) the principle that a court may not give effect to any parallel debt provisions, covenants to pay or other similar provisions, (i) the principle that certain remedies in relation to regulated entities may require further approval from government or regulatory bodies or pursuant to agreements with such bodies, (j) the principles of private and procedural laws which affect the enforcement of a foreign court judgment, (k) similar principles, rights and defenses under the laws of any relevant jurisdiction and (l) any other matters which are set out as qualifications or reservations (however described) in any legal opinion delivered pursuant to the Loan Documents.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the Persons listed on </w:t>
      </w:r>
      <w:r>
        <w:rPr>
          <w:rFonts w:ascii="Times New Roman" w:hAnsi="Times New Roman"/>
          <w:sz w:val="20"/>
          <w:u w:val="single"/>
        </w:rPr>
        <w:t>Schedule 2.01</w:t>
      </w:r>
      <w:r>
        <w:rPr>
          <w:rFonts w:ascii="Times New Roman" w:hAnsi="Times New Roman"/>
          <w:sz w:val="20"/>
        </w:rPr>
        <w:t xml:space="preserve">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letter of credit or bank guarantee by an Issuing Bank issued pursuant to this Agreement or deemed outstanding under this Agreement (other than any such letter of credit or bank guarantee that shall have ceased to be a “Letter of Credit” outstanding hereunder pursuant to </w:t>
      </w:r>
      <w:r>
        <w:rPr>
          <w:rFonts w:ascii="Times New Roman" w:hAnsi="Times New Roman"/>
          <w:sz w:val="20"/>
          <w:u w:val="single"/>
        </w:rPr>
        <w:t>Section 9.05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xml:space="preserve">” has the meaning assigned to such term in </w:t>
      </w:r>
      <w:r>
        <w:rPr>
          <w:rFonts w:ascii="Times New Roman" w:hAnsi="Times New Roman"/>
          <w:sz w:val="20"/>
          <w:u w:val="single"/>
        </w:rPr>
        <w:t>Section 2.04(b)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an amount equal to $100,000,000. The Letter of Credit Sublimit is part of and not in addition to the aggregate Revolving Commitments. </w:t>
      </w:r>
    </w:p>
    <w:p>
      <w:pPr>
        <w:pStyle w:val="TextBody"/>
        <w:bidi w:val="0"/>
        <w:spacing w:before="240" w:after="0"/>
        <w:jc w:val="left"/>
        <w:rPr/>
      </w:pPr>
      <w:r>
        <w:rPr/>
        <w:t>“</w:t>
      </w:r>
      <w:r>
        <w:rPr>
          <w:rFonts w:ascii="Times New Roman" w:hAnsi="Times New Roman"/>
          <w:sz w:val="20"/>
          <w:u w:val="single"/>
        </w:rPr>
        <w:t>LIBO Rate</w:t>
      </w:r>
      <w:r>
        <w:rPr>
          <w:rFonts w:ascii="Times New Roman" w:hAnsi="Times New Roman"/>
          <w:sz w:val="20"/>
        </w:rPr>
        <w:t xml:space="preserve">” means for any Interest Period, (a) with respect to any Eurodollar Borrowing in dollars, Sterling, Swiss Francs, or Yen (as the case may be), the rate per annum equal to (i) the ICE Benchmark Administration LIBOR Rate or the successor thereto if the ICE Benchmark Administration is no longer making a LIBOR rate available, as published by Reuters (or such other commercially available source providing quotations of ICE LIBOR as may be designated by the Administrative Agent from time to time) at approximately 11:00 a.m., London time, two (2) London Banking Days prior to the commencement of such Interest Period, for dollar deposits (for delivery on the first day of such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TextBody"/>
        <w:bidi w:val="0"/>
        <w:spacing w:before="0" w:after="0"/>
        <w:jc w:val="left"/>
        <w:rPr>
          <w:rFonts w:ascii="Times New Roman" w:hAnsi="Times New Roman"/>
          <w:sz w:val="20"/>
        </w:rPr>
      </w:pPr>
      <w:r>
        <w:rPr>
          <w:rFonts w:ascii="Times New Roman" w:hAnsi="Times New Roman"/>
          <w:sz w:val="20"/>
        </w:rPr>
        <w:t xml:space="preserve">Period) with a term equivalent to such Interest Period or (ii) if such published rate is not available at such time for any reason, then the “LIBO Rate” for such Interest Period shall be the Interpolated Rate, (b) with respect to any Eurodollar Borrowing in Canadian Dollars, the rate for Canadian Dollar denominated bankers’ acceptances on the Reuters Page CDOR (or on any successor or substitute page of such page or such other commercially available source providing quotations of CDOR as may be designated by the Administrative Agent from time to time) at approximately 10:00 a.m., Toronto time, two (2) Business Days prior to the commencement of such Interest Period, for Canadian Dollar denominated bankers’ acceptances (for delivery on the first day of such Interest Period) with a term equivalent to such Interest Period, (c) with respect to any Eurodollar Borrowing in Euros, the euro interbank offered rate administered by the Banking Federation of the European Union or the successor thereto if the Banking Federation of the European Union is no longer making a EURIBOR rate available, as published by Reuters (or such other commercially available source providing quotations of EURIBOR as may be designated by the Administrative Agent from time to time) at approximately 11:00 a.m., Brussels time, two (2) Business Days prior to the commencement of such Interest Period, for Euro deposits (for delivery on the first day of such Interest Period) with a term equivalent to such Interest Period and (d) with respect to any Eurodollar Borrowing in an Alternative Currency other than Euros, Sterling, Swiss Francs, Yen or Canadian Dollars, such reference rate for loans or deposits in such currency for such Interest Period as the Administrative Agent, Bidco and all Revolving Lenders shall agree.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Agreement or the other Loan Documents, the term “LIBO Rate” may be amended to refer to (x) a comparable successor rate, with the consent of (i) only the Administrative Agent (but not, for the avoidance of doubt, any other Lender) (such consent not to be unreasonably withheld or delayed) and Bidco (such consent not to be unreasonably withheld or delayed) (provided that such amendment shall be effective only to the extent the Required Lenders do not object to such proposed amendment within five business days after the Administrative Agent has posted such amendment to all Lenders) or (ii) the Required Lenders and Bidco, or (y) to the extent the Administrative Agent determines in good faith that the consents referenced in the preceding clause (x)(i) are not attainable following commercially reasonable efforts to obtain such consents, a comparable successor rate that is the prevailing market standard for credit agreements of this type for the replacement of, or successors to, the eurodollar rate in the U.S. syndicated loan market as reasonably determined by the Administrative Agent (in consultation with Bidco), and the Administrative Agent shall promptly notify each Lender of such amendment; </w:t>
      </w:r>
      <w:r>
        <w:rPr>
          <w:rFonts w:ascii="Times New Roman" w:hAnsi="Times New Roman"/>
          <w:sz w:val="20"/>
          <w:u w:val="single"/>
        </w:rPr>
        <w:t>provided</w:t>
      </w:r>
      <w:r>
        <w:rPr>
          <w:rFonts w:ascii="Times New Roman" w:hAnsi="Times New Roman"/>
          <w:sz w:val="20"/>
        </w:rPr>
        <w:t xml:space="preserve"> that such amendment shall be effective to the extent the Required Lenders do not object to such proposed amendment within five business days after the Administrative Agent has posted such amendment to all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successor rate under clause (x) or (y) above shall not be less than (a) 1.00% per annum, with respect to any Amendment No. 1 Refinancing Term Loans and (b) 0.00% per annum, with respect to any Revolving Loans.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Times New Roman" w:hAnsi="Times New Roman"/>
          <w:sz w:val="20"/>
          <w:u w:val="single"/>
        </w:rPr>
        <w:t>provided</w:t>
      </w:r>
      <w:r>
        <w:rPr>
          <w:rFonts w:ascii="Times New Roman" w:hAnsi="Times New Roman"/>
          <w:sz w:val="20"/>
        </w:rPr>
        <w:t xml:space="preserve"> that in no event shall an operating lease be deemed to constitute a Lien.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means (a) any acquisition (including by way of merger), Investment, Asset Sale, Restricted Payment requiring declaration (as determined by Bidco) in advance thereof or other transaction by Bidco or one or more of the Restricted Subsidiaries permitted pursuant to this Agreement whose consummation is not conditioned upon the availability of, or on obtaining, third party financing (or, if such a condition does exist, Bidco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TextBody"/>
        <w:bidi w:val="0"/>
        <w:spacing w:before="0" w:after="0"/>
        <w:jc w:val="left"/>
        <w:rPr/>
      </w:pPr>
      <w:r>
        <w:rPr/>
        <w:t>“</w:t>
      </w:r>
      <w:r>
        <w:rPr>
          <w:rFonts w:ascii="Times New Roman" w:hAnsi="Times New Roman"/>
          <w:sz w:val="20"/>
          <w:u w:val="single"/>
        </w:rPr>
        <w:t>Loan Document Obligations</w:t>
      </w:r>
      <w:r>
        <w:rPr>
          <w:rFonts w:ascii="Times New Roman" w:hAnsi="Times New Roman"/>
          <w:sz w:val="20"/>
        </w:rPr>
        <w:t xml:space="preserve">” means (a) the due and punctual payment by the Borrowers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Borrowers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Borrowers under or pursuant to each of the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the Amendment No. 1, any Refinancing Amendment, any Loan Modification Agreement, any Incremental Facility Amendment, the Guarantee Agreement, the Collateral Agreement, the other Security Documents, any Customary Intercreditor Agreement, any Additional Borrower Agreement and, except for purposes of </w:t>
      </w:r>
      <w:r>
        <w:rPr>
          <w:rFonts w:ascii="Times New Roman" w:hAnsi="Times New Roman"/>
          <w:sz w:val="20"/>
          <w:u w:val="single"/>
        </w:rPr>
        <w:t>Section 9.02</w:t>
      </w:r>
      <w:r>
        <w:rPr>
          <w:rFonts w:ascii="Times New Roman" w:hAnsi="Times New Roman"/>
          <w:sz w:val="20"/>
        </w:rPr>
        <w:t xml:space="preserve">, the Fee Letter and any Note delivered pursuant to </w:t>
      </w:r>
      <w:r>
        <w:rPr>
          <w:rFonts w:ascii="Times New Roman" w:hAnsi="Times New Roman"/>
          <w:sz w:val="20"/>
          <w:u w:val="single"/>
        </w:rPr>
        <w:t>Section 2.08(e)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Modification Agreement</w:t>
      </w:r>
      <w:r>
        <w:rPr>
          <w:rFonts w:ascii="Times New Roman" w:hAnsi="Times New Roman"/>
          <w:sz w:val="20"/>
        </w:rPr>
        <w:t xml:space="preserve">” means a Loan Modification Agreement, in form reasonably satisfactory to the Administrative Agent, among the Borrowers, the Administrative Agent and one or more Accepting Lenders, effecting one or more Permitted Amendments and such other amendments hereto and to the other Loan Documents as are contemplated by </w:t>
      </w:r>
      <w:r>
        <w:rPr>
          <w:rFonts w:ascii="Times New Roman" w:hAnsi="Times New Roman"/>
          <w:sz w:val="20"/>
          <w:u w:val="single"/>
        </w:rPr>
        <w:t>Section 2.23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Modification Offer</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Holdings, any Intermediate Parent, Bidco, the Borrowers and the Subsidiary Loan Parties.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the loans made by the Lenders to the Borrowers pursuant to this Agreement. </w:t>
      </w:r>
    </w:p>
    <w:p>
      <w:pPr>
        <w:pStyle w:val="TextBody"/>
        <w:bidi w:val="0"/>
        <w:spacing w:before="240" w:after="0"/>
        <w:jc w:val="left"/>
        <w:rPr/>
      </w:pPr>
      <w:r>
        <w:rPr/>
        <w:t>“</w:t>
      </w:r>
      <w:r>
        <w:rPr>
          <w:rFonts w:ascii="Times New Roman" w:hAnsi="Times New Roman"/>
          <w:sz w:val="20"/>
          <w:u w:val="single"/>
        </w:rPr>
        <w:t>London Banking Day</w:t>
      </w:r>
      <w:r>
        <w:rPr>
          <w:rFonts w:ascii="Times New Roman" w:hAnsi="Times New Roman"/>
          <w:sz w:val="20"/>
        </w:rPr>
        <w:t xml:space="preserve">” means any day on which dealings in dollar deposits are conducted by and between banks in the London interbank eurodollar market. </w:t>
      </w:r>
    </w:p>
    <w:p>
      <w:pPr>
        <w:pStyle w:val="TextBody"/>
        <w:bidi w:val="0"/>
        <w:spacing w:before="240" w:after="0"/>
        <w:jc w:val="left"/>
        <w:rPr/>
      </w:pPr>
      <w:r>
        <w:rPr/>
        <w:t>“</w:t>
      </w:r>
      <w:r>
        <w:rPr>
          <w:rFonts w:ascii="Times New Roman" w:hAnsi="Times New Roman"/>
          <w:sz w:val="20"/>
          <w:u w:val="single"/>
        </w:rPr>
        <w:t>Luxembourg</w:t>
      </w:r>
      <w:r>
        <w:rPr>
          <w:rFonts w:ascii="Times New Roman" w:hAnsi="Times New Roman"/>
          <w:sz w:val="20"/>
        </w:rPr>
        <w:t xml:space="preserve">” means the Grand Duchy of Luxembourg. </w:t>
      </w:r>
    </w:p>
    <w:p>
      <w:pPr>
        <w:pStyle w:val="TextBody"/>
        <w:bidi w:val="0"/>
        <w:spacing w:before="240" w:after="0"/>
        <w:jc w:val="left"/>
        <w:rPr/>
      </w:pPr>
      <w:r>
        <w:rPr/>
        <w:t>“</w:t>
      </w:r>
      <w:r>
        <w:rPr>
          <w:rFonts w:ascii="Times New Roman" w:hAnsi="Times New Roman"/>
          <w:sz w:val="20"/>
          <w:u w:val="single"/>
        </w:rPr>
        <w:t>Luxembourg Companies Register</w:t>
      </w:r>
      <w:r>
        <w:rPr>
          <w:rFonts w:ascii="Times New Roman" w:hAnsi="Times New Roman"/>
          <w:sz w:val="20"/>
        </w:rPr>
        <w:t xml:space="preserve">” means the Luxembourg Register of Commerce and Companies (R.C.S. Luxembourg). </w:t>
      </w:r>
    </w:p>
    <w:p>
      <w:pPr>
        <w:pStyle w:val="TextBody"/>
        <w:bidi w:val="0"/>
        <w:spacing w:before="240" w:after="0"/>
        <w:jc w:val="left"/>
        <w:rPr/>
      </w:pPr>
      <w:r>
        <w:rPr/>
        <w:t>“</w:t>
      </w:r>
      <w:r>
        <w:rPr>
          <w:rFonts w:ascii="Times New Roman" w:hAnsi="Times New Roman"/>
          <w:sz w:val="20"/>
          <w:u w:val="single"/>
        </w:rPr>
        <w:t>Luxembourg Loan Party</w:t>
      </w:r>
      <w:r>
        <w:rPr>
          <w:rFonts w:ascii="Times New Roman" w:hAnsi="Times New Roman"/>
          <w:sz w:val="20"/>
        </w:rPr>
        <w:t xml:space="preserve">” means any Loan Party having its registered office or central administration in Luxembourg, including as of the date of this Agreement, the Finco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p>
    <w:p>
      <w:pPr>
        <w:pStyle w:val="TextBody"/>
        <w:bidi w:val="0"/>
        <w:spacing w:before="0" w:after="0"/>
        <w:jc w:val="left"/>
        <w:rPr/>
      </w:pPr>
      <w:r>
        <w:rPr/>
        <w:t>“</w:t>
      </w:r>
      <w:r>
        <w:rPr>
          <w:rFonts w:ascii="Times New Roman" w:hAnsi="Times New Roman"/>
          <w:sz w:val="20"/>
          <w:u w:val="single"/>
        </w:rPr>
        <w:t>MLI</w:t>
      </w:r>
      <w:r>
        <w:rPr>
          <w:rFonts w:ascii="Times New Roman" w:hAnsi="Times New Roman"/>
          <w:sz w:val="20"/>
        </w:rPr>
        <w:t xml:space="preserve">” means the Multilateral Convention to Implement Tax Treaty Related Measures to Prevent Base Erosion and Profit Shifting of November 24, 2016. </w:t>
      </w:r>
    </w:p>
    <w:p>
      <w:pPr>
        <w:pStyle w:val="TextBody"/>
        <w:bidi w:val="0"/>
        <w:spacing w:before="240" w:after="0"/>
        <w:jc w:val="left"/>
        <w:rPr/>
      </w:pPr>
      <w:r>
        <w:rPr/>
        <w:t>“</w:t>
      </w:r>
      <w:r>
        <w:rPr>
          <w:rFonts w:ascii="Times New Roman" w:hAnsi="Times New Roman"/>
          <w:sz w:val="20"/>
          <w:u w:val="single"/>
        </w:rPr>
        <w:t>Major Events of Default</w:t>
      </w:r>
      <w:r>
        <w:rPr>
          <w:rFonts w:ascii="Times New Roman" w:hAnsi="Times New Roman"/>
          <w:sz w:val="20"/>
        </w:rPr>
        <w:t xml:space="preserve">” means those Events of Default set forth in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7.01(b)</w:t>
      </w:r>
      <w:r>
        <w:rPr>
          <w:rFonts w:ascii="Times New Roman" w:hAnsi="Times New Roman"/>
          <w:sz w:val="20"/>
        </w:rPr>
        <w:t xml:space="preserve"> (in the case of </w:t>
      </w:r>
      <w:r>
        <w:rPr>
          <w:rFonts w:ascii="Times New Roman" w:hAnsi="Times New Roman"/>
          <w:sz w:val="20"/>
          <w:u w:val="single"/>
        </w:rPr>
        <w:t>Sections 7.01(a)</w:t>
      </w:r>
      <w:r>
        <w:rPr>
          <w:rFonts w:ascii="Times New Roman" w:hAnsi="Times New Roman"/>
          <w:sz w:val="20"/>
        </w:rPr>
        <w:t xml:space="preserve"> and </w:t>
      </w:r>
      <w:r>
        <w:rPr>
          <w:rFonts w:ascii="Times New Roman" w:hAnsi="Times New Roman"/>
          <w:sz w:val="20"/>
          <w:u w:val="single"/>
        </w:rPr>
        <w:t>7.01(b)</w:t>
      </w:r>
      <w:r>
        <w:rPr>
          <w:rFonts w:ascii="Times New Roman" w:hAnsi="Times New Roman"/>
          <w:sz w:val="20"/>
        </w:rPr>
        <w:t xml:space="preserve">, with respect to the failure to pay any amount of principal, interest or fees (but not other amounts) (in each case other than where failure to pay is caused by administrative error or delay or technical error or delay in the transmission of funds or a market disruption event and payment is made within five Business Days after such administrative error, delay, technical error, delay in the transmission of funds or market disruption event is cured)), </w:t>
      </w:r>
      <w:r>
        <w:rPr>
          <w:rFonts w:ascii="Times New Roman" w:hAnsi="Times New Roman"/>
          <w:sz w:val="20"/>
          <w:u w:val="single"/>
        </w:rPr>
        <w:t>7.01(c)</w:t>
      </w:r>
      <w:r>
        <w:rPr>
          <w:rFonts w:ascii="Times New Roman" w:hAnsi="Times New Roman"/>
          <w:sz w:val="20"/>
        </w:rPr>
        <w:t xml:space="preserve"> (solely as it relates to any Major Representation), </w:t>
      </w:r>
      <w:r>
        <w:rPr>
          <w:rFonts w:ascii="Times New Roman" w:hAnsi="Times New Roman"/>
          <w:sz w:val="20"/>
          <w:u w:val="single"/>
        </w:rPr>
        <w:t>7.01(d)(i)</w:t>
      </w:r>
      <w:r>
        <w:rPr>
          <w:rFonts w:ascii="Times New Roman" w:hAnsi="Times New Roman"/>
          <w:sz w:val="20"/>
        </w:rPr>
        <w:t xml:space="preserve"> (solely as it relates to any Major Undertaking), </w:t>
      </w:r>
      <w:r>
        <w:rPr>
          <w:rFonts w:ascii="Times New Roman" w:hAnsi="Times New Roman"/>
          <w:sz w:val="20"/>
          <w:u w:val="single"/>
        </w:rPr>
        <w:t>7.01(h)</w:t>
      </w:r>
      <w:r>
        <w:rPr>
          <w:rFonts w:ascii="Times New Roman" w:hAnsi="Times New Roman"/>
          <w:sz w:val="20"/>
        </w:rPr>
        <w:t xml:space="preserve">, </w:t>
      </w:r>
      <w:r>
        <w:rPr>
          <w:rFonts w:ascii="Times New Roman" w:hAnsi="Times New Roman"/>
          <w:sz w:val="20"/>
          <w:u w:val="single"/>
        </w:rPr>
        <w:t>7.01(i)</w:t>
      </w:r>
      <w:r>
        <w:rPr>
          <w:rFonts w:ascii="Times New Roman" w:hAnsi="Times New Roman"/>
          <w:sz w:val="20"/>
        </w:rPr>
        <w:t xml:space="preserve">, </w:t>
      </w:r>
      <w:r>
        <w:rPr>
          <w:rFonts w:ascii="Times New Roman" w:hAnsi="Times New Roman"/>
          <w:sz w:val="20"/>
          <w:u w:val="single"/>
        </w:rPr>
        <w:t>7.01(l)</w:t>
      </w:r>
      <w:r>
        <w:rPr>
          <w:rFonts w:ascii="Times New Roman" w:hAnsi="Times New Roman"/>
          <w:sz w:val="20"/>
        </w:rPr>
        <w:t xml:space="preserve">, </w:t>
      </w:r>
      <w:r>
        <w:rPr>
          <w:rFonts w:ascii="Times New Roman" w:hAnsi="Times New Roman"/>
          <w:sz w:val="20"/>
          <w:u w:val="single"/>
        </w:rPr>
        <w:t>7.01(m)</w:t>
      </w:r>
      <w:r>
        <w:rPr>
          <w:rFonts w:ascii="Times New Roman" w:hAnsi="Times New Roman"/>
          <w:sz w:val="20"/>
        </w:rPr>
        <w:t xml:space="preserve">, </w:t>
      </w:r>
      <w:r>
        <w:rPr>
          <w:rFonts w:ascii="Times New Roman" w:hAnsi="Times New Roman"/>
          <w:sz w:val="20"/>
          <w:u w:val="single"/>
        </w:rPr>
        <w:t>7.01(n)</w:t>
      </w:r>
      <w:r>
        <w:rPr>
          <w:rFonts w:ascii="Times New Roman" w:hAnsi="Times New Roman"/>
          <w:sz w:val="20"/>
        </w:rPr>
        <w:t xml:space="preserve"> and </w:t>
      </w:r>
      <w:r>
        <w:rPr>
          <w:rFonts w:ascii="Times New Roman" w:hAnsi="Times New Roman"/>
          <w:sz w:val="20"/>
          <w:u w:val="single"/>
        </w:rPr>
        <w:t>7.01(o)</w:t>
      </w:r>
      <w:r>
        <w:rPr>
          <w:rFonts w:ascii="Times New Roman" w:hAnsi="Times New Roman"/>
          <w:sz w:val="20"/>
        </w:rPr>
        <w:t xml:space="preserve">, in each case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shall not apply in respect of or relate to the Company or any of its subsidiaries, or any of the assets of the Company or any of its subsidiaries, or a breach of a procuring obligation with respect to the Company or any of its subsidiaries. </w:t>
      </w:r>
    </w:p>
    <w:p>
      <w:pPr>
        <w:pStyle w:val="TextBody"/>
        <w:bidi w:val="0"/>
        <w:spacing w:before="240" w:after="0"/>
        <w:jc w:val="left"/>
        <w:rPr/>
      </w:pPr>
      <w:r>
        <w:rPr/>
        <w:t>“</w:t>
      </w:r>
      <w:r>
        <w:rPr>
          <w:rFonts w:ascii="Times New Roman" w:hAnsi="Times New Roman"/>
          <w:sz w:val="20"/>
          <w:u w:val="single"/>
        </w:rPr>
        <w:t>Major Representations</w:t>
      </w:r>
      <w:r>
        <w:rPr>
          <w:rFonts w:ascii="Times New Roman" w:hAnsi="Times New Roman"/>
          <w:sz w:val="20"/>
        </w:rPr>
        <w:t>” means those representations and warranties set forth in</w:t>
      </w:r>
      <w:r>
        <w:rPr>
          <w:rFonts w:ascii="Times New Roman" w:hAnsi="Times New Roman"/>
          <w:sz w:val="20"/>
          <w:u w:val="single"/>
        </w:rPr>
        <w:t xml:space="preserve"> Sections 3.01(a)</w:t>
      </w:r>
      <w:r>
        <w:rPr>
          <w:rFonts w:ascii="Times New Roman" w:hAnsi="Times New Roman"/>
          <w:sz w:val="20"/>
        </w:rPr>
        <w:t xml:space="preserve">, </w:t>
      </w:r>
      <w:r>
        <w:rPr>
          <w:rFonts w:ascii="Times New Roman" w:hAnsi="Times New Roman"/>
          <w:sz w:val="20"/>
          <w:u w:val="single"/>
        </w:rPr>
        <w:t>3.01(b)</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and </w:t>
      </w:r>
      <w:r>
        <w:rPr>
          <w:rFonts w:ascii="Times New Roman" w:hAnsi="Times New Roman"/>
          <w:sz w:val="20"/>
          <w:u w:val="single"/>
        </w:rPr>
        <w:t>3.03(b)</w:t>
      </w:r>
      <w:r>
        <w:rPr>
          <w:rFonts w:ascii="Times New Roman" w:hAnsi="Times New Roman"/>
          <w:sz w:val="20"/>
        </w:rPr>
        <w:t xml:space="preserve">, in each case,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as it relates to a Major Representation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240" w:after="0"/>
        <w:jc w:val="left"/>
        <w:rPr/>
      </w:pPr>
      <w:r>
        <w:rPr/>
        <w:t>“</w:t>
      </w:r>
      <w:r>
        <w:rPr>
          <w:rFonts w:ascii="Times New Roman" w:hAnsi="Times New Roman"/>
          <w:sz w:val="20"/>
          <w:u w:val="single"/>
        </w:rPr>
        <w:t>Major Undertakings</w:t>
      </w:r>
      <w:r>
        <w:rPr>
          <w:rFonts w:ascii="Times New Roman" w:hAnsi="Times New Roman"/>
          <w:sz w:val="20"/>
        </w:rPr>
        <w:t xml:space="preserve">” means those undertakings set forth in </w:t>
      </w:r>
      <w:r>
        <w:rPr>
          <w:rFonts w:ascii="Times New Roman" w:hAnsi="Times New Roman"/>
          <w:sz w:val="20"/>
          <w:u w:val="single"/>
        </w:rPr>
        <w:t>Sections 5.19</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w:t>
      </w:r>
      <w:r>
        <w:rPr>
          <w:rFonts w:ascii="Times New Roman" w:hAnsi="Times New Roman"/>
          <w:sz w:val="20"/>
          <w:u w:val="single"/>
        </w:rPr>
        <w:t xml:space="preserve"> 6.03</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and </w:t>
      </w:r>
      <w:r>
        <w:rPr>
          <w:rFonts w:ascii="Times New Roman" w:hAnsi="Times New Roman"/>
          <w:sz w:val="20"/>
          <w:u w:val="single"/>
        </w:rPr>
        <w:t>6.05</w:t>
      </w:r>
      <w:r>
        <w:rPr>
          <w:rFonts w:ascii="Times New Roman" w:hAnsi="Times New Roman"/>
          <w:sz w:val="20"/>
        </w:rPr>
        <w:t xml:space="preserv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as it relates to a Major Undertaking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240" w:after="0"/>
        <w:jc w:val="left"/>
        <w:rPr/>
      </w:pPr>
      <w:r>
        <w:rPr/>
        <w:t>“</w:t>
      </w:r>
      <w:r>
        <w:rPr>
          <w:rFonts w:ascii="Times New Roman" w:hAnsi="Times New Roman"/>
          <w:sz w:val="20"/>
          <w:u w:val="single"/>
        </w:rPr>
        <w:t>Majority in Interest</w:t>
      </w:r>
      <w:r>
        <w:rPr>
          <w:rFonts w:ascii="Times New Roman" w:hAnsi="Times New Roman"/>
          <w:sz w:val="20"/>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hAnsi="Times New Roman"/>
          <w:sz w:val="20"/>
          <w:u w:val="single"/>
        </w:rPr>
        <w:t>provided</w:t>
      </w:r>
      <w:r>
        <w:rPr>
          <w:rFonts w:ascii="Times New Roman" w:hAnsi="Times New Roman"/>
          <w:sz w:val="20"/>
        </w:rPr>
        <w:t xml:space="preserve"> that whenever there are one or more Defaulting Lenders, the total outstanding Term Loans and Revolving Exposures of, and the unused Revolving Commitments and unused Term Commitments of, each Defaulting Lender shall be excluded for purposes of making a determination of the Majority in Interest. </w:t>
      </w:r>
    </w:p>
    <w:p>
      <w:pPr>
        <w:pStyle w:val="TextBody"/>
        <w:bidi w:val="0"/>
        <w:spacing w:before="240" w:after="0"/>
        <w:jc w:val="left"/>
        <w:rPr/>
      </w:pPr>
      <w:r>
        <w:rPr/>
        <w:t>“</w:t>
      </w:r>
      <w:r>
        <w:rPr>
          <w:rFonts w:ascii="Times New Roman" w:hAnsi="Times New Roman"/>
          <w:sz w:val="20"/>
          <w:u w:val="single"/>
        </w:rPr>
        <w:t>Management Investors</w:t>
      </w:r>
      <w:r>
        <w:rPr>
          <w:rFonts w:ascii="Times New Roman" w:hAnsi="Times New Roman"/>
          <w:sz w:val="20"/>
        </w:rPr>
        <w:t xml:space="preserve">” means the members of the Board of Directors, officers and employees of Holdings, Bidco and/or its Subsidiaries who are (directly or indirectly through one or more investment vehicles) investors in Holdings (or any direct or indirect parent thereof). </w:t>
      </w:r>
    </w:p>
    <w:p>
      <w:pPr>
        <w:pStyle w:val="TextBody"/>
        <w:bidi w:val="0"/>
        <w:spacing w:before="240" w:after="0"/>
        <w:jc w:val="left"/>
        <w:rPr/>
      </w:pPr>
      <w:r>
        <w:rPr/>
        <w:t>“</w:t>
      </w:r>
      <w:r>
        <w:rPr>
          <w:rFonts w:ascii="Times New Roman" w:hAnsi="Times New Roman"/>
          <w:sz w:val="20"/>
          <w:u w:val="single"/>
        </w:rPr>
        <w:t>Master Agreement</w:t>
      </w:r>
      <w:r>
        <w:rPr>
          <w:rFonts w:ascii="Times New Roman" w:hAnsi="Times New Roman"/>
          <w:sz w:val="20"/>
        </w:rPr>
        <w:t xml:space="preserve">” has the meaning assigned to such term in the definition of “Swap Agreement.”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circumstance or condition affecting the business, financial condition, or results of operations of Bidco and its Subsidiaries, taken as a whole, that would reasonably be expected to have a materially adverse effect on (a) the ability of Bidco and the other Loan Parties, taken as a whole, to perform their payment obligations under the Loan Documents or (b) the material rights and remedies of the Administrative Agent, the Issuing Banks and the Lenders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TextBody"/>
        <w:bidi w:val="0"/>
        <w:spacing w:before="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for borrowed money (other than the Loan Document Obligations), Capitalized Lease Obligations, unreimbursed obligations for letter of credit drawings and financial guarantees (other than ordinary course of business contingent reimbursement obligations) or obligations in respect of one or more Swap Agreements, of any one or more of Bidco and the Restricted Subsidiaries in an aggregate principal amount exceeding the greater of (x) $250,000,000 and (y) 33.33% of Consolidated EBITDA for the most recently ended Test Period as of such date, calculated on a Pro Forma Basis. For purposes of determining Material Indebtedness, the “principal amount” of the obligations in respect of any Swap Agreement at any time shall be the maximum aggregate amount (giving effect to any netting agreements) that Bidco or such Restricted Subsidiary would be required to pay if such Swap Agreement were terminated at such time. </w:t>
      </w:r>
    </w:p>
    <w:p>
      <w:pPr>
        <w:pStyle w:val="TextBody"/>
        <w:bidi w:val="0"/>
        <w:spacing w:before="240" w:after="0"/>
        <w:jc w:val="left"/>
        <w:rPr/>
      </w:pPr>
      <w:r>
        <w:rPr/>
        <w:t>“</w:t>
      </w:r>
      <w:r>
        <w:rPr>
          <w:rFonts w:ascii="Times New Roman" w:hAnsi="Times New Roman"/>
          <w:sz w:val="20"/>
          <w:u w:val="single"/>
        </w:rPr>
        <w:t>Material Non-Public Information</w:t>
      </w:r>
      <w:r>
        <w:rPr>
          <w:rFonts w:ascii="Times New Roman" w:hAnsi="Times New Roman"/>
          <w:sz w:val="20"/>
        </w:rPr>
        <w:t xml:space="preserve">” means (a) if Holdings is a public reporting company, material non-public information with respect to Holdings or its subsidiaries, or the respective securities of any of the foregoing for purposes of United States Federal and state securities laws, and (b) if Holdings is not a public reporting company, information that is (i) of the type that would be required to be made publicly available if Holdings or any of its subsidiaries were a public reporting company and (ii) material with respect to Holdings and its subsidiaries or any of their respective securities for purposes of United States Federal or state securities laws.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means each Wholly Owned Restricted Subsidiary that, as of the last day of the fiscal quarter of Bidco most recently ended, had net revenues or total assets for such quarter in excess of 5.0% of the consolidated net revenues or total assets, as applicable, of Bidco and the Restricted Subsidiaries for such quarter; </w:t>
      </w:r>
      <w:r>
        <w:rPr>
          <w:rFonts w:ascii="Times New Roman" w:hAnsi="Times New Roman"/>
          <w:sz w:val="20"/>
          <w:u w:val="single"/>
        </w:rPr>
        <w:t>provided</w:t>
      </w:r>
      <w:r>
        <w:rPr>
          <w:rFonts w:ascii="Times New Roman" w:hAnsi="Times New Roman"/>
          <w:sz w:val="20"/>
        </w:rPr>
        <w:t xml:space="preserve"> that in the event that the Immaterial Subsidiaries, taken together, had as of the last day of the fiscal quarter of Bidco most recently ended net revenues or total assets in excess of 10.0% of the consolidated revenues or total assets, as applicable, of Bidco and the Restricted Subsidiaries for such quarter, Bidco shall designate at its sole discretion one or more Immaterial Subsidiaries to be a Material Subsidiary as may be necessary such that the foregoing 10.0% limit shall not be exceeded, and any such Subsidiary shall thereafter be deemed to be an Material Subsidiary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may re-designate Material Subsidiaries as Immaterial Subsidiaries so long as Bidco is in compliance with the foregoing.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to such term in </w:t>
      </w:r>
      <w:r>
        <w:rPr>
          <w:rFonts w:ascii="Times New Roman" w:hAnsi="Times New Roman"/>
          <w:sz w:val="20"/>
          <w:u w:val="single"/>
        </w:rPr>
        <w:t>Section 9.16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Equity Requirement</w:t>
      </w:r>
      <w:r>
        <w:rPr>
          <w:rFonts w:ascii="Times New Roman" w:hAnsi="Times New Roman"/>
          <w:sz w:val="20"/>
        </w:rPr>
        <w:t xml:space="preserve">” means, as at the relevant date of calculation, that the Equity Contributions are not less than 35% of the Capitalized Amount. </w:t>
      </w:r>
    </w:p>
    <w:p>
      <w:pPr>
        <w:pStyle w:val="TextBody"/>
        <w:bidi w:val="0"/>
        <w:spacing w:before="240" w:after="0"/>
        <w:jc w:val="left"/>
        <w:rPr/>
      </w:pPr>
      <w:r>
        <w:rPr/>
        <w:t>“</w:t>
      </w:r>
      <w:r>
        <w:rPr>
          <w:rFonts w:ascii="Times New Roman" w:hAnsi="Times New Roman"/>
          <w:sz w:val="20"/>
          <w:u w:val="single"/>
        </w:rPr>
        <w:t>Model</w:t>
      </w:r>
      <w:r>
        <w:rPr>
          <w:rFonts w:ascii="Times New Roman" w:hAnsi="Times New Roman"/>
          <w:sz w:val="20"/>
        </w:rPr>
        <w:t xml:space="preserve">” means that certain financial model delivered to the Joint Lead Arrangers on March 2, 2019 (together with any updates or modifications thereto reasonably agreed between Bidco and the Administrative Agent).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TextBody"/>
        <w:bidi w:val="0"/>
        <w:spacing w:before="0" w:after="0"/>
        <w:jc w:val="left"/>
        <w:rPr/>
      </w:pPr>
      <w:r>
        <w:rPr/>
        <w:t>“</w:t>
      </w:r>
      <w:r>
        <w:rPr>
          <w:rFonts w:ascii="Times New Roman" w:hAnsi="Times New Roman"/>
          <w:sz w:val="20"/>
          <w:u w:val="single"/>
        </w:rPr>
        <w:t>Net Income</w:t>
      </w:r>
      <w:r>
        <w:rPr>
          <w:rFonts w:ascii="Times New Roman" w:hAnsi="Times New Roman"/>
          <w:sz w:val="20"/>
        </w:rPr>
        <w:t xml:space="preserve">” means, with respect to any Person, the net income (loss) of such Person, determined in accordance with IFRS and before any reduction in respect of Preferred Stock dividends. </w:t>
      </w:r>
    </w:p>
    <w:p>
      <w:pPr>
        <w:pStyle w:val="TextBody"/>
        <w:bidi w:val="0"/>
        <w:spacing w:before="240" w:after="0"/>
        <w:jc w:val="left"/>
        <w:rPr/>
      </w:pPr>
      <w:r>
        <w:rPr/>
        <w:t>“</w:t>
      </w:r>
      <w:r>
        <w:rPr>
          <w:rFonts w:ascii="Times New Roman" w:hAnsi="Times New Roman"/>
          <w:sz w:val="20"/>
          <w:u w:val="single"/>
        </w:rPr>
        <w:t>Net Proceeds</w:t>
      </w:r>
      <w:r>
        <w:rPr>
          <w:rFonts w:ascii="Times New Roman" w:hAnsi="Times New Roman"/>
          <w:sz w:val="20"/>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hAnsi="Times New Roman"/>
          <w:sz w:val="20"/>
          <w:u w:val="single"/>
        </w:rPr>
        <w:t>minus</w:t>
      </w:r>
      <w:r>
        <w:rPr>
          <w:rFonts w:ascii="Times New Roman" w:hAnsi="Times New Roman"/>
          <w:sz w:val="20"/>
        </w:rPr>
        <w:t xml:space="preserve"> (b) without duplication the sum of (i) all fees and out-of-pocket expenses paid by Bidco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Bidco and the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Bidco or the Restricted Subsidiaries as a result thereof and (z) the amount of any liabilities directly associated with such asset and retained by Bidco or any Restricted Subsidiary and (iii) the amount of all taxes paid (or reasonably estimated to be payable), the amount of Tax Distributions, dividends and other Restricted Payments that Bidco and/or the Restricted Subsidiaries may make pursuant to </w:t>
      </w:r>
      <w:r>
        <w:rPr>
          <w:rFonts w:ascii="Times New Roman" w:hAnsi="Times New Roman"/>
          <w:sz w:val="20"/>
          <w:u w:val="single"/>
        </w:rPr>
        <w:t>Section 6.05(b)(xv)(B)</w:t>
      </w:r>
      <w:r>
        <w:rPr>
          <w:rFonts w:ascii="Times New Roman" w:hAnsi="Times New Roman"/>
          <w:sz w:val="20"/>
        </w:rPr>
        <w:t xml:space="preserve"> as a result of such event, and the amount of any reserves established by Holdings, any Intermediate Parent, Bidco and the Restricted Subsidiaries to fund contingent liabilities reasonably estimated to be payable, that are directly attributable to such event, </w:t>
      </w:r>
      <w:r>
        <w:rPr>
          <w:rFonts w:ascii="Times New Roman" w:hAnsi="Times New Roman"/>
          <w:sz w:val="20"/>
          <w:u w:val="single"/>
        </w:rPr>
        <w:t>provided</w:t>
      </w:r>
      <w:r>
        <w:rPr>
          <w:rFonts w:ascii="Times New Roman" w:hAnsi="Times New Roman"/>
          <w:sz w:val="20"/>
        </w:rPr>
        <w:t xml:space="preserve"> that any reduction at any time in the amount of any such reserves (other than as a result of payments made in respect thereof) shall be deemed to constitute the receipt by Bidco at such time of Net Proceeds in the amount of such reduction. </w:t>
      </w:r>
    </w:p>
    <w:p>
      <w:pPr>
        <w:pStyle w:val="TextBody"/>
        <w:bidi w:val="0"/>
        <w:spacing w:before="240" w:after="0"/>
        <w:jc w:val="left"/>
        <w:rPr/>
      </w:pPr>
      <w:r>
        <w:rPr/>
        <w:t>“</w:t>
      </w:r>
      <w:r>
        <w:rPr>
          <w:rFonts w:ascii="Times New Roman" w:hAnsi="Times New Roman"/>
          <w:sz w:val="20"/>
          <w:u w:val="single"/>
        </w:rPr>
        <w:t>New Contracts</w:t>
      </w:r>
      <w:r>
        <w:rPr>
          <w:rFonts w:ascii="Times New Roman" w:hAnsi="Times New Roman"/>
          <w:sz w:val="20"/>
        </w:rPr>
        <w:t xml:space="preserve">” means executed agreements with new customers that have contracted with Bidco and its Subsidiaries, for which pricing, volumes and margins from the covered product categories are readily identified. </w:t>
      </w:r>
    </w:p>
    <w:p>
      <w:pPr>
        <w:pStyle w:val="TextBody"/>
        <w:bidi w:val="0"/>
        <w:spacing w:before="240" w:after="0"/>
        <w:jc w:val="left"/>
        <w:rPr/>
      </w:pPr>
      <w:r>
        <w:rPr/>
        <w:t>“</w:t>
      </w:r>
      <w:r>
        <w:rPr>
          <w:rFonts w:ascii="Times New Roman" w:hAnsi="Times New Roman"/>
          <w:sz w:val="20"/>
          <w:u w:val="single"/>
        </w:rPr>
        <w:t>Non-Accepting Lender</w:t>
      </w:r>
      <w:r>
        <w:rPr>
          <w:rFonts w:ascii="Times New Roman" w:hAnsi="Times New Roman"/>
          <w:sz w:val="20"/>
        </w:rPr>
        <w:t xml:space="preserve">” has the meaning assigned to such term in </w:t>
      </w:r>
      <w:r>
        <w:rPr>
          <w:rFonts w:ascii="Times New Roman" w:hAnsi="Times New Roman"/>
          <w:sz w:val="20"/>
          <w:u w:val="single"/>
        </w:rPr>
        <w:t>Section 2.23(c)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Non-Cash Compensation Expense</w:t>
      </w:r>
      <w:r>
        <w:rPr>
          <w:rFonts w:ascii="Times New Roman" w:hAnsi="Times New Roman"/>
          <w:sz w:val="20"/>
        </w:rPr>
        <w:t xml:space="preserve">” means any non-cash expenses and costs that result from the issuance of stock-based awards, partnership interest-based awards and similar incentive based compensation awards or arrangements.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Non-U.S. Loan Party</w:t>
      </w:r>
      <w:r>
        <w:rPr>
          <w:rFonts w:ascii="Times New Roman" w:hAnsi="Times New Roman"/>
          <w:sz w:val="20"/>
        </w:rPr>
        <w:t xml:space="preserve">” means any Loan Party organized in any jurisdiction other than the United States, any state thereof or the District of Columbia. </w:t>
      </w:r>
    </w:p>
    <w:p>
      <w:pPr>
        <w:pStyle w:val="TextBody"/>
        <w:bidi w:val="0"/>
        <w:spacing w:before="240" w:after="0"/>
        <w:jc w:val="left"/>
        <w:rPr/>
      </w:pPr>
      <w:r>
        <w:rPr/>
        <w:t>“</w:t>
      </w:r>
      <w:r>
        <w:rPr>
          <w:rFonts w:ascii="Times New Roman" w:hAnsi="Times New Roman"/>
          <w:sz w:val="20"/>
          <w:u w:val="single"/>
        </w:rPr>
        <w:t>Non-U.S. Restricted Subsidiary</w:t>
      </w:r>
      <w:r>
        <w:rPr>
          <w:rFonts w:ascii="Times New Roman" w:hAnsi="Times New Roman"/>
          <w:sz w:val="20"/>
        </w:rPr>
        <w:t xml:space="preserve">” means any Subsidiary of Bidco organized in any jurisdiction other than the United States, any state thereof or the District of Columbia that is not an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TextBody"/>
        <w:bidi w:val="0"/>
        <w:spacing w:before="0" w:after="0"/>
        <w:jc w:val="left"/>
        <w:rPr/>
      </w:pPr>
      <w:r>
        <w:rPr/>
        <w:t>“</w:t>
      </w:r>
      <w:r>
        <w:rPr>
          <w:rFonts w:ascii="Times New Roman" w:hAnsi="Times New Roman"/>
          <w:sz w:val="20"/>
          <w:u w:val="single"/>
        </w:rPr>
        <w:t>Non-U.S. Security Agreement</w:t>
      </w:r>
      <w:r>
        <w:rPr>
          <w:rFonts w:ascii="Times New Roman" w:hAnsi="Times New Roman"/>
          <w:sz w:val="20"/>
        </w:rPr>
        <w:t xml:space="preserve">” means (a) each security agreement executed by a Non-U.S. Restricted Subsidiary and listed on </w:t>
      </w:r>
      <w:r>
        <w:rPr>
          <w:rFonts w:ascii="Times New Roman" w:hAnsi="Times New Roman"/>
          <w:sz w:val="20"/>
          <w:u w:val="single"/>
        </w:rPr>
        <w:t>Schedule 1.01(d)</w:t>
      </w:r>
      <w:r>
        <w:rPr>
          <w:rFonts w:ascii="Times New Roman" w:hAnsi="Times New Roman"/>
          <w:sz w:val="20"/>
        </w:rPr>
        <w:t xml:space="preserve"> and (b) each other security agreement executed by the Non-U.S. Restricted Subsidiary pursuant to </w:t>
      </w:r>
      <w:r>
        <w:rPr>
          <w:rFonts w:ascii="Times New Roman" w:hAnsi="Times New Roman"/>
          <w:sz w:val="20"/>
          <w:u w:val="single"/>
        </w:rPr>
        <w:t>Section 5.12</w:t>
      </w:r>
      <w:r>
        <w:rPr>
          <w:rFonts w:ascii="Times New Roman" w:hAnsi="Times New Roman"/>
          <w:sz w:val="20"/>
        </w:rPr>
        <w:t xml:space="preserve"> in accordance with the Agreed Security Principles. </w:t>
      </w:r>
    </w:p>
    <w:p>
      <w:pPr>
        <w:pStyle w:val="TextBody"/>
        <w:bidi w:val="0"/>
        <w:spacing w:before="240" w:after="0"/>
        <w:jc w:val="left"/>
        <w:rPr/>
      </w:pPr>
      <w:r>
        <w:rPr/>
        <w:t>“</w:t>
      </w:r>
      <w:r>
        <w:rPr>
          <w:rFonts w:ascii="Times New Roman" w:hAnsi="Times New Roman"/>
          <w:sz w:val="20"/>
          <w:u w:val="single"/>
        </w:rPr>
        <w:t>Non-Wholly Owned Subsidiary</w:t>
      </w:r>
      <w:r>
        <w:rPr>
          <w:rFonts w:ascii="Times New Roman" w:hAnsi="Times New Roman"/>
          <w:sz w:val="20"/>
        </w:rPr>
        <w:t xml:space="preserve">” of any Person means any Subsidiary of such Person other than a Wholly Owned Subsidiary.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 promissory note of the Borrowers, in substantially the form of </w:t>
      </w:r>
      <w:r>
        <w:rPr>
          <w:rFonts w:ascii="Times New Roman" w:hAnsi="Times New Roman"/>
          <w:sz w:val="20"/>
          <w:u w:val="single"/>
        </w:rPr>
        <w:t>Exhibit R</w:t>
      </w:r>
      <w:r>
        <w:rPr>
          <w:rFonts w:ascii="Times New Roman" w:hAnsi="Times New Roman"/>
          <w:sz w:val="20"/>
        </w:rPr>
        <w:t xml:space="preserve">, payable to a Lender in a principal amount equal to the principal amount of the Revolving Commitment or Term Loans, as applicable, of such Lender. </w:t>
      </w:r>
    </w:p>
    <w:p>
      <w:pPr>
        <w:pStyle w:val="TextBody"/>
        <w:bidi w:val="0"/>
        <w:spacing w:before="240" w:after="0"/>
        <w:jc w:val="left"/>
        <w:rPr/>
      </w:pPr>
      <w:r>
        <w:rPr/>
        <w:t>“</w:t>
      </w:r>
      <w:r>
        <w:rPr>
          <w:rFonts w:ascii="Times New Roman" w:hAnsi="Times New Roman"/>
          <w:sz w:val="20"/>
          <w:u w:val="single"/>
        </w:rPr>
        <w:t>Offered Amount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Offered Discount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with respect to any Person, the charter, articles or certificate of organization, constitution or incorporation and bylaws or other organizational or governing documents of such Person.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Lender, Taxes that would otherwise be “Other Taxes and which are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Revolving Commitments</w:t>
      </w:r>
      <w:r>
        <w:rPr>
          <w:rFonts w:ascii="Times New Roman" w:hAnsi="Times New Roman"/>
          <w:sz w:val="20"/>
        </w:rPr>
        <w:t xml:space="preserve">” means one or more Classes of Revolving Commitments hereunder or extended Revolving Commitments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Other Revolving Loans</w:t>
      </w:r>
      <w:r>
        <w:rPr>
          <w:rFonts w:ascii="Times New Roman" w:hAnsi="Times New Roman"/>
          <w:sz w:val="20"/>
        </w:rPr>
        <w:t xml:space="preserve">” means one or more classes or Revolving Loans made pursuant to any Other Revolving Commitment or a Loan Modification Agreement.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recording, stamp, documentary, excise, transfer, sales, property or similar Taxes, charges or levies arising from any payment made under any Loan Document or from the execution, delivery, performance, or enforcement of, or from the receipt or perfection of a security interest under, or otherwise with respect to, any Loan Document excluding, in each case, any Other Connection Taxes or U.K. stamp duty or stamp duty reserve tax imposed as a result of a Lender’s Assignment and Assumption, grant of a participation, transfer or assignment to or designation of a new applicable Lending Office or other office for receiving payments under any Loan Document (other than where any of the foregoing results from a request by the Borrowers under </w:t>
      </w:r>
      <w:r>
        <w:rPr>
          <w:rFonts w:ascii="Times New Roman" w:hAnsi="Times New Roman"/>
          <w:sz w:val="20"/>
          <w:u w:val="single"/>
        </w:rPr>
        <w:t>Section 2.18</w:t>
      </w:r>
      <w:r>
        <w:rPr>
          <w:rFonts w:ascii="Times New Roman" w:hAnsi="Times New Roman"/>
          <w:sz w:val="20"/>
        </w:rPr>
        <w:t xml:space="preserve"> hereto), and VAT (which, if applicable, shall be dealt with in accordance with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Other Term Commitments</w:t>
      </w:r>
      <w:r>
        <w:rPr>
          <w:rFonts w:ascii="Times New Roman" w:hAnsi="Times New Roman"/>
          <w:sz w:val="20"/>
        </w:rPr>
        <w:t xml:space="preserve">” means one or more Classes of term loan commitments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Other Term Loans</w:t>
      </w:r>
      <w:r>
        <w:rPr>
          <w:rFonts w:ascii="Times New Roman" w:hAnsi="Times New Roman"/>
          <w:sz w:val="20"/>
        </w:rPr>
        <w:t xml:space="preserve">” means one or more Classes of Term Loans hereunder that result from a Refinancing Amendment or a Loan Modification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TextBody"/>
        <w:bidi w:val="0"/>
        <w:spacing w:before="0" w:after="0"/>
        <w:jc w:val="left"/>
        <w:rPr/>
      </w:pPr>
      <w:r>
        <w:rPr/>
        <w:t>“</w:t>
      </w:r>
      <w:r>
        <w:rPr>
          <w:rFonts w:ascii="Times New Roman" w:hAnsi="Times New Roman"/>
          <w:sz w:val="20"/>
          <w:u w:val="single"/>
        </w:rPr>
        <w:t>Panel</w:t>
      </w:r>
      <w:r>
        <w:rPr>
          <w:rFonts w:ascii="Times New Roman" w:hAnsi="Times New Roman"/>
          <w:sz w:val="20"/>
        </w:rPr>
        <w:t xml:space="preserve">” means the Panel on Takeovers and Mergers. </w:t>
      </w:r>
    </w:p>
    <w:p>
      <w:pPr>
        <w:pStyle w:val="TextBody"/>
        <w:bidi w:val="0"/>
        <w:spacing w:before="240" w:after="0"/>
        <w:jc w:val="left"/>
        <w:rPr/>
      </w:pPr>
      <w:r>
        <w:rPr/>
        <w:t>“</w:t>
      </w:r>
      <w:r>
        <w:rPr>
          <w:rFonts w:ascii="Times New Roman" w:hAnsi="Times New Roman"/>
          <w:sz w:val="20"/>
          <w:u w:val="single"/>
        </w:rPr>
        <w:t>Pari Passu Intercreditor Agreement</w:t>
      </w:r>
      <w:r>
        <w:rPr>
          <w:rFonts w:ascii="Times New Roman" w:hAnsi="Times New Roman"/>
          <w:sz w:val="20"/>
        </w:rPr>
        <w:t>” means the Pari Passu Intercreditor Agreement substantially in the form of</w:t>
      </w:r>
      <w:r>
        <w:rPr>
          <w:rFonts w:ascii="Times New Roman" w:hAnsi="Times New Roman"/>
          <w:sz w:val="20"/>
          <w:u w:val="single"/>
        </w:rPr>
        <w:t xml:space="preserve"> Exhibit F</w:t>
      </w:r>
      <w:r>
        <w:rPr>
          <w:rFonts w:ascii="Times New Roman" w:hAnsi="Times New Roman"/>
          <w:sz w:val="20"/>
        </w:rPr>
        <w:t xml:space="preserve"> among the Administrative Agent and one or more Senior Representatives for holders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On the Effective Date, the Administrative Agent entered into a Pari Passu Intercreditor Agreement with Wilmington Trust, National Association, as the Initial Additional Collateral Agent (as defined therein) and the Initial Additional Authorized Representative (as defined therein), and the other parties party thereto.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assigned to such term in </w:t>
      </w:r>
      <w:r>
        <w:rPr>
          <w:rFonts w:ascii="Times New Roman" w:hAnsi="Times New Roman"/>
          <w:sz w:val="20"/>
          <w:u w:val="single"/>
        </w:rPr>
        <w:t>Section 9.04(c)(i)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to such term in </w:t>
      </w:r>
      <w:r>
        <w:rPr>
          <w:rFonts w:ascii="Times New Roman" w:hAnsi="Times New Roman"/>
          <w:sz w:val="20"/>
          <w:u w:val="single"/>
        </w:rPr>
        <w:t>Section 9.04(c)(ii)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Lender</w:t>
      </w:r>
      <w:r>
        <w:rPr>
          <w:rFonts w:ascii="Times New Roman" w:hAnsi="Times New Roman"/>
          <w:sz w:val="20"/>
        </w:rPr>
        <w:t xml:space="preserve">” has the meaning assigned to such term in </w:t>
      </w:r>
      <w:r>
        <w:rPr>
          <w:rFonts w:ascii="Times New Roman" w:hAnsi="Times New Roman"/>
          <w:sz w:val="20"/>
          <w:u w:val="single"/>
        </w:rPr>
        <w:t>Section 2.10(a)(ii)(C)(2)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Member State</w:t>
      </w:r>
      <w:r>
        <w:rPr>
          <w:rFonts w:ascii="Times New Roman" w:hAnsi="Times New Roman"/>
          <w:sz w:val="20"/>
        </w:rPr>
        <w:t xml:space="preserve">” means each state so described in any EMU Legislation.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Perfection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has the meaning assigned to such term in clause (3) of the definition of “Permitted Investment”. </w:t>
      </w:r>
    </w:p>
    <w:p>
      <w:pPr>
        <w:pStyle w:val="TextBody"/>
        <w:bidi w:val="0"/>
        <w:spacing w:before="240" w:after="0"/>
        <w:jc w:val="left"/>
        <w:rPr/>
      </w:pPr>
      <w:r>
        <w:rPr/>
        <w:t>“</w:t>
      </w:r>
      <w:r>
        <w:rPr>
          <w:rFonts w:ascii="Times New Roman" w:hAnsi="Times New Roman"/>
          <w:sz w:val="20"/>
          <w:u w:val="single"/>
        </w:rPr>
        <w:t>Permitted Amendment</w:t>
      </w:r>
      <w:r>
        <w:rPr>
          <w:rFonts w:ascii="Times New Roman" w:hAnsi="Times New Roman"/>
          <w:sz w:val="20"/>
        </w:rPr>
        <w:t xml:space="preserve">” means an amendment to this Agreement and, if applicable the other Loan Documents, effected in connection with a Loan Modification Offer pursuant to </w:t>
      </w:r>
      <w:r>
        <w:rPr>
          <w:rFonts w:ascii="Times New Roman" w:hAnsi="Times New Roman"/>
          <w:sz w:val="20"/>
          <w:u w:val="single"/>
        </w:rPr>
        <w:t>Section 2.23</w:t>
      </w:r>
      <w:r>
        <w:rPr>
          <w:rFonts w:ascii="Times New Roman" w:hAnsi="Times New Roman"/>
          <w:sz w:val="20"/>
        </w:rPr>
        <w:t xml:space="preserve">,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financial maintenance covenant or other covenant only applicable to, or for the benefit of, a revolving credit facility, also added for the benefit of each revolving credit facility hereunder (and not for the benefit of any term loan facility hereunder) or (iii) only applicable after the Latest Maturity Date at the time of such Loan Modification Offer); </w:t>
      </w:r>
      <w:r>
        <w:rPr>
          <w:rFonts w:ascii="Times New Roman" w:hAnsi="Times New Roman"/>
          <w:sz w:val="20"/>
          <w:u w:val="single"/>
        </w:rPr>
        <w:t>provided</w:t>
      </w:r>
      <w:r>
        <w:rPr>
          <w:rFonts w:ascii="Times New Roman" w:hAnsi="Times New Roman"/>
          <w:sz w:val="20"/>
        </w:rPr>
        <w:t xml:space="preserve"> that, notwithstanding anything to the contrary, such Loans and/or Commitments, as applicable, shall not be subject to any “most favored nation” pricing adjustments set forth in this Agreement. </w:t>
      </w:r>
    </w:p>
    <w:p>
      <w:pPr>
        <w:pStyle w:val="TextBody"/>
        <w:bidi w:val="0"/>
        <w:spacing w:before="240" w:after="0"/>
        <w:jc w:val="left"/>
        <w:rPr/>
      </w:pPr>
      <w:r>
        <w:rPr/>
        <w:t>“</w:t>
      </w:r>
      <w:r>
        <w:rPr>
          <w:rFonts w:ascii="Times New Roman" w:hAnsi="Times New Roman"/>
          <w:sz w:val="20"/>
          <w:u w:val="single"/>
        </w:rPr>
        <w:t>Permitted Asset Swap</w:t>
      </w:r>
      <w:r>
        <w:rPr>
          <w:rFonts w:ascii="Times New Roman" w:hAnsi="Times New Roman"/>
          <w:sz w:val="20"/>
        </w:rPr>
        <w:t xml:space="preserve">” means the concurrent purchase and sale or exchange of assets used or useful in a Similar Business or a combination of such assets and cash or Cash Equivalents between Bidco or any of its Restricted Subsidiaries and another Person; </w:t>
      </w:r>
      <w:r>
        <w:rPr>
          <w:rFonts w:ascii="Times New Roman" w:hAnsi="Times New Roman"/>
          <w:sz w:val="20"/>
          <w:u w:val="single"/>
        </w:rPr>
        <w:t>provided</w:t>
      </w:r>
      <w:r>
        <w:rPr>
          <w:rFonts w:ascii="Times New Roman" w:hAnsi="Times New Roman"/>
          <w:sz w:val="20"/>
        </w:rPr>
        <w:t xml:space="preserve"> that any cash or Cash Equivalents received in excess of the value of any cash or Cash Equivalents sold or exchanged must be applied in accordance with </w:t>
      </w:r>
      <w:r>
        <w:rPr>
          <w:rFonts w:ascii="Times New Roman" w:hAnsi="Times New Roman"/>
          <w:sz w:val="20"/>
          <w:u w:val="single"/>
        </w:rPr>
        <w:t>Section 6.04</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p>
    <w:p>
      <w:pPr>
        <w:pStyle w:val="TextBody"/>
        <w:bidi w:val="0"/>
        <w:spacing w:before="0" w:after="0"/>
        <w:jc w:val="left"/>
        <w:rPr/>
      </w:pPr>
      <w:r>
        <w:rPr/>
        <w:t>“</w:t>
      </w:r>
      <w:r>
        <w:rPr>
          <w:rFonts w:ascii="Times New Roman" w:hAnsi="Times New Roman"/>
          <w:sz w:val="20"/>
          <w:u w:val="single"/>
        </w:rPr>
        <w:t>Permitted Holders</w:t>
      </w:r>
      <w:r>
        <w:rPr>
          <w:rFonts w:ascii="Times New Roman" w:hAnsi="Times New Roman"/>
          <w:sz w:val="20"/>
        </w:rPr>
        <w:t>” means (a) the Investors, (b) the Management Investors, (c) any Person who is acting solely as an underwriter in connection with a public or private offering of Equity Interests of any parent entity of Bidco or Bidco, acting in such capacity, (d) any group (within the meaning of Section 13(d)(3) or Section 14(d)(2) of the Exchange Act or any successor provision) of which any of the foregoing are members if a majority of the Equity Interests owned by the group is owned by Permitted Holders under clause (a) or (b) above</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(e) any Permitted Parent</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and (f) if the Viasat Acquisition is consummated, Viasat and its Subsidiaries; provided that Viasat and its Subsidiaries shall cease to be Permitted Holders pursuant to this clause (f) in the event that any Person or group (other than Permitted Holders described in clauses (a), (b) and (d) of this definition) acquires beneficial ownership (as defined in the definition of “Change of Control”) of Equity Interests of Viasat representing at least the greater of (x) 40% of the aggregate ordinary voting power represented by the issued and outstanding Equity Interests of Viasat and (y) the percentage of the aggregate ordinary voting power represented by the Equity Interests in Viasat held by the Permitted Holders described in clauses (a), (b) and (d) of this definition; provided, further, that, if the Purchase Agreement (as defined in the Viasat Filing) is terminated prior to the closing of the Viasat Acquisition, then this clause (f) shall cease to be operative.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Intercompany Activities</w:t>
      </w:r>
      <w:r>
        <w:rPr>
          <w:rFonts w:ascii="Times New Roman" w:hAnsi="Times New Roman"/>
          <w:sz w:val="20"/>
        </w:rPr>
        <w:t xml:space="preserve">” means any transactions (A) between or among Bidco and its Restricted Subsidiaries that are entered into in connection with the Transactions and/or in the ordinary course of business or consistent with past practice of Bidco and its Restricted Subsidiaries and, in the reasonable determination of Bidco are necessary or advisable in connection with the ownership or operation of the business of Bidco and its Restricted Subsidiaries, including (i) payroll, cash management, purchasing, insurance and hedging arrangements; (ii) management, technology and licensing arrangements; and (iii) customary loyalty and rewards programs; and (B) between or among Bidco and its Restricted Subsidiaries.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Bidco or any of its Restricted Subsidiaries; provided that Investments by any Loan Party in any Restricted Subsidiary that is not a Loan Party made pursuant to this clause (1), taken together with all other Investments by any Loan Party in any Restricted Subsidiary that is not a Loan Party made pursuant to this clause (1) and clause (3) below,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and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in a Person (including to the extent constituting an Investment, in assets of a Person that represent substantially all of its assets or a division, business unit or product line or line of business, including research and development and related assets in respect of any product); </w:t>
      </w:r>
      <w:r>
        <w:rPr>
          <w:rFonts w:ascii="Times New Roman" w:hAnsi="Times New Roman"/>
          <w:sz w:val="20"/>
          <w:u w:val="single"/>
        </w:rPr>
        <w:t>provided</w:t>
      </w:r>
      <w:r>
        <w:rPr>
          <w:rFonts w:ascii="Times New Roman" w:hAnsi="Times New Roman"/>
          <w:sz w:val="20"/>
        </w:rPr>
        <w:t xml:space="preserve"> that as a result of such Investment (a “</w:t>
      </w:r>
      <w:r>
        <w:rPr>
          <w:rFonts w:ascii="Times New Roman" w:hAnsi="Times New Roman"/>
          <w:sz w:val="20"/>
          <w:u w:val="single"/>
        </w:rPr>
        <w:t>Permitted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Person, upon the consummation of such purchase or acquisition, will be a Restricted Subsidiary (including as a result of a merger, amalgamation or consolidation between any Subsidiary and such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p>
    <w:p>
      <w:pPr>
        <w:pStyle w:val="TextBody"/>
        <w:bidi w:val="0"/>
        <w:spacing w:before="0" w:after="0"/>
        <w:jc w:val="left"/>
        <w:rPr>
          <w:rFonts w:ascii="Times New Roman" w:hAnsi="Times New Roman"/>
          <w:sz w:val="20"/>
        </w:rPr>
      </w:pPr>
      <w:r>
        <w:rPr>
          <w:rFonts w:ascii="Times New Roman" w:hAnsi="Times New Roman"/>
          <w:sz w:val="20"/>
        </w:rPr>
        <w:t xml:space="preserve">(b)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Bidco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in each case, any Investment held by such Person; </w:t>
      </w:r>
      <w:r>
        <w:rPr>
          <w:rFonts w:ascii="Times New Roman" w:hAnsi="Times New Roman"/>
          <w:sz w:val="20"/>
          <w:u w:val="single"/>
        </w:rPr>
        <w:t>provided</w:t>
      </w:r>
      <w:r>
        <w:rPr>
          <w:rFonts w:ascii="Times New Roman" w:hAnsi="Times New Roman"/>
          <w:sz w:val="20"/>
        </w:rPr>
        <w:t xml:space="preserve"> that such Investment was not acquired by such Person in contemplation of such acquisition, merger, amalgamation, consolidation or transfer;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actions set forth in the definition of the term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designated as an Unrestricted Subsidiary pursuant to </w:t>
      </w:r>
      <w:r>
        <w:rPr>
          <w:rFonts w:ascii="Times New Roman" w:hAnsi="Times New Roman"/>
          <w:sz w:val="20"/>
          <w:u w:val="single"/>
        </w:rPr>
        <w:t>Section 5.13</w:t>
      </w:r>
      <w:r>
        <w:rPr>
          <w:rFonts w:ascii="Times New Roman" w:hAnsi="Times New Roman"/>
          <w:sz w:val="20"/>
        </w:rPr>
        <w:t xml:space="preserve"> or is otherwise an Excluded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Investments by any Loan Party in any Restricted Subsidiary that is not a Loan Party made pursuant to this clause (3), taken together with all other Investments by any Loan Party in any Restricted Subsidiary that is not a Loan Party made pursuant to this clause (3) and clause (1) above,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in securities, promissory notes or other assets not constituting cash, Cash Equivalents or Investment Grade Securities and received in connection with an Asset Sale made pursuant to the provisions of </w:t>
      </w:r>
      <w:r>
        <w:rPr>
          <w:rFonts w:ascii="Times New Roman" w:hAnsi="Times New Roman"/>
          <w:sz w:val="20"/>
          <w:u w:val="single"/>
        </w:rPr>
        <w:t>Section 6.04</w:t>
      </w:r>
      <w:r>
        <w:rPr>
          <w:rFonts w:ascii="Times New Roman" w:hAnsi="Times New Roman"/>
          <w:sz w:val="20"/>
        </w:rPr>
        <w:t xml:space="preserve"> hereof or any other disposition of assets not constituting an Asset Sale; </w:t>
      </w:r>
    </w:p>
    <w:p>
      <w:pPr>
        <w:pStyle w:val="TextBody"/>
        <w:bidi w:val="0"/>
        <w:spacing w:before="120" w:after="0"/>
        <w:jc w:val="left"/>
        <w:rPr>
          <w:rFonts w:ascii="Times New Roman" w:hAnsi="Times New Roman"/>
          <w:sz w:val="20"/>
        </w:rPr>
      </w:pPr>
      <w:r>
        <w:rPr>
          <w:rFonts w:ascii="Times New Roman" w:hAnsi="Times New Roman"/>
          <w:sz w:val="20"/>
        </w:rPr>
        <w:t xml:space="preserve">(5) (a) any Investment existing or made pursuant to binding commitments in effect on the Effective Date or an Investment consisting of any extension, modification or renewal of any such Investment and (b) any Investment existing on the Effective Date by any Borrower or any Restricted Subsidiary in any Borrower or any Restricted Subsidiary or an Investment consisting of any extension, modification or renewal of any such Investment; </w:t>
      </w:r>
      <w:r>
        <w:rPr>
          <w:rFonts w:ascii="Times New Roman" w:hAnsi="Times New Roman"/>
          <w:sz w:val="20"/>
          <w:u w:val="single"/>
        </w:rPr>
        <w:t>provided</w:t>
      </w:r>
      <w:r>
        <w:rPr>
          <w:rFonts w:ascii="Times New Roman" w:hAnsi="Times New Roman"/>
          <w:sz w:val="20"/>
        </w:rPr>
        <w:t xml:space="preserve"> that the amount of any such Investment may be increased in such extension, modification or renewal only (i) as required by the terms of such Investment or binding commitment as in existence on the Effective Date (including as a result of the accrual or accretion of interest or original issue discount or the issuance of pay-in-kind securities and premium payable by the terms of such Investment thereon and fees and expenses associated therewith as of the Effective Date) or (ii)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 (including debt obligations and Equity Interests) acquired by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consisting of extensions of trade credit and accommodation guarantees in the ordinary course of business including extensions of credit in the nature of accounts receivable or notes receivable arising from the grant of trade credit; </w:t>
      </w:r>
    </w:p>
    <w:p>
      <w:pPr>
        <w:pStyle w:val="TextBody"/>
        <w:bidi w:val="0"/>
        <w:spacing w:before="120" w:after="0"/>
        <w:jc w:val="left"/>
        <w:rPr>
          <w:rFonts w:ascii="Times New Roman" w:hAnsi="Times New Roman"/>
          <w:sz w:val="20"/>
        </w:rPr>
      </w:pPr>
      <w:r>
        <w:rPr>
          <w:rFonts w:ascii="Times New Roman" w:hAnsi="Times New Roman"/>
          <w:sz w:val="20"/>
        </w:rPr>
        <w:t xml:space="preserve">(b) in exchange for any other Investment or accounts receivable held by Bidco or any such Restricted Subsidiary in connection with or as a result of a bankruptcy, workout, reorganization or recapitalization of the issuer of such other Investment or accounts receivable (including any trade creditor or customer); </w:t>
      </w:r>
    </w:p>
    <w:p>
      <w:pPr>
        <w:pStyle w:val="TextBody"/>
        <w:bidi w:val="0"/>
        <w:spacing w:before="120" w:after="0"/>
        <w:jc w:val="left"/>
        <w:rPr>
          <w:rFonts w:ascii="Times New Roman" w:hAnsi="Times New Roman"/>
          <w:sz w:val="20"/>
        </w:rPr>
      </w:pPr>
      <w:r>
        <w:rPr>
          <w:rFonts w:ascii="Times New Roman" w:hAnsi="Times New Roman"/>
          <w:sz w:val="20"/>
        </w:rPr>
        <w:t xml:space="preserve">(c) in satisfaction of judgments against other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p>
    <w:p>
      <w:pPr>
        <w:pStyle w:val="TextBody"/>
        <w:bidi w:val="0"/>
        <w:spacing w:before="0" w:after="0"/>
        <w:jc w:val="left"/>
        <w:rPr>
          <w:rFonts w:ascii="Times New Roman" w:hAnsi="Times New Roman"/>
          <w:sz w:val="20"/>
        </w:rPr>
      </w:pPr>
      <w:r>
        <w:rPr>
          <w:rFonts w:ascii="Times New Roman" w:hAnsi="Times New Roman"/>
          <w:sz w:val="20"/>
        </w:rPr>
        <w:t xml:space="preserve">(d) as a result of a foreclosure by Bidco or any of its Restricted Subsidiaries with respect to any secured Investment or other transfer of title with respect to any secured Investment in default; or </w:t>
      </w:r>
    </w:p>
    <w:p>
      <w:pPr>
        <w:pStyle w:val="TextBody"/>
        <w:bidi w:val="0"/>
        <w:spacing w:before="120" w:after="0"/>
        <w:jc w:val="left"/>
        <w:rPr>
          <w:rFonts w:ascii="Times New Roman" w:hAnsi="Times New Roman"/>
          <w:sz w:val="20"/>
        </w:rPr>
      </w:pPr>
      <w:r>
        <w:rPr>
          <w:rFonts w:ascii="Times New Roman" w:hAnsi="Times New Roman"/>
          <w:sz w:val="20"/>
        </w:rPr>
        <w:t xml:space="preserve">(e)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w:t>
      </w:r>
    </w:p>
    <w:p>
      <w:pPr>
        <w:pStyle w:val="TextBody"/>
        <w:bidi w:val="0"/>
        <w:spacing w:before="120" w:after="0"/>
        <w:jc w:val="left"/>
        <w:rPr>
          <w:rFonts w:ascii="Times New Roman" w:hAnsi="Times New Roman"/>
          <w:sz w:val="20"/>
        </w:rPr>
      </w:pPr>
      <w:r>
        <w:rPr>
          <w:rFonts w:ascii="Times New Roman" w:hAnsi="Times New Roman"/>
          <w:sz w:val="20"/>
        </w:rPr>
        <w:t xml:space="preserve">(7) Hedging Obligations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(8) any Investment in a Similar Business having an aggregate Fair Market Value, taken together with all other Investments made pursuant to this clause (8) that are at that time outstanding, not to exceed the greater of $187,500,000 and 25% of Consolidated EBITDA for the most recently ended Test Period, calculated on a Pro Forma Basis, at the time of such Investment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(9) Investments and other acquisitions the payment for which consists of Equity Interests (other than Disqualified Equity Interests) of Bidco, any of its direct or indirect parent companies or the IPO Entity or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(10) (i) Indebtedness and guarantees of Indebtedness permitted under </w:t>
      </w:r>
      <w:r>
        <w:rPr>
          <w:rFonts w:ascii="Times New Roman" w:hAnsi="Times New Roman"/>
          <w:sz w:val="20"/>
          <w:u w:val="single"/>
        </w:rPr>
        <w:t>Section 6.01</w:t>
      </w:r>
      <w:r>
        <w:rPr>
          <w:rFonts w:ascii="Times New Roman" w:hAnsi="Times New Roman"/>
          <w:sz w:val="20"/>
        </w:rPr>
        <w:t xml:space="preserve"> hereof; the creation of Liens on the assets of Bidco or any Restricted Subsidiary in compliance with </w:t>
      </w:r>
      <w:r>
        <w:rPr>
          <w:rFonts w:ascii="Times New Roman" w:hAnsi="Times New Roman"/>
          <w:sz w:val="20"/>
          <w:u w:val="single"/>
        </w:rPr>
        <w:t>Section 6.02</w:t>
      </w:r>
      <w:r>
        <w:rPr>
          <w:rFonts w:ascii="Times New Roman" w:hAnsi="Times New Roman"/>
          <w:sz w:val="20"/>
        </w:rPr>
        <w:t xml:space="preserve"> and Restricted Payments permitted under </w:t>
      </w:r>
      <w:r>
        <w:rPr>
          <w:rFonts w:ascii="Times New Roman" w:hAnsi="Times New Roman"/>
          <w:sz w:val="20"/>
          <w:u w:val="single"/>
        </w:rPr>
        <w:t>Section 6.05</w:t>
      </w:r>
      <w:r>
        <w:rPr>
          <w:rFonts w:ascii="Times New Roman" w:hAnsi="Times New Roman"/>
          <w:sz w:val="20"/>
        </w:rPr>
        <w:t xml:space="preserve"> (other than by reference to this clause (10)) and (ii) performance guarantees and Contingent Obligations with respect to obligations that are not prohibited by the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to the extent it constitutes an Investment that is permitted by and made in accordance with the provisions of </w:t>
      </w:r>
      <w:r>
        <w:rPr>
          <w:rFonts w:ascii="Times New Roman" w:hAnsi="Times New Roman"/>
          <w:sz w:val="20"/>
          <w:u w:val="single"/>
        </w:rPr>
        <w:t>Section 5.17</w:t>
      </w:r>
      <w:r>
        <w:rPr>
          <w:rFonts w:ascii="Times New Roman" w:hAnsi="Times New Roman"/>
          <w:sz w:val="20"/>
        </w:rPr>
        <w:t xml:space="preserve"> hereof (except transactions described in clause (xiv)(B) of </w:t>
      </w:r>
      <w:r>
        <w:rPr>
          <w:rFonts w:ascii="Times New Roman" w:hAnsi="Times New Roman"/>
          <w:sz w:val="20"/>
          <w:u w:val="single"/>
        </w:rPr>
        <w:t>Section 5.17</w:t>
      </w:r>
      <w:r>
        <w:rPr>
          <w:rFonts w:ascii="Times New Roman" w:hAnsi="Times New Roman"/>
          <w:sz w:val="20"/>
        </w:rPr>
        <w:t xml:space="preserve"> hereof) or </w:t>
      </w:r>
      <w:r>
        <w:rPr>
          <w:rFonts w:ascii="Times New Roman" w:hAnsi="Times New Roman"/>
          <w:sz w:val="20"/>
          <w:u w:val="single"/>
        </w:rPr>
        <w:t>Section 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to the extent that they constitute Investments, purchases and acquisitions of inventory, supplies, materials or equipment or purchases, acquisitions, licenses or leases of other assets, intellectual property, receivables owing to Bidco or any Restricted Subsidiary or other rights,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(i) to the extent constituting Investments, any payments (including for capital expenditures) under any Satellite Purchase Agreement or any other contracts for the construction, procurement, launch, or insurance of any new Satellites and (ii) Investments in any Subsidiary or joint venture formed for the purpose of selling or leasing Satellite capacity to third-party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(14) additional Investments having an aggregate Fair Market Value, taken together with all other Investments made pursuant to this clause (14) that are at that time outstanding (without giving effect to the sale of an Unrestricted Subsidiary to the extent the proceeds of such sale do not consist of cash or have not been subsequently sold or transferred for cash or marketable securities), not to exceed the sum of (a) the greater of $450,000,000 and 60% of Consolidated EBITDA for the most recently ended Test Period, calculated on a Pro Forma Basis, at the time of such Investment, (b) the Available Restricted Payments Amount and (c)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p>
    <w:p>
      <w:pPr>
        <w:pStyle w:val="TextBody"/>
        <w:bidi w:val="0"/>
        <w:spacing w:before="0" w:after="0"/>
        <w:jc w:val="left"/>
        <w:rPr>
          <w:rFonts w:ascii="Times New Roman" w:hAnsi="Times New Roman"/>
          <w:sz w:val="20"/>
        </w:rPr>
      </w:pPr>
      <w:r>
        <w:rPr>
          <w:rFonts w:ascii="Times New Roman" w:hAnsi="Times New Roman"/>
          <w:sz w:val="20"/>
        </w:rPr>
        <w:t xml:space="preserve">Available Restricted Debt Payments Amount, plus the amount of any returns (including dividends, payments, interest, distributions, returns of principal, profits on sale, repayments, income and similar amounts) in respect of such Investments (without duplication for purposes of the covenant described in </w:t>
      </w:r>
      <w:r>
        <w:rPr>
          <w:rFonts w:ascii="Times New Roman" w:hAnsi="Times New Roman"/>
          <w:sz w:val="20"/>
          <w:u w:val="single"/>
        </w:rPr>
        <w:t>Section 6.05</w:t>
      </w:r>
      <w:r>
        <w:rPr>
          <w:rFonts w:ascii="Times New Roman" w:hAnsi="Times New Roman"/>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relating to a Receivables Subsidiary that, in the good faith determination of Bidco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Facility or any related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(16) advances to, or guarantees of Indebtedness of, employees not in excess of the greater of $75,000,000 and 10% of Consolidated EBITDA for the most recently ended Test Period, calculated on a Pro Forma Basis, outstanding at any one time,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(17) (x) loans and advances to officers, members of the board of directors and employees of direct and indirect parent companies of Bidco, Bidco and its Restricted Subsidiaries (i) for business-related travel expenses, entertainment, moving expenses and other similar expenses, for ordinary business purposes, (ii) to fund such Person’s purchase of Equity Interests of Bidco or any direct or indirect parent company thereof and (iii) for payroll payments and (y) Investments in the form of Recruitment Notes and other recruiting costs to certain employees or financial advisors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in joint ventures and similar entities and Unrestricted Subsidiaries having an aggregate Fair Market Value, taken together with all other Investments made pursuant to this clause (18) that are at the time outstanding, without giving effect to the sale of an Unrestricted Subsidiary to the extent the proceeds of such sale do not consist of cash or marketable securities, not to exceed the greater of $187,500,000 and 25% of Consolidated EBITDA for the most recently ended Test Period, calculated on a Pro Forma Basis, at the time of such Investment, plus the amount of any returns (including dividends, payments, interest, distributions, returns of principal, profits on sale, repayments, income and similar amounts) in respect of such Investments (without duplication for purposes of the covenant described in the </w:t>
      </w:r>
      <w:r>
        <w:rPr>
          <w:rFonts w:ascii="Times New Roman" w:hAnsi="Times New Roman"/>
          <w:sz w:val="20"/>
          <w:u w:val="single"/>
        </w:rPr>
        <w:t>Section 6.05</w:t>
      </w:r>
      <w:r>
        <w:rPr>
          <w:rFonts w:ascii="Times New Roman" w:hAnsi="Times New Roman"/>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(19) contributions to a “rabbi” trust for the benefit of employees, directors, consultants, independent contractors or other service providers or other grantor trust subject to claims of creditors in the case of a bankruptcy of Bidco; </w:t>
      </w:r>
    </w:p>
    <w:p>
      <w:pPr>
        <w:pStyle w:val="TextBody"/>
        <w:bidi w:val="0"/>
        <w:spacing w:before="120" w:after="0"/>
        <w:jc w:val="left"/>
        <w:rPr>
          <w:rFonts w:ascii="Times New Roman" w:hAnsi="Times New Roman"/>
          <w:sz w:val="20"/>
        </w:rPr>
      </w:pPr>
      <w:r>
        <w:rPr>
          <w:rFonts w:ascii="Times New Roman" w:hAnsi="Times New Roman"/>
          <w:sz w:val="20"/>
        </w:rPr>
        <w:t xml:space="preserve">(20) any other Investment (other than Investments in Unrestricted Subsidiaries); provided that (a) on a Pro Forma Basis after giving effect to such Investment the Senior Secured First Lien Net Leverage Ratio is equal to or less than 4.60 to 1.00 and (b) no Specified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(21)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p>
    <w:p>
      <w:pPr>
        <w:pStyle w:val="TextBody"/>
        <w:bidi w:val="0"/>
        <w:spacing w:before="0" w:after="0"/>
        <w:jc w:val="left"/>
        <w:rPr>
          <w:rFonts w:ascii="Times New Roman" w:hAnsi="Times New Roman"/>
          <w:sz w:val="20"/>
        </w:rPr>
      </w:pPr>
      <w:r>
        <w:rPr>
          <w:rFonts w:ascii="Times New Roman" w:hAnsi="Times New Roman"/>
          <w:sz w:val="20"/>
        </w:rPr>
        <w:t xml:space="preserve">(22) Investments in the ordinary course of business consisting of UCC Article 3 endorsements for collection or deposit and UCC Article 4 customary trade arrangements with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loans and advances to direct and indirect parent companies of Bidco (x) in lieu of, and not in excess of the amount of (after giving effect to any other loans, advances or Restricted Payments in respect thereof), Restricted Payments to the extent permitted to be made to such companies in accordance with </w:t>
      </w:r>
      <w:r>
        <w:rPr>
          <w:rFonts w:ascii="Times New Roman" w:hAnsi="Times New Roman"/>
          <w:sz w:val="20"/>
          <w:u w:val="single"/>
        </w:rPr>
        <w:t xml:space="preserve">Section 6.05(a) </w:t>
      </w:r>
      <w:r>
        <w:rPr>
          <w:rFonts w:ascii="Times New Roman" w:hAnsi="Times New Roman"/>
          <w:sz w:val="20"/>
        </w:rPr>
        <w:t>and</w:t>
      </w:r>
      <w:r>
        <w:rPr>
          <w:rFonts w:ascii="Times New Roman" w:hAnsi="Times New Roman"/>
          <w:sz w:val="20"/>
          <w:u w:val="single"/>
        </w:rPr>
        <w:t xml:space="preserve"> (b)</w:t>
      </w:r>
      <w:r>
        <w:rPr>
          <w:rFonts w:ascii="Times New Roman" w:hAnsi="Times New Roman"/>
          <w:sz w:val="20"/>
        </w:rPr>
        <w:t xml:space="preserve"> and (y) to the extent the proceeds thereof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(A) for utilities, security deposits, leases and similar prepaid expenses incurred in the ordinary course of business and (B) trade accounts created, or prepaid expenses accrued,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(25) non-cash Investments in connection with tax planning and reorganization activities, and Investments in connection with a Permitted Intercompany Activities and Permitted Tax Restructuring; </w:t>
      </w:r>
    </w:p>
    <w:p>
      <w:pPr>
        <w:pStyle w:val="TextBody"/>
        <w:bidi w:val="0"/>
        <w:spacing w:before="120" w:after="0"/>
        <w:jc w:val="left"/>
        <w:rPr>
          <w:rFonts w:ascii="Times New Roman" w:hAnsi="Times New Roman"/>
          <w:sz w:val="20"/>
        </w:rPr>
      </w:pPr>
      <w:r>
        <w:rPr>
          <w:rFonts w:ascii="Times New Roman" w:hAnsi="Times New Roman"/>
          <w:sz w:val="20"/>
        </w:rPr>
        <w:t xml:space="preserve">(26) any Investment in any Subsidiary or any joint venture in connection with intercompany cash management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by an Unrestricted Subsidiary entered into prior to the day such Unrestricted Subsidiary is redesignated as a Restricted Subsidiary pursuant to the definition of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(28) Investments (including debt obligations and equity interests) (a) in connection with Settlements, (b) in exchange for any other Investment or accounts receivable, endorsements for collection or deposit held by Bidco or any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made from casualty insurance proceeds in connection with the replacement, substitution, restoration or repair of assets on account of a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(30) Investments made in the ordinary course of business in connection with obtaining, maintaining or renewing client contacts and loans or advances made to distributors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(31) Investments arising as a result of Sale and Lease-Back Transactions.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Liens incurred or pledges, deposits or security (a) in connection with workers’ or workmen’s compensation, unemployment insurance, employers’ health tax, social security, retirement and other similar legislation, or other insurance-related obligations (including, but not limited to, in respect of deductibles, self-insured retention amounts and premiums and adjustments thereto) or (b) securing liability for reimbursement or indemnification obligations of (including obligations in respect of letters of credit or bank guarantees or similar instrument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p>
    <w:p>
      <w:pPr>
        <w:pStyle w:val="TextBody"/>
        <w:bidi w:val="0"/>
        <w:spacing w:before="0" w:after="0"/>
        <w:jc w:val="left"/>
        <w:rPr>
          <w:rFonts w:ascii="Times New Roman" w:hAnsi="Times New Roman"/>
          <w:sz w:val="20"/>
        </w:rPr>
      </w:pPr>
      <w:r>
        <w:rPr>
          <w:rFonts w:ascii="Times New Roman" w:hAnsi="Times New Roman"/>
          <w:sz w:val="20"/>
        </w:rPr>
        <w:t xml:space="preserve">the benefit of) insurance carriers providing property, casualty or liability insurance to Bidco or any Restricted Subsidiary or otherwise supporting the payment of items set forth in the foregoing clause (a) or (b)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 Liens with respect to outstanding motor vehicle fines and Liens arising or imposed by law, such as landlords’, carriers’, warehousemen’s, mechanics’, materialmen’s, repairmen’s or construction contractors’ Liens and other similar Liens, in each case (a)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IFRS or (b) so long as such Liens do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other governmental charges (a) that are not overdue for a period of more than 30 days, not yet payable or subject to penalties for nonpayment that are being contested in good faith by appropriate proceedings for which adequate reserves with respect thereto are maintained on the books of the applicable Person in accordance with IFRS or (b) so long as such Liens do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(4) 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(5) (a) survey exceptions, encumbrances, easements, ground leases, covenants, conditions, rights-of-way, licenses, servitudes, restrictions, encroachments, protrusions, by-law, reservations of, or rights of others for sewers, electric lines, telegraph and telephone lines and other similar purposes, zoning or other restrictions (including defects and irregularities in title and similar encumbrances) and other similar encumbrances and title defects or irregularities affecting real property, that, in the aggregate, do not materially interfere with the ordinary conduct of the business of Bidco and its Restricted Subsidiaries, taken as a whole, (b) rights of recapture of unused real property in favor of the seller of property set forth in customary purchase agreements and related arrangements with any governmental authority, (c) Liens arising from the right of distress enjoyed by landlords or Liens otherwise granted to landlords, in either case, to secure the payment of arrears of rent in respect of leased properties, so long as such Liens are not exercised, (d) servicing agreements, development agreements, site plan agreements and other agreements with any governmental authority pertaining to the use or development of any of the assets of the Person, </w:t>
      </w:r>
      <w:r>
        <w:rPr>
          <w:rFonts w:ascii="Times New Roman" w:hAnsi="Times New Roman"/>
          <w:sz w:val="20"/>
          <w:u w:val="single"/>
        </w:rPr>
        <w:t>provided</w:t>
      </w:r>
      <w:r>
        <w:rPr>
          <w:rFonts w:ascii="Times New Roman" w:hAnsi="Times New Roman"/>
          <w:sz w:val="20"/>
        </w:rPr>
        <w:t xml:space="preserve"> that the same are complied with in all material respects and do not materially reduce the value of the assets of the Person or materially interfere with the use of such assets in the operation of the business of such Person, (e) the reservations in any original grants from the crown of any land or interest therein and statutory exceptions to title and (f) other Liens on real property (including ground leases in respect of real property on which facilities owned or leased by Bidco or any of the Restricted Subsidiaries are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p>
    <w:p>
      <w:pPr>
        <w:pStyle w:val="TextBody"/>
        <w:bidi w:val="0"/>
        <w:spacing w:before="0" w:after="0"/>
        <w:jc w:val="left"/>
        <w:rPr>
          <w:rFonts w:ascii="Times New Roman" w:hAnsi="Times New Roman"/>
          <w:sz w:val="20"/>
        </w:rPr>
      </w:pPr>
      <w:r>
        <w:rPr>
          <w:rFonts w:ascii="Times New Roman" w:hAnsi="Times New Roman"/>
          <w:sz w:val="20"/>
        </w:rPr>
        <w:t xml:space="preserve">(6) Liens securing obligations relating to any Indebtedness permitted to be incurred pursuant to clause (i), (iii), (xi), (xii), (xvi), (xix), (xxvi), (xxix), (xxx) or (xxxi) of </w:t>
      </w:r>
      <w:r>
        <w:rPr>
          <w:rFonts w:ascii="Times New Roman" w:hAnsi="Times New Roman"/>
          <w:sz w:val="20"/>
          <w:u w:val="single"/>
        </w:rPr>
        <w:t>Section 6.01(b)</w:t>
      </w:r>
      <w:r>
        <w:rPr>
          <w:rFonts w:ascii="Times New Roman" w:hAnsi="Times New Roman"/>
          <w:sz w:val="20"/>
        </w:rPr>
        <w:t xml:space="preserve"> hereof or </w:t>
      </w:r>
      <w:r>
        <w:rPr>
          <w:rFonts w:ascii="Times New Roman" w:hAnsi="Times New Roman"/>
          <w:sz w:val="20"/>
          <w:u w:val="single"/>
        </w:rPr>
        <w:t>Section 6.01(a)</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that for purposes of this clause (6), any Lien securing obligations relating to any Indebtedness that is incurred under clause (xii) of </w:t>
      </w:r>
      <w:r>
        <w:rPr>
          <w:rFonts w:ascii="Times New Roman" w:hAnsi="Times New Roman"/>
          <w:sz w:val="20"/>
          <w:u w:val="single"/>
        </w:rPr>
        <w:t>Section 6.01(b)</w:t>
      </w:r>
      <w:r>
        <w:rPr>
          <w:rFonts w:ascii="Times New Roman" w:hAnsi="Times New Roman"/>
          <w:sz w:val="20"/>
        </w:rPr>
        <w:t xml:space="preserve"> hereof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Liens securing Indebtedness permitted to be incurred pursuant to clause (xvi) are solely on acquired property or the assets of the acquired entity, as the case may be and (b) Liens on Collateral securing Indebtedness permitted to be incurred pursuant to </w:t>
      </w:r>
      <w:r>
        <w:rPr>
          <w:rFonts w:ascii="Times New Roman" w:hAnsi="Times New Roman"/>
          <w:sz w:val="20"/>
          <w:u w:val="single"/>
        </w:rPr>
        <w:t>Section 6.01(a)</w:t>
      </w:r>
      <w:r>
        <w:rPr>
          <w:rFonts w:ascii="Times New Roman" w:hAnsi="Times New Roman"/>
          <w:sz w:val="20"/>
        </w:rPr>
        <w:t xml:space="preserve"> or (xxxi) of </w:t>
      </w:r>
      <w:r>
        <w:rPr>
          <w:rFonts w:ascii="Times New Roman" w:hAnsi="Times New Roman"/>
          <w:sz w:val="20"/>
          <w:u w:val="single"/>
        </w:rPr>
        <w:t xml:space="preserve">Section 6.01(b) </w:t>
      </w:r>
      <w:r>
        <w:rPr>
          <w:rFonts w:ascii="Times New Roman" w:hAnsi="Times New Roman"/>
          <w:sz w:val="20"/>
        </w:rPr>
        <w:t xml:space="preserve">shall be subject to a Customary Intercreditor Agreement,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on the Effective Date and, in each case, any modifications, replacements, renewals, refinancings, or extensions thereof; </w:t>
      </w:r>
    </w:p>
    <w:p>
      <w:pPr>
        <w:pStyle w:val="TextBody"/>
        <w:bidi w:val="0"/>
        <w:spacing w:before="120" w:after="0"/>
        <w:jc w:val="left"/>
        <w:rPr>
          <w:rFonts w:ascii="Times New Roman" w:hAnsi="Times New Roman"/>
          <w:sz w:val="20"/>
        </w:rPr>
      </w:pPr>
      <w:r>
        <w:rPr>
          <w:rFonts w:ascii="Times New Roman" w:hAnsi="Times New Roman"/>
          <w:sz w:val="20"/>
        </w:rPr>
        <w:t xml:space="preserve">(8) (a) Liens on property or shares of stock or other assets of a Person at the time such Person becomes a Subsidiary and (b) and Liens existing on property or other assets at the time of its acquisition;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such Liens are not created or incurred in connection with, or in contemplation of, such acquisition, amalgamation, merger or consolidation;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may not extend to any other property or other assets owned by Bidco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(9) Liens (a)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or any Asset Sale permitted under this Agreement (including any letter of intent or purchase agreement with respect to such Investment or Asset Sale), (b) consisting of an agreement to dispose of any property in an Asset Sale permitted under this Agreement, in each case, solely to the extent such Investment or Asset Sale, as the case may be, would have been permitted on the date of the creation of such Lien and (c) solely on any cash earnest money deposits made by Bidco or any of its Restricted Subsidiaries in connection with any letter of intent or purchase agreement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(a) Liens securing Indebtedness or other obligations of a Restricted Subsidiary owing to Bidco or another Restricted Subsidiary permitted to be incurred in accordance with </w:t>
      </w:r>
      <w:r>
        <w:rPr>
          <w:rFonts w:ascii="Times New Roman" w:hAnsi="Times New Roman"/>
          <w:sz w:val="20"/>
          <w:u w:val="single"/>
        </w:rPr>
        <w:t>Section 6.01</w:t>
      </w:r>
      <w:r>
        <w:rPr>
          <w:rFonts w:ascii="Times New Roman" w:hAnsi="Times New Roman"/>
          <w:sz w:val="20"/>
        </w:rPr>
        <w:t xml:space="preserve"> hereof and (b) Liens on assets or property of a Restricted Subsidiary that is not a Guarantor securing Indebtedness and other obligations of any Restricted Subsidiary that is not a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p>
    <w:p>
      <w:pPr>
        <w:pStyle w:val="TextBody"/>
        <w:bidi w:val="0"/>
        <w:spacing w:before="0" w:after="0"/>
        <w:jc w:val="left"/>
        <w:rPr>
          <w:rFonts w:ascii="Times New Roman" w:hAnsi="Times New Roman"/>
          <w:sz w:val="20"/>
        </w:rPr>
      </w:pPr>
      <w:r>
        <w:rPr>
          <w:rFonts w:ascii="Times New Roman" w:hAnsi="Times New Roman"/>
          <w:sz w:val="20"/>
        </w:rPr>
        <w:t xml:space="preserve">(11) (a) Liens securing Hedging Obligations or on cash or Cash Equivalents securing Hedging Obligations; </w:t>
      </w:r>
      <w:r>
        <w:rPr>
          <w:rFonts w:ascii="Times New Roman" w:hAnsi="Times New Roman"/>
          <w:sz w:val="20"/>
          <w:u w:val="single"/>
        </w:rPr>
        <w:t>provided</w:t>
      </w:r>
      <w:r>
        <w:rPr>
          <w:rFonts w:ascii="Times New Roman" w:hAnsi="Times New Roman"/>
          <w:sz w:val="20"/>
        </w:rPr>
        <w:t xml:space="preserve"> that, with respect to Hedging Obligations relating to Indebtedness, such Indebtedness is permitted under this Agreement, (b) Liens on cash and Cash Equivalents used to satisfy or discharge Indebtedness; </w:t>
      </w:r>
      <w:r>
        <w:rPr>
          <w:rFonts w:ascii="Times New Roman" w:hAnsi="Times New Roman"/>
          <w:sz w:val="20"/>
          <w:u w:val="single"/>
        </w:rPr>
        <w:t>provided</w:t>
      </w:r>
      <w:r>
        <w:rPr>
          <w:rFonts w:ascii="Times New Roman" w:hAnsi="Times New Roman"/>
          <w:sz w:val="20"/>
        </w:rPr>
        <w:t xml:space="preserve"> such satisfaction or discharge is permitted under this Agreement and (c) Liens on cash and Cash Equivalents or other marketable securities securing letters of credit of any Borrower or any Guarantor (which Indebtedness represented by such letters of credit is permitted to be incurred under this Agreement) that are cash collateralized in an amount of cash, Cash Equivalents or other marketable securities with a Fair Market Value of up to 105% of the face amount of such letters of credit being secured; </w:t>
      </w:r>
    </w:p>
    <w:p>
      <w:pPr>
        <w:pStyle w:val="TextBody"/>
        <w:bidi w:val="0"/>
        <w:spacing w:before="120" w:after="0"/>
        <w:jc w:val="left"/>
        <w:rPr>
          <w:rFonts w:ascii="Times New Roman" w:hAnsi="Times New Roman"/>
          <w:sz w:val="20"/>
        </w:rPr>
      </w:pPr>
      <w:r>
        <w:rPr>
          <w:rFonts w:ascii="Times New Roman" w:hAnsi="Times New Roman"/>
          <w:sz w:val="20"/>
        </w:rPr>
        <w:t xml:space="preserve">(12) 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(13) (a) leases, subleases, licenses or sublicenses granted to others in the ordinary course of business or consistent with past practice that do not materially interfere with the operation of the business of Bidco or any of its Restricted Subsidiaries, taken as a whole, (b) any interest or title of a lessor or licensee under any lease or license entered into by Bidco or any Restricted Subsidiary in the ordinary course of its business or consistent with past practice and (c) Liens arising from grants of non-exclusive licenses or sublicenses, or other similar grants of rights,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(14) Liens arising from UCC (or equivalent statute) financing statement filings regarding operating leases or consignments entered into by Bidco and its Restricted Subsidiaries in the ordinary course of business and other Liens arising solely from precautionary UCC financing statements or similar filings; </w:t>
      </w:r>
    </w:p>
    <w:p>
      <w:pPr>
        <w:pStyle w:val="TextBody"/>
        <w:bidi w:val="0"/>
        <w:spacing w:before="120" w:after="0"/>
        <w:jc w:val="left"/>
        <w:rPr>
          <w:rFonts w:ascii="Times New Roman" w:hAnsi="Times New Roman"/>
          <w:sz w:val="20"/>
        </w:rPr>
      </w:pPr>
      <w:r>
        <w:rPr>
          <w:rFonts w:ascii="Times New Roman" w:hAnsi="Times New Roman"/>
          <w:sz w:val="20"/>
        </w:rPr>
        <w:t xml:space="preserve">(15) Liens in favor of any Borrower or any Guarantor (including, but not limited to, Liens on any assets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(16) Liens on equipment or vehicles of Bidco or any of its Restricted Subsidiaries granted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(17) Liens on accounts receivable and related assets incurred in connection with a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(6), (7), (8), and this clause (18);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new Lien shall be limited to all or part of the same property that secured the original Lien (plus improvements on such property) and the proceeds and products thereof, (b) the Indebtedness secured by such Lien at such time is not increased to any amount greater than the sum of (i) the outstanding principal amount or, if greater, committed amount of the Indebtedness described under clauses (6), (7) and (8) at the time the original Lien became a Permitted Lien under this Agreement, and (ii) an amount necessary to pay any fees and expenses, including premiums and accrued and unpaid interest, related to such modification, refinancing, refunding, extension, renewal or replacement and (c) any such new Lien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p>
    <w:p>
      <w:pPr>
        <w:pStyle w:val="TextBody"/>
        <w:bidi w:val="0"/>
        <w:spacing w:before="0" w:after="0"/>
        <w:jc w:val="left"/>
        <w:rPr>
          <w:rFonts w:ascii="Times New Roman" w:hAnsi="Times New Roman"/>
          <w:sz w:val="20"/>
        </w:rPr>
      </w:pPr>
      <w:r>
        <w:rPr>
          <w:rFonts w:ascii="Times New Roman" w:hAnsi="Times New Roman"/>
          <w:sz w:val="20"/>
        </w:rPr>
        <w:t xml:space="preserve">(19) (a) deposits made or other security provided in the ordinary course of business to secure liability to insurance carriers and (b) Liens on insurance policies and the proceeds thereof securing the financing of the premiums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(20) other Liens securing obligations which do not exceed the greater of $450,000,000 and 60% of Consolidated EBITDA for the most recently ended Test Period, calculated on a Pro Forma Basis, at the time of the incurrence of such Lien; </w:t>
      </w:r>
    </w:p>
    <w:p>
      <w:pPr>
        <w:pStyle w:val="TextBody"/>
        <w:bidi w:val="0"/>
        <w:spacing w:before="120" w:after="0"/>
        <w:jc w:val="left"/>
        <w:rPr>
          <w:rFonts w:ascii="Times New Roman" w:hAnsi="Times New Roman"/>
          <w:sz w:val="20"/>
        </w:rPr>
      </w:pPr>
      <w:r>
        <w:rPr>
          <w:rFonts w:ascii="Times New Roman" w:hAnsi="Times New Roman"/>
          <w:sz w:val="20"/>
        </w:rPr>
        <w:t xml:space="preserve">(21) Liens securing, or otherwise arising from, judgments for the payment of money not constituting an Event of Default under clause (j) under </w:t>
      </w:r>
      <w:r>
        <w:rPr>
          <w:rFonts w:ascii="Times New Roman" w:hAnsi="Times New Roman"/>
          <w:sz w:val="20"/>
          <w:u w:val="single"/>
        </w:rPr>
        <w:t>Section 7.01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(23) Liens (a) of a collection bank arising under applicable law, including Section 4-210 of the UCC, or any comparable or successor provision, on items in the course of collection; (b) attaching to pooling, commodity or securities trading accounts or other commodity or securities brokerage accounts incurred in the ordinary course of business; or (c) in favor of a banking or other financial institution or entity, or electronic payment service provider, arising as a matter of law or under customary terms and conditions encumbering deposits or other funds maintained with a financial institution (including the right of setoff) and which are within the general parameters 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 </w:t>
      </w:r>
    </w:p>
    <w:p>
      <w:pPr>
        <w:pStyle w:val="TextBody"/>
        <w:bidi w:val="0"/>
        <w:spacing w:before="120" w:after="0"/>
        <w:jc w:val="left"/>
        <w:rPr>
          <w:rFonts w:ascii="Times New Roman" w:hAnsi="Times New Roman"/>
          <w:sz w:val="20"/>
        </w:rPr>
      </w:pPr>
      <w:r>
        <w:rPr>
          <w:rFonts w:ascii="Times New Roman" w:hAnsi="Times New Roman"/>
          <w:sz w:val="20"/>
        </w:rPr>
        <w:t xml:space="preserve">(24) Liens deemed to exist in connection with Investments in repurchase agreements permitted under </w:t>
      </w:r>
      <w:r>
        <w:rPr>
          <w:rFonts w:ascii="Times New Roman" w:hAnsi="Times New Roman"/>
          <w:sz w:val="20"/>
          <w:u w:val="single"/>
        </w:rPr>
        <w:t>Section 6.01</w:t>
      </w:r>
      <w:r>
        <w:rPr>
          <w:rFonts w:ascii="Times New Roman" w:hAnsi="Times New Roman"/>
          <w:sz w:val="20"/>
        </w:rPr>
        <w:t xml:space="preserve"> hereof, including Liens deemed to exist in connection with Investments in repurchase agreements under clause (12) of the definition of the term “Cash Equivalents”; </w:t>
      </w:r>
      <w:r>
        <w:rPr>
          <w:rFonts w:ascii="Times New Roman" w:hAnsi="Times New Roman"/>
          <w:sz w:val="20"/>
          <w:u w:val="single"/>
        </w:rPr>
        <w:t>provided</w:t>
      </w:r>
      <w:r>
        <w:rPr>
          <w:rFonts w:ascii="Times New Roman" w:hAnsi="Times New Roman"/>
          <w:sz w:val="20"/>
        </w:rPr>
        <w:t xml:space="preserve"> that such Liens do not extend to any assets other than those that are the subject of such repurchase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(25)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(26) Liens that are contractual rights of setoff, banker’s lien, netting agreements and other Liens (a) relating to deposit accounts, securities accounts, cash management arrangements or in connection with the issuance of Indebtedness, including letters of credit, bank guarantees or other similar instruments, (b) relating to pooled deposit or sweep accounts to permit satisfaction of overdraft or similar obligations incurred in the ordinary course of business of Bidco and its Restricted Subsidiaries or (c) relating to purchase orders and other agreements entered into with customers of Bidco or any of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Settlement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p>
    <w:p>
      <w:pPr>
        <w:pStyle w:val="TextBody"/>
        <w:bidi w:val="0"/>
        <w:spacing w:before="0" w:after="0"/>
        <w:jc w:val="left"/>
        <w:rPr>
          <w:rFonts w:ascii="Times New Roman" w:hAnsi="Times New Roman"/>
          <w:sz w:val="20"/>
        </w:rPr>
      </w:pPr>
      <w:r>
        <w:rPr>
          <w:rFonts w:ascii="Times New Roman" w:hAnsi="Times New Roman"/>
          <w:sz w:val="20"/>
        </w:rPr>
        <w:t xml:space="preserve">(28) Liens on goods the purchase price of which is financed by a documentary letter of credit issued for the account of Bidco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hAnsi="Times New Roman"/>
          <w:sz w:val="20"/>
          <w:u w:val="single"/>
        </w:rPr>
        <w:t>provided</w:t>
      </w:r>
      <w:r>
        <w:rPr>
          <w:rFonts w:ascii="Times New Roman" w:hAnsi="Times New Roman"/>
          <w:sz w:val="20"/>
        </w:rPr>
        <w:t xml:space="preserve"> that such Lien secures only the obligations of Bidco or such Subsidiaries in respect of such letter of credit to the extent such obligations are permitted under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(29) (a) Liens on Equity Interests of an Unrestricted Subsidiary that secure Indebtedness or other obligations of such Unrestricted Subsidiary and (b) Liens then existing with respect to assets of an Unrestricted Subsidiary on the day such Unrestricted Subsidiary is redesignated as a Restricted Subsidiary as described under the definition of “Unrestricted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(30) Receipt of progress payments and advances from customers in the ordinary course of business to the extent the same creates a Lien on the related inventory and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(31) Liens on Equity Interests of any joint venture (a) securing obligations of such joint venture or (b) pursuant to the relevant joint venture agreement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(32) Liens arising out of conditional sale, title retention, consignment or similar arrangements for the sale or purchase of goods entered into by Bidco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(33) the rights reserved or vested in any Person by the terms of any lease, license, franchise, grant or permit held by Bidco or any Restricted Subsidiary thereof or by a statutory provision, to terminate any such lease, license, franchise, grant or permit, or to require annual or periodic payments as a condition to the continuance thereof; </w:t>
      </w:r>
    </w:p>
    <w:p>
      <w:pPr>
        <w:pStyle w:val="TextBody"/>
        <w:bidi w:val="0"/>
        <w:spacing w:before="120" w:after="0"/>
        <w:jc w:val="left"/>
        <w:rPr>
          <w:rFonts w:ascii="Times New Roman" w:hAnsi="Times New Roman"/>
          <w:sz w:val="20"/>
        </w:rPr>
      </w:pPr>
      <w:r>
        <w:rPr>
          <w:rFonts w:ascii="Times New Roman" w:hAnsi="Times New Roman"/>
          <w:sz w:val="20"/>
        </w:rPr>
        <w:t xml:space="preserve">(34) additional Liens of Bidco or any of its Restricted Subsidiaries in an aggregate principal amount not to exceed the Available Amount that is not otherwise applied pursuant to </w:t>
      </w:r>
      <w:r>
        <w:rPr>
          <w:rFonts w:ascii="Times New Roman" w:hAnsi="Times New Roman"/>
          <w:sz w:val="20"/>
          <w:u w:val="single"/>
        </w:rPr>
        <w:t>Section 6.01(b)(xxiv)</w:t>
      </w:r>
      <w:r>
        <w:rPr>
          <w:rFonts w:ascii="Times New Roman" w:hAnsi="Times New Roman"/>
          <w:sz w:val="20"/>
        </w:rPr>
        <w:t xml:space="preserve"> and</w:t>
      </w:r>
      <w:r>
        <w:rPr>
          <w:rFonts w:ascii="Times New Roman" w:hAnsi="Times New Roman"/>
          <w:sz w:val="20"/>
          <w:u w:val="single"/>
        </w:rPr>
        <w:t xml:space="preserve"> Section 6.05(a)(A)</w:t>
      </w:r>
      <w:r>
        <w:rPr>
          <w:rFonts w:ascii="Times New Roman" w:hAnsi="Times New Roman"/>
          <w:sz w:val="20"/>
        </w:rPr>
        <w:t xml:space="preserve"> as in effect immediately prior to the incurrence of such Liens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(35) additional Liens of Bidco or any of its Restricted Subsidiaries in an aggregate principal amount that does not exceed the amount of Excluded Contributions made since the Effective Date that is not otherwise applied pursuant to </w:t>
      </w:r>
      <w:r>
        <w:rPr>
          <w:rFonts w:ascii="Times New Roman" w:hAnsi="Times New Roman"/>
          <w:sz w:val="20"/>
          <w:u w:val="single"/>
        </w:rPr>
        <w:t>Section 6.01(b)(xxv)</w:t>
      </w:r>
      <w:r>
        <w:rPr>
          <w:rFonts w:ascii="Times New Roman" w:hAnsi="Times New Roman"/>
          <w:sz w:val="20"/>
        </w:rPr>
        <w:t xml:space="preserve"> and </w:t>
      </w:r>
      <w:r>
        <w:rPr>
          <w:rFonts w:ascii="Times New Roman" w:hAnsi="Times New Roman"/>
          <w:sz w:val="20"/>
          <w:u w:val="single"/>
        </w:rPr>
        <w:t>Section 6.05(b)(x)</w:t>
      </w:r>
      <w:r>
        <w:rPr>
          <w:rFonts w:ascii="Times New Roman" w:hAnsi="Times New Roman"/>
          <w:sz w:val="20"/>
        </w:rPr>
        <w:t xml:space="preserve"> as in effect immediately prior to the incurrence of such Liens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(36)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(37)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p>
    <w:p>
      <w:pPr>
        <w:pStyle w:val="TextBody"/>
        <w:bidi w:val="0"/>
        <w:spacing w:before="0" w:after="0"/>
        <w:jc w:val="left"/>
        <w:rPr>
          <w:rFonts w:ascii="Times New Roman" w:hAnsi="Times New Roman"/>
          <w:sz w:val="20"/>
        </w:rPr>
      </w:pPr>
      <w:r>
        <w:rPr>
          <w:rFonts w:ascii="Times New Roman" w:hAnsi="Times New Roman"/>
          <w:sz w:val="20"/>
        </w:rPr>
        <w:t xml:space="preserve">(38) Liens arising in connection with any Permitted Intercompany Activities and Permitted Tax Restructuring; and </w:t>
      </w:r>
    </w:p>
    <w:p>
      <w:pPr>
        <w:pStyle w:val="TextBody"/>
        <w:bidi w:val="0"/>
        <w:spacing w:before="120" w:after="0"/>
        <w:jc w:val="left"/>
        <w:rPr>
          <w:rFonts w:ascii="Times New Roman" w:hAnsi="Times New Roman"/>
          <w:sz w:val="20"/>
        </w:rPr>
      </w:pPr>
      <w:r>
        <w:rPr>
          <w:rFonts w:ascii="Times New Roman" w:hAnsi="Times New Roman"/>
          <w:sz w:val="20"/>
        </w:rPr>
        <w:t xml:space="preserve">(39) Liens in connection with Sale and Lease-Back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Permitted Lien meets the criteria of more than one of the types of Permitted Liens (at the time of incurrence or at a later date), Bidco in its sole discretion may divide, 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 </w:t>
      </w:r>
    </w:p>
    <w:p>
      <w:pPr>
        <w:pStyle w:val="TextBody"/>
        <w:bidi w:val="0"/>
        <w:spacing w:before="240" w:after="0"/>
        <w:jc w:val="left"/>
        <w:rPr/>
      </w:pPr>
      <w:r>
        <w:rPr/>
        <w:t>“</w:t>
      </w:r>
      <w:r>
        <w:rPr>
          <w:rFonts w:ascii="Times New Roman" w:hAnsi="Times New Roman"/>
          <w:sz w:val="20"/>
          <w:u w:val="single"/>
        </w:rPr>
        <w:t>Permitted Parent</w:t>
      </w:r>
      <w:r>
        <w:rPr>
          <w:rFonts w:ascii="Times New Roman" w:hAnsi="Times New Roman"/>
          <w:sz w:val="20"/>
        </w:rPr>
        <w:t xml:space="preserve">” means any direct or indirect parent entity of Bidco (other than a Person formed in connection with, or in contemplation of, a Change of Control transaction that results in a modification of the beneficial ownership of Bidco) that beneficially owns Equity Interests representing 100% of the aggregate ordinary voting power represented by the issued and outstanding Equity Interests of Bidco, </w:t>
      </w:r>
      <w:r>
        <w:rPr>
          <w:rFonts w:ascii="Times New Roman" w:hAnsi="Times New Roman"/>
          <w:sz w:val="20"/>
          <w:u w:val="single"/>
        </w:rPr>
        <w:t>provided</w:t>
      </w:r>
      <w:r>
        <w:rPr>
          <w:rFonts w:ascii="Times New Roman" w:hAnsi="Times New Roman"/>
          <w:sz w:val="20"/>
        </w:rPr>
        <w:t xml:space="preserve"> that the ultimate beneficial ownership of Bidco has not been modified by the transaction by which such parent entity became the beneficial owner of Equity Interests representing 100% of the aggregate ordinary voting power represented by the issued and outstanding Equity Interests of Bidco. </w:t>
      </w:r>
    </w:p>
    <w:p>
      <w:pPr>
        <w:pStyle w:val="TextBody"/>
        <w:bidi w:val="0"/>
        <w:spacing w:before="240" w:after="0"/>
        <w:jc w:val="left"/>
        <w:rPr/>
      </w:pPr>
      <w:r>
        <w:rPr/>
        <w:t>“</w:t>
      </w:r>
      <w:r>
        <w:rPr>
          <w:rFonts w:ascii="Times New Roman" w:hAnsi="Times New Roman"/>
          <w:sz w:val="20"/>
          <w:u w:val="single"/>
        </w:rPr>
        <w:t>Permitted Tax Restructuring</w:t>
      </w:r>
      <w:r>
        <w:rPr>
          <w:rFonts w:ascii="Times New Roman" w:hAnsi="Times New Roman"/>
          <w:sz w:val="20"/>
        </w:rPr>
        <w:t xml:space="preserve">” means any reorganizations and other activities related to Tax planning and Tax reorganization entered into prior to, on or after the date hereof so long as such Permitted Tax Restructuring is not materially adverse to the Lenders (as determined by Bidco acting reasonably).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 </w:t>
      </w:r>
    </w:p>
    <w:p>
      <w:pPr>
        <w:pStyle w:val="TextBody"/>
        <w:bidi w:val="0"/>
        <w:spacing w:before="240" w:after="0"/>
        <w:jc w:val="left"/>
        <w:rPr/>
      </w:pPr>
      <w:r>
        <w:rPr/>
        <w:t>“</w:t>
      </w:r>
      <w:r>
        <w:rPr>
          <w:rFonts w:ascii="Times New Roman" w:hAnsi="Times New Roman"/>
          <w:sz w:val="20"/>
          <w:u w:val="single"/>
        </w:rPr>
        <w:t>Planned Expenditures</w:t>
      </w:r>
      <w:r>
        <w:rPr>
          <w:rFonts w:ascii="Times New Roman" w:hAnsi="Times New Roman"/>
          <w:sz w:val="20"/>
        </w:rPr>
        <w:t xml:space="preserve">” has the meaning assigned to such term in the definition of “Excess Cash Flow”.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Post-Transaction Period</w:t>
      </w:r>
      <w:r>
        <w:rPr>
          <w:rFonts w:ascii="Times New Roman" w:hAnsi="Times New Roman"/>
          <w:sz w:val="20"/>
        </w:rPr>
        <w:t xml:space="preserve">” means, with respect to any Specified Transaction, the period beginning on the date such Specified Transaction is consummated and ending on the last day of the eighth full consecutive fiscal quarter immediately following the date on which such Specified Transaction is consummated. </w:t>
      </w:r>
    </w:p>
    <w:p>
      <w:pPr>
        <w:pStyle w:val="TextBody"/>
        <w:bidi w:val="0"/>
        <w:spacing w:before="240" w:after="0"/>
        <w:jc w:val="left"/>
        <w:rPr/>
      </w:pPr>
      <w:r>
        <w:rPr/>
        <w:t>“</w:t>
      </w:r>
      <w:r>
        <w:rPr>
          <w:rFonts w:ascii="Times New Roman" w:hAnsi="Times New Roman"/>
          <w:sz w:val="20"/>
          <w:u w:val="single"/>
        </w:rPr>
        <w:t>Potential Rollover Instruments</w:t>
      </w:r>
      <w:r>
        <w:rPr>
          <w:rFonts w:ascii="Times New Roman" w:hAnsi="Times New Roman"/>
          <w:sz w:val="20"/>
        </w:rPr>
        <w:t xml:space="preserve">” means the Convertible Bonds. </w:t>
      </w:r>
    </w:p>
    <w:p>
      <w:pPr>
        <w:pStyle w:val="TextBody"/>
        <w:bidi w:val="0"/>
        <w:spacing w:before="240" w:after="0"/>
        <w:jc w:val="left"/>
        <w:rPr/>
      </w:pPr>
      <w:r>
        <w:rPr/>
        <w:t>“</w:t>
      </w:r>
      <w:r>
        <w:rPr>
          <w:rFonts w:ascii="Times New Roman" w:hAnsi="Times New Roman"/>
          <w:sz w:val="20"/>
          <w:u w:val="single"/>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p>
    <w:p>
      <w:pPr>
        <w:pStyle w:val="TextBody"/>
        <w:bidi w:val="0"/>
        <w:spacing w:before="0" w:after="0"/>
        <w:jc w:val="left"/>
        <w:rPr/>
      </w:pPr>
      <w:r>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non-ordinary course sale, transfer or other disposition of any Collateral permitted by </w:t>
      </w:r>
      <w:r>
        <w:rPr>
          <w:rFonts w:ascii="Times New Roman" w:hAnsi="Times New Roman"/>
          <w:sz w:val="20"/>
          <w:u w:val="single"/>
        </w:rPr>
        <w:t>Section 6.04(a)</w:t>
      </w:r>
      <w:r>
        <w:rPr>
          <w:rFonts w:ascii="Times New Roman" w:hAnsi="Times New Roman"/>
          <w:sz w:val="20"/>
        </w:rPr>
        <w:t xml:space="preserve"> and clause (1) of the definition of Asset Sale other than dispositions resulting in aggregate Net Proceeds not exceeding (A) $150,000,000 in the case of any single transaction or series of related transactions and (B) $300,000,000 for all such transactions during any fiscal year of Bidco; or </w:t>
      </w:r>
    </w:p>
    <w:p>
      <w:pPr>
        <w:pStyle w:val="TextBody"/>
        <w:bidi w:val="0"/>
        <w:spacing w:before="240" w:after="0"/>
        <w:jc w:val="left"/>
        <w:rPr>
          <w:rFonts w:ascii="Times New Roman" w:hAnsi="Times New Roman"/>
          <w:sz w:val="20"/>
        </w:rPr>
      </w:pPr>
      <w:r>
        <w:rPr>
          <w:rFonts w:ascii="Times New Roman" w:hAnsi="Times New Roman"/>
          <w:sz w:val="20"/>
        </w:rPr>
        <w:t>(b) the incurrence by Bidco or any of the Restricted Subsidiaries of any Indebtedness, other than Indebtedness permitted under</w:t>
      </w:r>
      <w:r>
        <w:rPr>
          <w:rFonts w:ascii="Times New Roman" w:hAnsi="Times New Roman"/>
          <w:sz w:val="20"/>
          <w:u w:val="single"/>
        </w:rPr>
        <w:t xml:space="preserve"> Section 6.01</w:t>
      </w:r>
      <w:r>
        <w:rPr>
          <w:rFonts w:ascii="Times New Roman" w:hAnsi="Times New Roman"/>
          <w:sz w:val="20"/>
        </w:rPr>
        <w:t xml:space="preserve"> (other than Credit Agreement Refinancing Indebtedness, Other Term Loans, Other Revolving Loans and Other Revolving Commitments which shall constitute a Prepayment Event to the extent required by the definition of “Credit Agreement Refinancing Indebtedness”) or permitted by the Required Lenders pursuant to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Prepayment Notice</w:t>
      </w:r>
      <w:r>
        <w:rPr>
          <w:rFonts w:ascii="Times New Roman" w:hAnsi="Times New Roman"/>
          <w:sz w:val="20"/>
        </w:rPr>
        <w:t xml:space="preserve">” means a notice of prepayment by Bidco or a Borrower in accordance with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w:t>
      </w:r>
    </w:p>
    <w:p>
      <w:pPr>
        <w:pStyle w:val="TextBody"/>
        <w:bidi w:val="0"/>
        <w:spacing w:before="240" w:after="0"/>
        <w:jc w:val="left"/>
        <w:rPr/>
      </w:pPr>
      <w:r>
        <w:rPr/>
        <w:t>“</w:t>
      </w:r>
      <w:r>
        <w:rPr>
          <w:rFonts w:ascii="Times New Roman" w:hAnsi="Times New Roman"/>
          <w:sz w:val="20"/>
          <w:u w:val="single"/>
        </w:rPr>
        <w:t>Pro Forma Adjustment</w:t>
      </w:r>
      <w:r>
        <w:rPr>
          <w:rFonts w:ascii="Times New Roman" w:hAnsi="Times New Roman"/>
          <w:sz w:val="20"/>
        </w:rPr>
        <w:t xml:space="preserve">” means, for any relevant period that includes all or any part of a fiscal quarter included in any Post-Transaction Period with respect to the Acquired EBITDA of the applicable Pro Forma Entity or the Consolidated EBITDA of Bidco, the pro forma increase or decrease in such Acquired EBITDA or such Consolidated EBITDA, as the case may be, projected by Bidco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Bidco and the Restricted Subsidiaries; </w:t>
      </w:r>
      <w:r>
        <w:rPr>
          <w:rFonts w:ascii="Times New Roman" w:hAnsi="Times New Roman"/>
          <w:sz w:val="20"/>
          <w:u w:val="single"/>
        </w:rPr>
        <w:t>provided</w:t>
      </w:r>
      <w:r>
        <w:rPr>
          <w:rFonts w:ascii="Times New Roman" w:hAnsi="Times New Roman"/>
          <w:sz w:val="20"/>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period, or such additional costs will be incurred during the entirety of such period, (B) any Pro Forma Adjustment to Consolidated EBITDA shall be certified by a Financial Officer, the chief executive officer or president of Bidco or a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period.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w:t>
      </w:r>
      <w:r>
        <w:rPr>
          <w:rFonts w:ascii="Times New Roman" w:hAnsi="Times New Roman"/>
          <w:sz w:val="20"/>
          <w:u w:val="single"/>
        </w:rPr>
        <w:t>Pro Forma Compliance</w:t>
      </w:r>
      <w:r>
        <w:rPr>
          <w:rFonts w:ascii="Times New Roman" w:hAnsi="Times New Roman"/>
          <w:sz w:val="20"/>
        </w:rPr>
        <w:t>” and “</w:t>
      </w:r>
      <w:r>
        <w:rPr>
          <w:rFonts w:ascii="Times New Roman" w:hAnsi="Times New Roman"/>
          <w:sz w:val="20"/>
          <w:u w:val="single"/>
        </w:rPr>
        <w:t>Pro Forma Effect</w:t>
      </w:r>
      <w:r>
        <w:rPr>
          <w:rFonts w:ascii="Times New Roman" w:hAnsi="Times New Roman"/>
          <w:sz w:val="20"/>
        </w:rPr>
        <w:t xml:space="preserve">”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p>
    <w:p>
      <w:pPr>
        <w:pStyle w:val="TextBody"/>
        <w:bidi w:val="0"/>
        <w:spacing w:before="0" w:after="0"/>
        <w:jc w:val="left"/>
        <w:rPr>
          <w:rFonts w:ascii="Times New Roman" w:hAnsi="Times New Roman"/>
          <w:sz w:val="20"/>
        </w:rPr>
      </w:pPr>
      <w:r>
        <w:rPr>
          <w:rFonts w:ascii="Times New Roman" w:hAnsi="Times New Roman"/>
          <w:sz w:val="20"/>
        </w:rPr>
        <w:t xml:space="preserve">negative) attributable to the property or Person subject to such Specified Transaction, (A) in the case of a disposition of all or substantially all Equity Interests in any subsidiary of Bidco or any division, product line, or facility used for operations of Bidco or any of its Subsidiaries, shall be excluded and (B) in the case of a Permitted Acquisition or Investment described in the definition of “Specified Transaction,” shall be included, (ii) any retirement of Indebtedness, and (iii) any Indebtedness incurred or assumed by Bidco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hAnsi="Times New Roman"/>
          <w:sz w:val="20"/>
          <w:u w:val="single"/>
        </w:rPr>
        <w:t>provided</w:t>
      </w:r>
      <w:r>
        <w:rPr>
          <w:rFonts w:ascii="Times New Roman" w:hAnsi="Times New Roman"/>
          <w:sz w:val="20"/>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Bidco or any of its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 </w:t>
      </w:r>
    </w:p>
    <w:p>
      <w:pPr>
        <w:pStyle w:val="TextBody"/>
        <w:bidi w:val="0"/>
        <w:spacing w:before="240" w:after="0"/>
        <w:jc w:val="left"/>
        <w:rPr/>
      </w:pPr>
      <w:r>
        <w:rPr/>
        <w:t>“</w:t>
      </w:r>
      <w:r>
        <w:rPr>
          <w:rFonts w:ascii="Times New Roman" w:hAnsi="Times New Roman"/>
          <w:sz w:val="20"/>
          <w:u w:val="single"/>
        </w:rPr>
        <w:t>Pro Forma Disposal Adjustment</w:t>
      </w:r>
      <w:r>
        <w:rPr>
          <w:rFonts w:ascii="Times New Roman" w:hAnsi="Times New Roman"/>
          <w:sz w:val="20"/>
        </w:rPr>
        <w:t xml:space="preserve">” means, for any relevant period that includes all or a portion of a fiscal quarter included in any Post-Transaction Period with respect to any Sold Entity or Business, the pro forma increase or decrease in Consolidated EBITDA projected by Bidco in good faith as a result of contractual arrangements between Bidco or any Restricted Subsidiary entered into with such Sold Entity or Business at the time of its disposal or within the Post-Transaction Period and which represents an increase or decrease in Consolidated EBITDA which is incremental to the Disposed EBITDA of such Sold Entity or Business for such period. </w:t>
      </w:r>
    </w:p>
    <w:p>
      <w:pPr>
        <w:pStyle w:val="TextBody"/>
        <w:bidi w:val="0"/>
        <w:spacing w:before="240" w:after="0"/>
        <w:jc w:val="left"/>
        <w:rPr/>
      </w:pPr>
      <w:r>
        <w:rPr/>
        <w:t>“</w:t>
      </w:r>
      <w:r>
        <w:rPr>
          <w:rFonts w:ascii="Times New Roman" w:hAnsi="Times New Roman"/>
          <w:sz w:val="20"/>
          <w:u w:val="single"/>
        </w:rPr>
        <w:t>Pro Forma Entity</w:t>
      </w:r>
      <w:r>
        <w:rPr>
          <w:rFonts w:ascii="Times New Roman" w:hAnsi="Times New Roman"/>
          <w:sz w:val="20"/>
        </w:rPr>
        <w:t xml:space="preserve">” has the meaning given to such term in the definition of “Acquired EBITDA.” </w:t>
      </w:r>
    </w:p>
    <w:p>
      <w:pPr>
        <w:pStyle w:val="TextBody"/>
        <w:bidi w:val="0"/>
        <w:spacing w:before="240" w:after="0"/>
        <w:jc w:val="left"/>
        <w:rPr/>
      </w:pPr>
      <w:r>
        <w:rPr/>
        <w:t>“</w:t>
      </w:r>
      <w:r>
        <w:rPr>
          <w:rFonts w:ascii="Times New Roman" w:hAnsi="Times New Roman"/>
          <w:sz w:val="20"/>
          <w:u w:val="single"/>
        </w:rPr>
        <w:t>Proposed Change</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Company Costs</w:t>
      </w:r>
      <w:r>
        <w:rPr>
          <w:rFonts w:ascii="Times New Roman" w:hAnsi="Times New Roman"/>
          <w:sz w:val="20"/>
        </w:rPr>
        <w:t xml:space="preserve">” means, as to Bidco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p>
    <w:p>
      <w:pPr>
        <w:pStyle w:val="TextBody"/>
        <w:bidi w:val="0"/>
        <w:spacing w:before="0" w:after="0"/>
        <w:jc w:val="left"/>
        <w:rPr/>
      </w:pPr>
      <w:r>
        <w:rPr/>
        <w:t>“</w:t>
      </w:r>
      <w:r>
        <w:rPr>
          <w:rFonts w:ascii="Times New Roman" w:hAnsi="Times New Roman"/>
          <w:sz w:val="20"/>
          <w:u w:val="single"/>
        </w:rPr>
        <w:t>Qualified Equity Interests</w:t>
      </w:r>
      <w:r>
        <w:rPr>
          <w:rFonts w:ascii="Times New Roman" w:hAnsi="Times New Roman"/>
          <w:sz w:val="20"/>
        </w:rPr>
        <w:t xml:space="preserve">” means Equity Interests of Holdings or Bidco other than Disqualified Equity Interests. </w:t>
      </w:r>
    </w:p>
    <w:p>
      <w:pPr>
        <w:pStyle w:val="TextBody"/>
        <w:bidi w:val="0"/>
        <w:spacing w:before="240" w:after="0"/>
        <w:jc w:val="left"/>
        <w:rPr/>
      </w:pPr>
      <w:r>
        <w:rPr/>
        <w:t>“</w:t>
      </w:r>
      <w:r>
        <w:rPr>
          <w:rFonts w:ascii="Times New Roman" w:hAnsi="Times New Roman"/>
          <w:sz w:val="20"/>
          <w:u w:val="single"/>
        </w:rPr>
        <w:t>Qualified Proceeds</w:t>
      </w:r>
      <w:r>
        <w:rPr>
          <w:rFonts w:ascii="Times New Roman" w:hAnsi="Times New Roman"/>
          <w:sz w:val="20"/>
        </w:rPr>
        <w:t xml:space="preserve">” means assets that are used or useful in, or Equity Interests of any Person engaged in, a Similar Business; </w:t>
      </w:r>
      <w:r>
        <w:rPr>
          <w:rFonts w:ascii="Times New Roman" w:hAnsi="Times New Roman"/>
          <w:sz w:val="20"/>
          <w:u w:val="single"/>
        </w:rPr>
        <w:t>provided</w:t>
      </w:r>
      <w:r>
        <w:rPr>
          <w:rFonts w:ascii="Times New Roman" w:hAnsi="Times New Roman"/>
          <w:sz w:val="20"/>
        </w:rPr>
        <w:t xml:space="preserve"> that the fair market value of any such assets or Equity Interests shall be determined by a Responsible Officer of Bidco or a Borrower in good faith. </w:t>
      </w:r>
    </w:p>
    <w:p>
      <w:pPr>
        <w:pStyle w:val="TextBody"/>
        <w:bidi w:val="0"/>
        <w:spacing w:before="240" w:after="0"/>
        <w:jc w:val="left"/>
        <w:rPr/>
      </w:pPr>
      <w:r>
        <w:rPr/>
        <w:t>“</w:t>
      </w:r>
      <w:r>
        <w:rPr>
          <w:rFonts w:ascii="Times New Roman" w:hAnsi="Times New Roman"/>
          <w:sz w:val="20"/>
          <w:u w:val="single"/>
        </w:rPr>
        <w:t>Qualifying Lender</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Receivables Assets</w:t>
      </w:r>
      <w:r>
        <w:rPr>
          <w:rFonts w:ascii="Times New Roman" w:hAnsi="Times New Roman"/>
          <w:sz w:val="20"/>
        </w:rPr>
        <w:t xml:space="preserve">” means accounts receivable, royalty and other similar rights to payment and any other assets related thereto subject to a Receivables Facility that are customarily sold or pledged in connection with receivables transactions and the proceeds thereof. </w:t>
      </w:r>
    </w:p>
    <w:p>
      <w:pPr>
        <w:pStyle w:val="TextBody"/>
        <w:bidi w:val="0"/>
        <w:spacing w:before="240" w:after="0"/>
        <w:jc w:val="left"/>
        <w:rPr/>
      </w:pPr>
      <w:r>
        <w:rPr/>
        <w:t>“</w:t>
      </w:r>
      <w:r>
        <w:rPr>
          <w:rFonts w:ascii="Times New Roman" w:hAnsi="Times New Roman"/>
          <w:sz w:val="20"/>
          <w:u w:val="single"/>
        </w:rPr>
        <w:t>Receivables Facility</w:t>
      </w:r>
      <w:r>
        <w:rPr>
          <w:rFonts w:ascii="Times New Roman" w:hAnsi="Times New Roman"/>
          <w:sz w:val="20"/>
        </w:rPr>
        <w:t xml:space="preserve">” means any of one or more receivables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Bidco or any of its Restricted Subsidiaries (other than a Receivables Subsidiary) pursuant to which Bidco or any of its Restricted Subsidiaries sells or grants a security interest in its accounts receivable or assets related thereto that are customarily sold or pledged in connection with securitization transactions to either (a) a Person that is not a Restricted Subsidiary or (b) a Receivables Subsidiary that in turn sells its accounts receivable to a Person that is not a Restricted Subsidiary. </w:t>
      </w:r>
    </w:p>
    <w:p>
      <w:pPr>
        <w:pStyle w:val="TextBody"/>
        <w:bidi w:val="0"/>
        <w:spacing w:before="240" w:after="0"/>
        <w:jc w:val="left"/>
        <w:rPr/>
      </w:pPr>
      <w:r>
        <w:rPr/>
        <w:t>“</w:t>
      </w:r>
      <w:r>
        <w:rPr>
          <w:rFonts w:ascii="Times New Roman" w:hAnsi="Times New Roman"/>
          <w:sz w:val="20"/>
          <w:u w:val="single"/>
        </w:rPr>
        <w:t>Receivables Fees</w:t>
      </w:r>
      <w:r>
        <w:rPr>
          <w:rFonts w:ascii="Times New Roman" w:hAnsi="Times New Roman"/>
          <w:sz w:val="20"/>
        </w:rPr>
        <w:t xml:space="preserve">” 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 </w:t>
      </w:r>
    </w:p>
    <w:p>
      <w:pPr>
        <w:pStyle w:val="TextBody"/>
        <w:bidi w:val="0"/>
        <w:spacing w:before="240" w:after="0"/>
        <w:jc w:val="left"/>
        <w:rPr/>
      </w:pPr>
      <w:r>
        <w:rPr/>
        <w:t>“</w:t>
      </w:r>
      <w:r>
        <w:rPr>
          <w:rFonts w:ascii="Times New Roman" w:hAnsi="Times New Roman"/>
          <w:sz w:val="20"/>
          <w:u w:val="single"/>
        </w:rPr>
        <w:t>Receivables Subsidiary</w:t>
      </w:r>
      <w:r>
        <w:rPr>
          <w:rFonts w:ascii="Times New Roman" w:hAnsi="Times New Roman"/>
          <w:sz w:val="20"/>
        </w:rPr>
        <w:t xml:space="preserve">” means any Subsidiary formed for the purpose of, and that solely engages only in, one or more Receivables Facilities and other activities reasonably related or incidental thereto. </w:t>
      </w:r>
    </w:p>
    <w:p>
      <w:pPr>
        <w:pStyle w:val="TextBody"/>
        <w:bidi w:val="0"/>
        <w:spacing w:before="240" w:after="0"/>
        <w:jc w:val="left"/>
        <w:rPr/>
      </w:pPr>
      <w:r>
        <w:rPr/>
        <w:t>“</w:t>
      </w:r>
      <w:r>
        <w:rPr>
          <w:rFonts w:ascii="Times New Roman" w:hAnsi="Times New Roman"/>
          <w:sz w:val="20"/>
          <w:u w:val="single"/>
        </w:rPr>
        <w:t>Recruitment Notes</w:t>
      </w:r>
      <w:r>
        <w:rPr>
          <w:rFonts w:ascii="Times New Roman" w:hAnsi="Times New Roman"/>
          <w:sz w:val="20"/>
        </w:rPr>
        <w:t xml:space="preserve">” means forgivable promissory notes issued from time to time by a Restricted Subsidiary to certain employees or financial advisors in the ordinary course of business. </w:t>
      </w:r>
    </w:p>
    <w:p>
      <w:pPr>
        <w:pStyle w:val="TextBody"/>
        <w:bidi w:val="0"/>
        <w:spacing w:before="240" w:after="0"/>
        <w:jc w:val="left"/>
        <w:rPr/>
      </w:pPr>
      <w:r>
        <w:rPr/>
        <w:t>“</w:t>
      </w:r>
      <w:r>
        <w:rPr>
          <w:rFonts w:ascii="Times New Roman" w:hAnsi="Times New Roman"/>
          <w:sz w:val="20"/>
          <w:u w:val="single"/>
        </w:rPr>
        <w:t>Refinanced Debt</w:t>
      </w:r>
      <w:r>
        <w:rPr>
          <w:rFonts w:ascii="Times New Roman" w:hAnsi="Times New Roman"/>
          <w:sz w:val="20"/>
        </w:rPr>
        <w:t xml:space="preserve">” has the meaning assigned to such term in the definition of “Credit Agreement Refinancing Indebtedness.” </w:t>
      </w:r>
    </w:p>
    <w:p>
      <w:pPr>
        <w:pStyle w:val="TextBody"/>
        <w:bidi w:val="0"/>
        <w:spacing w:before="240" w:after="0"/>
        <w:jc w:val="left"/>
        <w:rPr/>
      </w:pPr>
      <w:r>
        <w:rPr/>
        <w:t>“</w:t>
      </w:r>
      <w:r>
        <w:rPr>
          <w:rFonts w:ascii="Times New Roman" w:hAnsi="Times New Roman"/>
          <w:sz w:val="20"/>
          <w:u w:val="single"/>
        </w:rPr>
        <w:t>Refinancing</w:t>
      </w:r>
      <w:r>
        <w:rPr>
          <w:rFonts w:ascii="Times New Roman" w:hAnsi="Times New Roman"/>
          <w:sz w:val="20"/>
        </w:rPr>
        <w:t xml:space="preserve">” means, collectively, (a) the refinancing of all Target Refinancing Indebtedness on or prior to the Target Debt Refinancing Outside Date and the termination of all commitments and Liens thereunder (or in the case of letters of credit, replaced, backstopped or incorporated or “grandfathered” into the Revolving Facility) and (b) to the extent that Bidco elects prior to the Target Debt Refinancing Outside Date that any portion of the Potential Rollover Instruments shall remain outstanding in accordance with the definition of “Target Debt Refinancing Indebtedness”, the reduction (without duplication) of Initial Term Commitments in an aggregate amount equal to the Rolled Over Amounts in accordance with </w:t>
      </w:r>
      <w:r>
        <w:rPr>
          <w:rFonts w:ascii="Times New Roman" w:hAnsi="Times New Roman"/>
          <w:sz w:val="20"/>
          <w:u w:val="single"/>
        </w:rPr>
        <w:t>Section 2.07(a)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Amendment</w:t>
      </w:r>
      <w:r>
        <w:rPr>
          <w:rFonts w:ascii="Times New Roman" w:hAnsi="Times New Roman"/>
          <w:sz w:val="20"/>
        </w:rPr>
        <w:t xml:space="preserve">” means an amendment to this Agreement in form and substance reasonably satisfactory to the Administrative Agent and Bidco executed by each of (a) the Borrowers, Bidco and Holdings, (b) the Administrative Agent and (c) each Additional Lender and Lender that agrees to provide any portion of the Credit Agreement Refinancing Indebtedness being incurred pursuant thereto, in accordance with </w:t>
      </w:r>
      <w:r>
        <w:rPr>
          <w:rFonts w:ascii="Times New Roman" w:hAnsi="Times New Roman"/>
          <w:sz w:val="20"/>
          <w:u w:val="single"/>
        </w:rPr>
        <w:t>Section 2.20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p>
    <w:p>
      <w:pPr>
        <w:pStyle w:val="TextBody"/>
        <w:bidi w:val="0"/>
        <w:spacing w:before="0" w:after="0"/>
        <w:jc w:val="left"/>
        <w:rPr/>
      </w:pPr>
      <w:r>
        <w:rPr/>
        <w:t>“</w:t>
      </w:r>
      <w:r>
        <w:rPr>
          <w:rFonts w:ascii="Times New Roman" w:hAnsi="Times New Roman"/>
          <w:sz w:val="20"/>
          <w:u w:val="single"/>
        </w:rPr>
        <w:t>Refinancing Indebtedness</w:t>
      </w:r>
      <w:r>
        <w:rPr>
          <w:rFonts w:ascii="Times New Roman" w:hAnsi="Times New Roman"/>
          <w:sz w:val="20"/>
        </w:rPr>
        <w:t>” has the meaning assigned to such term in</w:t>
      </w:r>
      <w:r>
        <w:rPr>
          <w:rFonts w:ascii="Times New Roman" w:hAnsi="Times New Roman"/>
          <w:sz w:val="20"/>
          <w:u w:val="single"/>
        </w:rPr>
        <w:t xml:space="preserve"> Section</w:t>
      </w:r>
      <w:r>
        <w:rPr>
          <w:rFonts w:ascii="Times New Roman" w:hAnsi="Times New Roman"/>
          <w:sz w:val="20"/>
        </w:rPr>
        <w:t xml:space="preserve"> </w:t>
      </w:r>
      <w:r>
        <w:rPr>
          <w:rFonts w:ascii="Times New Roman" w:hAnsi="Times New Roman"/>
          <w:sz w:val="20"/>
          <w:u w:val="single"/>
        </w:rPr>
        <w:t>6.01(b)(xii)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Refunding Capital Stock</w:t>
      </w:r>
      <w:r>
        <w:rPr>
          <w:rFonts w:ascii="Times New Roman" w:hAnsi="Times New Roman"/>
          <w:sz w:val="20"/>
        </w:rPr>
        <w:t xml:space="preserve">” has the meaning assigned to such term in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9.04(b)(iv)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Registered Equivalent Notes</w:t>
      </w:r>
      <w:r>
        <w:rPr>
          <w:rFonts w:ascii="Times New Roman" w:hAnsi="Times New Roman"/>
          <w:sz w:val="20"/>
        </w:rPr>
        <w:t xml:space="preserve">”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 </w:t>
      </w:r>
    </w:p>
    <w:p>
      <w:pPr>
        <w:pStyle w:val="TextBody"/>
        <w:bidi w:val="0"/>
        <w:spacing w:before="240" w:after="0"/>
        <w:jc w:val="left"/>
        <w:rPr/>
      </w:pPr>
      <w:r>
        <w:rPr/>
        <w:t>“</w:t>
      </w:r>
      <w:r>
        <w:rPr>
          <w:rFonts w:ascii="Times New Roman" w:hAnsi="Times New Roman"/>
          <w:sz w:val="20"/>
          <w:u w:val="single"/>
        </w:rPr>
        <w:t>Reinvestment Period</w:t>
      </w:r>
      <w:r>
        <w:rPr>
          <w:rFonts w:ascii="Times New Roman" w:hAnsi="Times New Roman"/>
          <w:sz w:val="20"/>
        </w:rPr>
        <w:t xml:space="preserve">” shall mean 450 days following the date of receipt of Net Proceeds in respect of any Prepayment Event described in clause (a) of the definition thereof.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and permitted successors and assigns of each of the foregoing.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the environment within any building or any occupied structure, facility or fixture.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Repricing Transaction</w:t>
      </w:r>
      <w:r>
        <w:rPr>
          <w:rFonts w:ascii="Times New Roman" w:hAnsi="Times New Roman"/>
          <w:sz w:val="20"/>
        </w:rPr>
        <w:t xml:space="preserve">” means (a) the incurrence by any Borrower or any Guarantor of any Indebtedness in the form of term loans equal in right of payment to the Loan Document Obligations and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that are broadly syndicated to banks and other institutional investors (i) for the primary purpose (as reasonably determined by Bidco) of reducing the Effective Yield for the respective Type of such Indebtedness to less than the Effective Yield for the Amendment No. 1 Refinancing Term Loans of the respective equivalent Type, but excluding Indebtedness incurred in connection with (A) a Change of Control, (B) an IPO or (C) any material acquisition, merger or consolidation, material Investment, material Asset Sale or material Restricted Payment and (ii) the proceeds of which are used to prepay (or, in the case of a conversion, deemed to prepay or replace), in whole or in part, outstanding principal of Amendment No. 1 Refinancing Term Loans or (b) any amendment of this Agreement for the primary purpose of reducing the Effective Yield for the Amendment No. 1 Refinancing Term Loans (</w:t>
      </w:r>
      <w:r>
        <w:rPr>
          <w:rFonts w:ascii="Times New Roman" w:hAnsi="Times New Roman"/>
          <w:sz w:val="20"/>
          <w:u w:val="single"/>
        </w:rPr>
        <w:t>e.g.</w:t>
      </w:r>
      <w:r>
        <w:rPr>
          <w:rFonts w:ascii="Times New Roman" w:hAnsi="Times New Roman"/>
          <w:sz w:val="20"/>
        </w:rPr>
        <w:t xml:space="preserve">, by way of amendment, waiver or otherwise), except for a reduction in connection with (A) a Change of Control, (B) an IPO or (C) any material acquisition, merger or consolidation, material Investment, material Asset Sale or material Restricted Payment. Any determination by the Administrative Agent with respect to whether a Repricing Transaction shall have occurred shall be conclusive and binding on all Lenders holding the Term Loans. </w:t>
      </w:r>
    </w:p>
    <w:p>
      <w:pPr>
        <w:pStyle w:val="TextBody"/>
        <w:bidi w:val="0"/>
        <w:spacing w:before="240" w:after="0"/>
        <w:jc w:val="left"/>
        <w:rPr/>
      </w:pPr>
      <w:r>
        <w:rPr/>
        <w:t>“</w:t>
      </w:r>
      <w:r>
        <w:rPr>
          <w:rFonts w:ascii="Times New Roman" w:hAnsi="Times New Roman"/>
          <w:sz w:val="20"/>
          <w:u w:val="single"/>
        </w:rPr>
        <w:t>Required Additional Debt Terms</w:t>
      </w:r>
      <w:r>
        <w:rPr>
          <w:rFonts w:ascii="Times New Roman" w:hAnsi="Times New Roman"/>
          <w:sz w:val="20"/>
        </w:rPr>
        <w:t xml:space="preserve">” means with respect to any Indebtedness, (a) such Indebtedness (other than any Designated Earlier Maturing Debt)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p>
    <w:p>
      <w:pPr>
        <w:pStyle w:val="TextBody"/>
        <w:bidi w:val="0"/>
        <w:spacing w:before="0" w:after="0"/>
        <w:jc w:val="left"/>
        <w:rPr>
          <w:rFonts w:ascii="Times New Roman" w:hAnsi="Times New Roman"/>
          <w:sz w:val="20"/>
        </w:rPr>
      </w:pPr>
      <w:r>
        <w:rPr>
          <w:rFonts w:ascii="Times New Roman" w:hAnsi="Times New Roman"/>
          <w:sz w:val="20"/>
        </w:rPr>
        <w:t xml:space="preserve">Date), (b) such Indebtedness (other than any Designated Earlier Maturing Debt) does not have a shorter Weighted Average Life to Maturity than the remaining Amendment No. 1 Refinancing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such remaining Amendment No. 1 Refinancing Term Loans), (c) such Indebtedness (other than any Designated Alternative Security Debt) is not guaranteed by any entity that is not a Loan Party, (d) if secured, such Indebtedness (other than any Designated Alternative Security Debt) (i) is not secured by any assets other than Collateral and (ii) is subject to a Customary Intercreditor Agreement(s) and (e) the other terms and conditions of such Indebtedness shall be as agreed between the borrower of such Indebtedness and the parties providing any such Indebtedness.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Term Loans and Revolving Exposures of, and the unused Commitments of, each Defaulting Lender shall be excluded for purposes of making a determination of Required Lenders. </w:t>
      </w:r>
    </w:p>
    <w:p>
      <w:pPr>
        <w:pStyle w:val="TextBody"/>
        <w:bidi w:val="0"/>
        <w:spacing w:before="240" w:after="0"/>
        <w:jc w:val="left"/>
        <w:rPr/>
      </w:pPr>
      <w:r>
        <w:rPr/>
        <w:t>“</w:t>
      </w:r>
      <w:r>
        <w:rPr>
          <w:rFonts w:ascii="Times New Roman" w:hAnsi="Times New Roman"/>
          <w:sz w:val="20"/>
          <w:u w:val="single"/>
        </w:rPr>
        <w:t>Required Revolving Lenders</w:t>
      </w:r>
      <w:r>
        <w:rPr>
          <w:rFonts w:ascii="Times New Roman" w:hAnsi="Times New Roman"/>
          <w:sz w:val="20"/>
        </w:rPr>
        <w:t xml:space="preserve">” means, at any time, Revolving Lenders having Revolving Exposures and unused Revolving Commitments (exclusive of Swingline Commitments) representing more than 50% of the aggregate Revolving Exposures and unused Revolving Commitments (exclusive of Swingline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Revolving Exposures of, and the unused Revolving Commitments of, each Defaulting Lender, shall be excluded for purposes of making a determination of Required Revolving Lenders. </w:t>
      </w:r>
    </w:p>
    <w:p>
      <w:pPr>
        <w:pStyle w:val="TextBody"/>
        <w:bidi w:val="0"/>
        <w:spacing w:before="240" w:after="0"/>
        <w:jc w:val="left"/>
        <w:rPr/>
      </w:pPr>
      <w:r>
        <w:rPr/>
        <w:t>“</w:t>
      </w:r>
      <w:r>
        <w:rPr>
          <w:rFonts w:ascii="Times New Roman" w:hAnsi="Times New Roman"/>
          <w:sz w:val="20"/>
          <w:u w:val="single"/>
        </w:rPr>
        <w:t>Required Term Lenders</w:t>
      </w:r>
      <w:r>
        <w:rPr>
          <w:rFonts w:ascii="Times New Roman" w:hAnsi="Times New Roman"/>
          <w:sz w:val="20"/>
        </w:rPr>
        <w:t xml:space="preserve">” means, at any time, Term Lenders having Term Loans and unused Term Commitments representing more than 50% of the aggregate outstanding Term Loans and unused Term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Term Loans of, and the unused Term Commitments of, each Defaulting Lender shall be excluded for purposes of making a determination of Required Term Lenders. </w:t>
      </w:r>
    </w:p>
    <w:p>
      <w:pPr>
        <w:pStyle w:val="TextBody"/>
        <w:bidi w:val="0"/>
        <w:spacing w:before="240" w:after="0"/>
        <w:jc w:val="left"/>
        <w:rPr/>
      </w:pPr>
      <w:r>
        <w:rPr/>
        <w:t>“</w:t>
      </w:r>
      <w:r>
        <w:rPr>
          <w:rFonts w:ascii="Times New Roman" w:hAnsi="Times New Roman"/>
          <w:sz w:val="20"/>
          <w:u w:val="single"/>
        </w:rPr>
        <w:t>Requirements of Law</w:t>
      </w:r>
      <w:r>
        <w:rPr>
          <w:rFonts w:ascii="Times New Roman" w:hAnsi="Times New Roman"/>
          <w:sz w:val="20"/>
        </w:rPr>
        <w:t xml:space="preserve">”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Reserved Indebtedness Amount</w:t>
      </w:r>
      <w:r>
        <w:rPr>
          <w:rFonts w:ascii="Times New Roman" w:hAnsi="Times New Roman"/>
          <w:sz w:val="20"/>
        </w:rPr>
        <w:t xml:space="preserve">” has the meaning assigned to such term in </w:t>
      </w:r>
      <w:r>
        <w:rPr>
          <w:rFonts w:ascii="Times New Roman" w:hAnsi="Times New Roman"/>
          <w:sz w:val="20"/>
          <w:u w:val="single"/>
        </w:rPr>
        <w:t>Section 6.01(c)(iii)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the chief executive officer, president, vice president, chief financial officer, treasurer or assistant treasurer, or other similar officer, manager or a member of the Board of Directors of a Loan Party and with respect to certain limited liability companies or partnerships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p>
    <w:p>
      <w:pPr>
        <w:pStyle w:val="TextBody"/>
        <w:bidi w:val="0"/>
        <w:spacing w:before="0" w:after="0"/>
        <w:jc w:val="left"/>
        <w:rPr>
          <w:rFonts w:ascii="Times New Roman" w:hAnsi="Times New Roman"/>
          <w:sz w:val="20"/>
        </w:rPr>
      </w:pPr>
      <w:r>
        <w:rPr>
          <w:rFonts w:ascii="Times New Roman" w:hAnsi="Times New Roman"/>
          <w:sz w:val="20"/>
        </w:rPr>
        <w:t xml:space="preserve">that do not have officers, any manager, sole member, managing member or general partner thereof.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sz w:val="20"/>
          <w:u w:val="single"/>
        </w:rPr>
        <w:t>Restricted Debt Payment</w:t>
      </w:r>
      <w:r>
        <w:rPr>
          <w:rFonts w:ascii="Times New Roman" w:hAnsi="Times New Roman"/>
          <w:sz w:val="20"/>
        </w:rPr>
        <w:t xml:space="preserve">” has the meaning assigned to such term in </w:t>
      </w:r>
      <w:r>
        <w:rPr>
          <w:rFonts w:ascii="Times New Roman" w:hAnsi="Times New Roman"/>
          <w:sz w:val="20"/>
          <w:u w:val="single"/>
        </w:rPr>
        <w:t>Section 6.05(a)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has the meaning assigned to such term in </w:t>
      </w:r>
      <w:r>
        <w:rPr>
          <w:rFonts w:ascii="Times New Roman" w:hAnsi="Times New Roman"/>
          <w:sz w:val="20"/>
          <w:u w:val="single"/>
        </w:rPr>
        <w:t>Section 6.05(a)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Bidco that is a U.S. Restricted Subsidiary or a Non-U.S. Restricted Subsidiary. </w:t>
      </w:r>
    </w:p>
    <w:p>
      <w:pPr>
        <w:pStyle w:val="TextBody"/>
        <w:bidi w:val="0"/>
        <w:spacing w:before="240" w:after="0"/>
        <w:jc w:val="left"/>
        <w:rPr/>
      </w:pPr>
      <w:r>
        <w:rPr/>
        <w:t>“</w:t>
      </w:r>
      <w:r>
        <w:rPr>
          <w:rFonts w:ascii="Times New Roman" w:hAnsi="Times New Roman"/>
          <w:sz w:val="20"/>
          <w:u w:val="single"/>
        </w:rPr>
        <w:t>Retained Declined Proceeds</w:t>
      </w:r>
      <w:r>
        <w:rPr>
          <w:rFonts w:ascii="Times New Roman" w:hAnsi="Times New Roman"/>
          <w:sz w:val="20"/>
        </w:rPr>
        <w:t xml:space="preserve">” has the meaning assigned to such term in </w:t>
      </w:r>
      <w:r>
        <w:rPr>
          <w:rFonts w:ascii="Times New Roman" w:hAnsi="Times New Roman"/>
          <w:sz w:val="20"/>
          <w:u w:val="single"/>
        </w:rPr>
        <w:t>Section 2.10(e)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Revaluation Date</w:t>
      </w:r>
      <w:r>
        <w:rPr>
          <w:rFonts w:ascii="Times New Roman" w:hAnsi="Times New Roman"/>
          <w:sz w:val="20"/>
        </w:rPr>
        <w:t xml:space="preserve">” means (a) the date of delivery of each Borrowing Request for a Revolving Borrowing in an Alternative Currency, (b) the date of issuance (and extension or renewal, at the discretion of the Administrative Agent and/or any Issuing Bank) of any Letter of Credit denominated in an Alternative Currency, (c) the date of conversion or continuation of any Revolving Borrowing denominated in an Alternative Currency or (d) such additional dates as the Administrative Agent may reasonably specify. </w:t>
      </w:r>
    </w:p>
    <w:p>
      <w:pPr>
        <w:pStyle w:val="TextBody"/>
        <w:bidi w:val="0"/>
        <w:spacing w:before="240" w:after="0"/>
        <w:jc w:val="left"/>
        <w:rPr/>
      </w:pPr>
      <w:r>
        <w:rPr/>
        <w:t>“</w:t>
      </w:r>
      <w:r>
        <w:rPr>
          <w:rFonts w:ascii="Times New Roman" w:hAnsi="Times New Roman"/>
          <w:sz w:val="20"/>
          <w:u w:val="single"/>
        </w:rPr>
        <w:t>Revolving Availability Period</w:t>
      </w:r>
      <w:r>
        <w:rPr>
          <w:rFonts w:ascii="Times New Roman" w:hAnsi="Times New Roman"/>
          <w:sz w:val="20"/>
        </w:rPr>
        <w:t xml:space="preserve">” means the period from and including the Effective Date to but excluding the earlier of the Revolving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Revolving 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(i) assignments by or to such Lender pursuant to an Assignment and Assumption, (ii) a Refinancing Amendment, (iii) an Incremental Revolving Commitment Increase, (iv) a Loan Modification Agreement or (v) an Additional/Replacement Revolving Commitment. The initial amount of each Lender’s Revolving Commitment is set forth on </w:t>
      </w:r>
      <w:r>
        <w:rPr>
          <w:rFonts w:ascii="Times New Roman" w:hAnsi="Times New Roman"/>
          <w:sz w:val="20"/>
          <w:u w:val="single"/>
        </w:rPr>
        <w:t>Schedule 2.01</w:t>
      </w:r>
      <w:r>
        <w:rPr>
          <w:rFonts w:ascii="Times New Roman" w:hAnsi="Times New Roman"/>
          <w:sz w:val="20"/>
        </w:rPr>
        <w:t xml:space="preserve">, or in the Assignment and Assumption, Incremental Facility Amendment, Loan Modification Agreement or Refinancing Amendment pursuant to which such Lender shall have assumed its Revolving Commitment, as the case may be. The aggregate amount of the Lenders’ Revolving Commitments on the Effective Date is $700,000,000. </w:t>
      </w:r>
    </w:p>
    <w:p>
      <w:pPr>
        <w:pStyle w:val="TextBody"/>
        <w:bidi w:val="0"/>
        <w:spacing w:before="240" w:after="0"/>
        <w:jc w:val="left"/>
        <w:rPr/>
      </w:pPr>
      <w:r>
        <w:rPr/>
        <w:t>“</w:t>
      </w:r>
      <w:r>
        <w:rPr>
          <w:rFonts w:ascii="Times New Roman" w:hAnsi="Times New Roman"/>
          <w:sz w:val="20"/>
          <w:u w:val="single"/>
        </w:rPr>
        <w:t>Revolving Exposure</w:t>
      </w:r>
      <w:r>
        <w:rPr>
          <w:rFonts w:ascii="Times New Roman" w:hAnsi="Times New Roman"/>
          <w:sz w:val="20"/>
        </w:rPr>
        <w:t xml:space="preserve">” means, with respect to any Revolving Lender at any time, the sum of the outstanding principal amount of such Revolving Lender’s Revolving Loans, its LC Exposure and its Swingline Exposure at such time.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means at any time, the aggregate amount of Revolving Commitments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p>
    <w:p>
      <w:pPr>
        <w:pStyle w:val="TextBody"/>
        <w:bidi w:val="0"/>
        <w:spacing w:before="0" w:after="0"/>
        <w:jc w:val="left"/>
        <w:rPr/>
      </w:pPr>
      <w:r>
        <w:rPr/>
        <w:t>“</w:t>
      </w:r>
      <w:r>
        <w:rPr>
          <w:rFonts w:ascii="Times New Roman" w:hAnsi="Times New Roman"/>
          <w:sz w:val="20"/>
          <w:u w:val="single"/>
        </w:rPr>
        <w:t>Revolving Lender</w:t>
      </w:r>
      <w:r>
        <w:rPr>
          <w:rFonts w:ascii="Times New Roman" w:hAnsi="Times New Roman"/>
          <w:sz w:val="20"/>
        </w:rPr>
        <w:t xml:space="preserve">” means a Lender with a Revolving Commitment or, if the Revolving Commitments have terminated or expired, a Lender with Revolving Exposure. </w:t>
      </w:r>
    </w:p>
    <w:p>
      <w:pPr>
        <w:pStyle w:val="TextBody"/>
        <w:bidi w:val="0"/>
        <w:spacing w:before="240" w:after="0"/>
        <w:jc w:val="left"/>
        <w:rPr/>
      </w:pPr>
      <w:r>
        <w:rPr/>
        <w:t>“</w:t>
      </w:r>
      <w:r>
        <w:rPr>
          <w:rFonts w:ascii="Times New Roman" w:hAnsi="Times New Roman"/>
          <w:sz w:val="20"/>
          <w:u w:val="single"/>
        </w:rPr>
        <w:t>Revolving Loan</w:t>
      </w:r>
      <w:r>
        <w:rPr>
          <w:rFonts w:ascii="Times New Roman" w:hAnsi="Times New Roman"/>
          <w:sz w:val="20"/>
        </w:rPr>
        <w:t>” means a Loan made pursuant to clause (b) of</w:t>
      </w:r>
      <w:r>
        <w:rPr>
          <w:rFonts w:ascii="Times New Roman" w:hAnsi="Times New Roman"/>
          <w:sz w:val="20"/>
          <w:u w:val="single"/>
        </w:rPr>
        <w:t xml:space="preserve"> 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Maturity Date</w:t>
      </w:r>
      <w:r>
        <w:rPr>
          <w:rFonts w:ascii="Times New Roman" w:hAnsi="Times New Roman"/>
          <w:sz w:val="20"/>
        </w:rPr>
        <w:t xml:space="preserve">” means (i) December 12, 2024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 </w:t>
      </w:r>
    </w:p>
    <w:p>
      <w:pPr>
        <w:pStyle w:val="TextBody"/>
        <w:bidi w:val="0"/>
        <w:spacing w:before="240" w:after="0"/>
        <w:jc w:val="left"/>
        <w:rPr/>
      </w:pPr>
      <w:r>
        <w:rPr/>
        <w:t>“</w:t>
      </w:r>
      <w:r>
        <w:rPr>
          <w:rFonts w:ascii="Times New Roman" w:hAnsi="Times New Roman"/>
          <w:sz w:val="20"/>
          <w:u w:val="single"/>
        </w:rPr>
        <w:t>Rolled Over Amounts</w:t>
      </w:r>
      <w:r>
        <w:rPr>
          <w:rFonts w:ascii="Times New Roman" w:hAnsi="Times New Roman"/>
          <w:sz w:val="20"/>
        </w:rPr>
        <w:t xml:space="preserve">” means, with respect to any portion of the Potential Rollover Instruments that Bidco elects prior to the Target Debt Refinancing Outside Date shall remain outstanding in accordance with the definition of “Target Refinancing Indebtedness”, the principal amount outstanding under such portion of the Potential Rollover Instruments. </w:t>
      </w:r>
    </w:p>
    <w:p>
      <w:pPr>
        <w:pStyle w:val="TextBody"/>
        <w:bidi w:val="0"/>
        <w:spacing w:before="240" w:after="0"/>
        <w:jc w:val="left"/>
        <w:rPr/>
      </w:pPr>
      <w:r>
        <w:rPr/>
        <w:t>“</w:t>
      </w:r>
      <w:r>
        <w:rPr>
          <w:rFonts w:ascii="Times New Roman" w:hAnsi="Times New Roman"/>
          <w:sz w:val="20"/>
          <w:u w:val="single"/>
        </w:rPr>
        <w:t>Satellite</w:t>
      </w:r>
      <w:r>
        <w:rPr>
          <w:rFonts w:ascii="Times New Roman" w:hAnsi="Times New Roman"/>
          <w:sz w:val="20"/>
        </w:rPr>
        <w:t xml:space="preserve">” shall mean any satellite owned by, or leased to, Bidco or any other Loan Party and any satellite purchased by a Loan Party pursuant to the terms of a Satellite Purchase Agreement, whether such satellite is in the process of manufacture, has been delivered for launch or is in orbit (whether or not in operational service). </w:t>
      </w:r>
    </w:p>
    <w:p>
      <w:pPr>
        <w:pStyle w:val="TextBody"/>
        <w:bidi w:val="0"/>
        <w:spacing w:before="240" w:after="0"/>
        <w:jc w:val="left"/>
        <w:rPr/>
      </w:pPr>
      <w:r>
        <w:rPr/>
        <w:t>“</w:t>
      </w:r>
      <w:r>
        <w:rPr>
          <w:rFonts w:ascii="Times New Roman" w:hAnsi="Times New Roman"/>
          <w:sz w:val="20"/>
          <w:u w:val="single"/>
        </w:rPr>
        <w:t>Satellite Collateral</w:t>
      </w:r>
      <w:r>
        <w:rPr>
          <w:rFonts w:ascii="Times New Roman" w:hAnsi="Times New Roman"/>
          <w:sz w:val="20"/>
        </w:rPr>
        <w:t xml:space="preserve">” means, collectively, (a) any Satellite owned by a Loan Party, (b) all material Intellectual Property necessary for the relevant Loan Party to own and operate any Satellite system, ground segment or transmission network related thereto and (c) any launch or in-orbit insurance proceeds related to the forgoing. </w:t>
      </w:r>
    </w:p>
    <w:p>
      <w:pPr>
        <w:pStyle w:val="TextBody"/>
        <w:bidi w:val="0"/>
        <w:spacing w:before="240" w:after="0"/>
        <w:jc w:val="left"/>
        <w:rPr/>
      </w:pPr>
      <w:r>
        <w:rPr/>
        <w:t>“</w:t>
      </w:r>
      <w:r>
        <w:rPr>
          <w:rFonts w:ascii="Times New Roman" w:hAnsi="Times New Roman"/>
          <w:sz w:val="20"/>
          <w:u w:val="single"/>
        </w:rPr>
        <w:t>Satellite Manufacturer</w:t>
      </w:r>
      <w:r>
        <w:rPr>
          <w:rFonts w:ascii="Times New Roman" w:hAnsi="Times New Roman"/>
          <w:sz w:val="20"/>
        </w:rPr>
        <w:t xml:space="preserve">” shall mean, with respect to any Satellite, the prime contractor and manufacturer of such Satellite. </w:t>
      </w:r>
    </w:p>
    <w:p>
      <w:pPr>
        <w:pStyle w:val="TextBody"/>
        <w:bidi w:val="0"/>
        <w:spacing w:before="240" w:after="0"/>
        <w:jc w:val="left"/>
        <w:rPr/>
      </w:pPr>
      <w:r>
        <w:rPr/>
        <w:t>“</w:t>
      </w:r>
      <w:r>
        <w:rPr>
          <w:rFonts w:ascii="Times New Roman" w:hAnsi="Times New Roman"/>
          <w:sz w:val="20"/>
          <w:u w:val="single"/>
        </w:rPr>
        <w:t>Satellite Purchase Agreement</w:t>
      </w:r>
      <w:r>
        <w:rPr>
          <w:rFonts w:ascii="Times New Roman" w:hAnsi="Times New Roman"/>
          <w:sz w:val="20"/>
        </w:rPr>
        <w:t xml:space="preserve">” shall mean, with respect to any Satellite, each agreement between the applicable Satellite Purchaser and the applicable Satellite Manufacturer relating to the manufacture, testing and delivery of such Satellite. </w:t>
      </w:r>
    </w:p>
    <w:p>
      <w:pPr>
        <w:pStyle w:val="TextBody"/>
        <w:bidi w:val="0"/>
        <w:spacing w:before="240" w:after="0"/>
        <w:jc w:val="left"/>
        <w:rPr/>
      </w:pPr>
      <w:r>
        <w:rPr/>
        <w:t>“</w:t>
      </w:r>
      <w:r>
        <w:rPr>
          <w:rFonts w:ascii="Times New Roman" w:hAnsi="Times New Roman"/>
          <w:sz w:val="20"/>
          <w:u w:val="single"/>
        </w:rPr>
        <w:t>Satellite Purchaser</w:t>
      </w:r>
      <w:r>
        <w:rPr>
          <w:rFonts w:ascii="Times New Roman" w:hAnsi="Times New Roman"/>
          <w:sz w:val="20"/>
        </w:rPr>
        <w:t xml:space="preserve">” shall mean Bidco or any Loan Party that is a party to a Satellite Purchase Agreement or launch services agreement, as the case may be.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and any successor to its rating agency business. </w:t>
      </w:r>
    </w:p>
    <w:p>
      <w:pPr>
        <w:pStyle w:val="TextBody"/>
        <w:bidi w:val="0"/>
        <w:spacing w:before="240" w:after="0"/>
        <w:jc w:val="left"/>
        <w:rPr/>
      </w:pPr>
      <w:r>
        <w:rPr/>
        <w:t>“</w:t>
      </w:r>
      <w:r>
        <w:rPr>
          <w:rFonts w:ascii="Times New Roman" w:hAnsi="Times New Roman"/>
          <w:sz w:val="20"/>
          <w:u w:val="single"/>
        </w:rPr>
        <w:t>Sale and Lease-Back Transaction</w:t>
      </w:r>
      <w:r>
        <w:rPr>
          <w:rFonts w:ascii="Times New Roman" w:hAnsi="Times New Roman"/>
          <w:sz w:val="20"/>
        </w:rPr>
        <w:t xml:space="preserve">” means any arrangement providing for the leasing by Bidco or any of its Restricted Subsidiaries of any real or tangible personal property, which property has been or is to be sold or transferred by Bidco or such Restricted Subsidiary to a third Person in contemplation of such leasing.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or territory with which dealings are broadly restricted, prohibited, or made sanctionable under any Sanctions (as of the date of this Agreement, the Crimea region of Ukraine, Cuba, Iran, North Korea and Syria).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sanctions administered or enforced by the United States Government (including without limitation, sanctions enforced by the United States Department of Treasury’s Office of Foreign Assets Control), the United Nations Security Council, the European Union, any European Union member state in which Holdings, Bidco, the Borrowers or a Restricted Subsidiary is organized, located or operates, or Her Majesty’s Treasury of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p>
    <w:p>
      <w:pPr>
        <w:pStyle w:val="TextBody"/>
        <w:bidi w:val="0"/>
        <w:spacing w:before="0" w:after="0"/>
        <w:jc w:val="left"/>
        <w:rPr/>
      </w:pPr>
      <w:r>
        <w:rPr/>
        <w:t>“</w:t>
      </w:r>
      <w:r>
        <w:rPr>
          <w:rFonts w:ascii="Times New Roman" w:hAnsi="Times New Roman"/>
          <w:sz w:val="20"/>
          <w:u w:val="single"/>
        </w:rPr>
        <w:t>Scheme</w:t>
      </w:r>
      <w:r>
        <w:rPr>
          <w:rFonts w:ascii="Times New Roman" w:hAnsi="Times New Roman"/>
          <w:sz w:val="20"/>
        </w:rPr>
        <w:t xml:space="preserve">” means the scheme of arrangement effected pursuant to Part 26 of the Companies Act 2006 proposed by the Company to its shareholders to implement the Acquisition and approved on May 10, 2019 by the requisite majority of the Company’s shareholders pursuant to which Bidco will, subject to the occurrence of the Scheme Effective Date, become the holder of the Target Shares that are the subject of that scheme of arrangement. </w:t>
      </w:r>
    </w:p>
    <w:p>
      <w:pPr>
        <w:pStyle w:val="TextBody"/>
        <w:bidi w:val="0"/>
        <w:spacing w:before="240" w:after="0"/>
        <w:jc w:val="left"/>
        <w:rPr/>
      </w:pPr>
      <w:r>
        <w:rPr/>
        <w:t>“</w:t>
      </w:r>
      <w:r>
        <w:rPr>
          <w:rFonts w:ascii="Times New Roman" w:hAnsi="Times New Roman"/>
          <w:sz w:val="20"/>
          <w:u w:val="single"/>
        </w:rPr>
        <w:t>Scheme Circular</w:t>
      </w:r>
      <w:r>
        <w:rPr>
          <w:rFonts w:ascii="Times New Roman" w:hAnsi="Times New Roman"/>
          <w:sz w:val="20"/>
        </w:rPr>
        <w:t xml:space="preserve">” means the circular (including any supplemental circular) dispatched by the Company to shareholders of the Company setting out the resolutions and proposals for and the terms and conditions of the Scheme. </w:t>
      </w:r>
    </w:p>
    <w:p>
      <w:pPr>
        <w:pStyle w:val="TextBody"/>
        <w:bidi w:val="0"/>
        <w:spacing w:before="240" w:after="0"/>
        <w:jc w:val="left"/>
        <w:rPr/>
      </w:pPr>
      <w:r>
        <w:rPr/>
        <w:t>“</w:t>
      </w:r>
      <w:r>
        <w:rPr>
          <w:rFonts w:ascii="Times New Roman" w:hAnsi="Times New Roman"/>
          <w:sz w:val="20"/>
          <w:u w:val="single"/>
        </w:rPr>
        <w:t>Scheme Documents</w:t>
      </w:r>
      <w:r>
        <w:rPr>
          <w:rFonts w:ascii="Times New Roman" w:hAnsi="Times New Roman"/>
          <w:sz w:val="20"/>
        </w:rPr>
        <w:t xml:space="preserve">” means each of (i) the Announcement, (ii) the Scheme Circular, and (iii) the Court Order. </w:t>
      </w:r>
    </w:p>
    <w:p>
      <w:pPr>
        <w:pStyle w:val="TextBody"/>
        <w:bidi w:val="0"/>
        <w:spacing w:before="240" w:after="0"/>
        <w:jc w:val="left"/>
        <w:rPr/>
      </w:pPr>
      <w:r>
        <w:rPr/>
        <w:t>“</w:t>
      </w:r>
      <w:r>
        <w:rPr>
          <w:rFonts w:ascii="Times New Roman" w:hAnsi="Times New Roman"/>
          <w:sz w:val="20"/>
          <w:u w:val="single"/>
        </w:rPr>
        <w:t>Scheme Effective Date</w:t>
      </w:r>
      <w:r>
        <w:rPr>
          <w:rFonts w:ascii="Times New Roman" w:hAnsi="Times New Roman"/>
          <w:sz w:val="20"/>
        </w:rPr>
        <w:t xml:space="preserve">” means the date on which the Court Order sanctioning the Scheme is duly delivered on behalf of the Company to the Registrar of Companies in accordance with section 899 of the Companies Act 2006.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Second Commitment</w:t>
      </w:r>
      <w:r>
        <w:rPr>
          <w:rFonts w:ascii="Times New Roman" w:hAnsi="Times New Roman"/>
          <w:sz w:val="20"/>
        </w:rPr>
        <w:t xml:space="preserve">” has the meaning assigned to such term in </w:t>
      </w:r>
      <w:r>
        <w:rPr>
          <w:rFonts w:ascii="Times New Roman" w:hAnsi="Times New Roman"/>
          <w:sz w:val="20"/>
          <w:u w:val="single"/>
        </w:rPr>
        <w:t>Section 6.04(b)(ii)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 Lien Intercreditor Agreement</w:t>
      </w:r>
      <w:r>
        <w:rPr>
          <w:rFonts w:ascii="Times New Roman" w:hAnsi="Times New Roman"/>
          <w:sz w:val="20"/>
        </w:rPr>
        <w:t xml:space="preserve">” means the Second Lien Intercreditor Agreement substantially in the form of </w:t>
      </w:r>
      <w:r>
        <w:rPr>
          <w:rFonts w:ascii="Times New Roman" w:hAnsi="Times New Roman"/>
          <w:sz w:val="20"/>
          <w:u w:val="single"/>
        </w:rPr>
        <w:t>Exhibit G</w:t>
      </w:r>
      <w:r>
        <w:rPr>
          <w:rFonts w:ascii="Times New Roman" w:hAnsi="Times New Roman"/>
          <w:sz w:val="20"/>
        </w:rPr>
        <w:t xml:space="preserve"> among the Administrative Agent and one or more Senior Representatives for holders of Indebtedness permitted by this Agreement to be secured by the Collateral. </w:t>
      </w:r>
    </w:p>
    <w:p>
      <w:pPr>
        <w:pStyle w:val="TextBody"/>
        <w:bidi w:val="0"/>
        <w:spacing w:before="240" w:after="0"/>
        <w:jc w:val="left"/>
        <w:rPr/>
      </w:pPr>
      <w:r>
        <w:rPr/>
        <w:t>“</w:t>
      </w:r>
      <w:r>
        <w:rPr>
          <w:rFonts w:ascii="Times New Roman" w:hAnsi="Times New Roman"/>
          <w:sz w:val="20"/>
          <w:u w:val="single"/>
        </w:rPr>
        <w:t>Secured Cash Management Obligations</w:t>
      </w:r>
      <w:r>
        <w:rPr>
          <w:rFonts w:ascii="Times New Roman" w:hAnsi="Times New Roman"/>
          <w:sz w:val="20"/>
        </w:rPr>
        <w:t xml:space="preserve">” means the due and punctual payment and performance of all obligations of Holdings, Bidco, any Borrower and the Restricted Subsidiaries in respect of any overdraft and related liabilities arising from treasury, depository, cash pooling arrangements and cash management services, corporate credit and purchasing cards and related programs or any automated clearing house transfers of funds provided to Bidco, any Borrower or any Subsidiary (whether absolute or contingent and howsoever and whenever created, arising, evidenced or acquired (including all renewals, extensions and modifications thereof and substitutions therefor)) that are (a) owed to the Administrative Agent, a Joint Lead Arranger, a Lender or any of their respective Affiliates, (b) owed on the Effective Date to a Person that is a Lender or an Affiliate of a Lender as of the Effective Date, (c) owed to a Person that was an Agent, a Lender or an Affiliate of an Agent or Lender at the time such obligations are incurred or (d) owed to any other Person that is designated by Bidco or a Borrower by written notice to the Administrative Agent substantially in the form of </w:t>
      </w:r>
      <w:r>
        <w:rPr>
          <w:rFonts w:ascii="Times New Roman" w:hAnsi="Times New Roman"/>
          <w:sz w:val="20"/>
          <w:u w:val="single"/>
        </w:rPr>
        <w:t>Exhibit V</w:t>
      </w:r>
      <w:r>
        <w:rPr>
          <w:rFonts w:ascii="Times New Roman" w:hAnsi="Times New Roman"/>
          <w:sz w:val="20"/>
        </w:rPr>
        <w:t xml:space="preserve"> or such other form reasonably acceptable to the Administrative Agent and Bidco or a Borrower. </w:t>
      </w:r>
    </w:p>
    <w:p>
      <w:pPr>
        <w:pStyle w:val="TextBody"/>
        <w:bidi w:val="0"/>
        <w:spacing w:before="240" w:after="0"/>
        <w:jc w:val="left"/>
        <w:rPr/>
      </w:pPr>
      <w:r>
        <w:rPr/>
        <w:t>“</w:t>
      </w:r>
      <w:r>
        <w:rPr>
          <w:rFonts w:ascii="Times New Roman" w:hAnsi="Times New Roman"/>
          <w:sz w:val="20"/>
          <w:u w:val="single"/>
        </w:rPr>
        <w:t>Secured Indebtedness</w:t>
      </w:r>
      <w:r>
        <w:rPr>
          <w:rFonts w:ascii="Times New Roman" w:hAnsi="Times New Roman"/>
          <w:sz w:val="20"/>
        </w:rPr>
        <w:t xml:space="preserve">” means any Indebtedness of Bidco, any Borrower, any Guarantor or any of their Restricted Subsidiaries secured by a Lien other than Indebtedness with respect to Cash Management Obligations.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means (i) the Loan Document Obligations, (ii) the Secured Cash Management Obligations and (iii) the Secured Swap Obligations (excluding with respect to any Guarantor, Excluded Swap Obligations of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p>
    <w:p>
      <w:pPr>
        <w:pStyle w:val="TextBody"/>
        <w:bidi w:val="0"/>
        <w:spacing w:before="0" w:after="0"/>
        <w:jc w:val="left"/>
        <w:rPr/>
      </w:pPr>
      <w:r>
        <w:rPr/>
        <w:t>“</w:t>
      </w:r>
      <w:r>
        <w:rPr>
          <w:rFonts w:ascii="Times New Roman" w:hAnsi="Times New Roman"/>
          <w:sz w:val="20"/>
          <w:u w:val="single"/>
        </w:rPr>
        <w:t>Secured Parties</w:t>
      </w:r>
      <w:r>
        <w:rPr>
          <w:rFonts w:ascii="Times New Roman" w:hAnsi="Times New Roman"/>
          <w:sz w:val="20"/>
        </w:rPr>
        <w:t xml:space="preserve">” means (a) each Lender and Issuing Bank, (b) the Administrative Agent, (c) the Collateral Agent, (d) each holder of Secured Swap Obligations, (e) each holder of Secured Cash Management Obligations, (f) each Joint Lead Arranger, (g) the beneficiaries of each indemnification obligation undertaken by any Loan Party under any Loan Document and (h) the permitted successors and assigns of each of the foregoing. </w:t>
      </w:r>
    </w:p>
    <w:p>
      <w:pPr>
        <w:pStyle w:val="TextBody"/>
        <w:bidi w:val="0"/>
        <w:spacing w:before="240" w:after="0"/>
        <w:jc w:val="left"/>
        <w:rPr/>
      </w:pPr>
      <w:r>
        <w:rPr/>
        <w:t>“</w:t>
      </w:r>
      <w:r>
        <w:rPr>
          <w:rFonts w:ascii="Times New Roman" w:hAnsi="Times New Roman"/>
          <w:sz w:val="20"/>
          <w:u w:val="single"/>
        </w:rPr>
        <w:t>Secured Swap Obligations</w:t>
      </w:r>
      <w:r>
        <w:rPr>
          <w:rFonts w:ascii="Times New Roman" w:hAnsi="Times New Roman"/>
          <w:sz w:val="20"/>
        </w:rPr>
        <w:t xml:space="preserve">” means the due and punctual payment and performance of all obligations of Bidco, any Borrower and the Restricted Subsidiaries under each Swap Agreement that (a) is with a counterparty that is the Administrative Agent, a Joint Lead Arranger, a Lender or any of their respective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at the time such Swap Agreement is entered into or (d) is with any other Person that is designated by Bidco or a Borrower by written notice to the Administrative Agent substantially in the form of </w:t>
      </w:r>
      <w:r>
        <w:rPr>
          <w:rFonts w:ascii="Times New Roman" w:hAnsi="Times New Roman"/>
          <w:sz w:val="20"/>
          <w:u w:val="single"/>
        </w:rPr>
        <w:t>Exhibit W</w:t>
      </w:r>
      <w:r>
        <w:rPr>
          <w:rFonts w:ascii="Times New Roman" w:hAnsi="Times New Roman"/>
          <w:sz w:val="20"/>
        </w:rPr>
        <w:t xml:space="preserve"> or such other form reasonably acceptable to the Administrative Agent and Bidco or a Borrower.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means, collectively, (a) the Collateral Agreement, (b) each Non- U.S. Security Agreement and (c) each other security agreement or pledge agreement executed and delivered pursuant to the Collateral and Guarantee Requirement, or </w:t>
      </w:r>
      <w:r>
        <w:rPr>
          <w:rFonts w:ascii="Times New Roman" w:hAnsi="Times New Roman"/>
          <w:sz w:val="20"/>
          <w:u w:val="single"/>
        </w:rPr>
        <w:t>Sections 5.11</w:t>
      </w:r>
      <w:r>
        <w:rPr>
          <w:rFonts w:ascii="Times New Roman" w:hAnsi="Times New Roman"/>
          <w:sz w:val="20"/>
        </w:rPr>
        <w:t xml:space="preserve">, </w:t>
      </w:r>
      <w:r>
        <w:rPr>
          <w:rFonts w:ascii="Times New Roman" w:hAnsi="Times New Roman"/>
          <w:sz w:val="20"/>
          <w:u w:val="single"/>
        </w:rPr>
        <w:t>5.12</w:t>
      </w:r>
      <w:r>
        <w:rPr>
          <w:rFonts w:ascii="Times New Roman" w:hAnsi="Times New Roman"/>
          <w:sz w:val="20"/>
        </w:rPr>
        <w:t xml:space="preserve"> or </w:t>
      </w:r>
      <w:r>
        <w:rPr>
          <w:rFonts w:ascii="Times New Roman" w:hAnsi="Times New Roman"/>
          <w:sz w:val="20"/>
          <w:u w:val="single"/>
        </w:rPr>
        <w:t>5.14</w:t>
      </w:r>
      <w:r>
        <w:rPr>
          <w:rFonts w:ascii="Times New Roman" w:hAnsi="Times New Roman"/>
          <w:sz w:val="20"/>
        </w:rPr>
        <w:t xml:space="preserve"> to secure any of the Secured Obligations. </w:t>
      </w:r>
    </w:p>
    <w:p>
      <w:pPr>
        <w:pStyle w:val="TextBody"/>
        <w:bidi w:val="0"/>
        <w:spacing w:before="240" w:after="0"/>
        <w:jc w:val="left"/>
        <w:rPr/>
      </w:pPr>
      <w:r>
        <w:rPr/>
        <w:t>“</w:t>
      </w:r>
      <w:r>
        <w:rPr>
          <w:rFonts w:ascii="Times New Roman" w:hAnsi="Times New Roman"/>
          <w:sz w:val="20"/>
          <w:u w:val="single"/>
        </w:rPr>
        <w:t>Senior Representative</w:t>
      </w:r>
      <w:r>
        <w:rPr>
          <w:rFonts w:ascii="Times New Roman" w:hAnsi="Times New Roman"/>
          <w:sz w:val="20"/>
        </w:rPr>
        <w:t xml:space="preserve">” means, with respect to any series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left"/>
        <w:rPr/>
      </w:pPr>
      <w:r>
        <w:rPr/>
        <w:t>“</w:t>
      </w:r>
      <w:r>
        <w:rPr>
          <w:rFonts w:ascii="Times New Roman" w:hAnsi="Times New Roman"/>
          <w:sz w:val="20"/>
          <w:u w:val="single"/>
        </w:rPr>
        <w:t>Senior Secured First Lien Net Leverage Ratio</w:t>
      </w:r>
      <w:r>
        <w:rPr>
          <w:rFonts w:ascii="Times New Roman" w:hAnsi="Times New Roman"/>
          <w:sz w:val="20"/>
        </w:rPr>
        <w:t xml:space="preserve">” means, as of any date of determination, the ratio, on a Pro Forma Basis, of (a) the sum of (i) Consolidated Senior Secured First Lien Indebtedness as of such date and (ii) the Reserved Indebtedness Amount applicable at such time to the calculation of the Senior Secured First Lien Net Leverage Ratio with respect to commitments first obtained as of such date but not utilized as of such date (but only the extent such commitments are being obtained in reliance on a test based on such ratio) to (b) Consolidated EBITDA for the most recently ended Test Period as of such date;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First Lien Indebtedness for purposes of this definition. </w:t>
      </w:r>
    </w:p>
    <w:p>
      <w:pPr>
        <w:pStyle w:val="TextBody"/>
        <w:bidi w:val="0"/>
        <w:spacing w:before="240" w:after="0"/>
        <w:jc w:val="left"/>
        <w:rPr/>
      </w:pPr>
      <w:r>
        <w:rPr/>
        <w:t>“</w:t>
      </w:r>
      <w:r>
        <w:rPr>
          <w:rFonts w:ascii="Times New Roman" w:hAnsi="Times New Roman"/>
          <w:sz w:val="20"/>
          <w:u w:val="single"/>
        </w:rPr>
        <w:t>Senior Secured Net Leverage Ratio</w:t>
      </w:r>
      <w:r>
        <w:rPr>
          <w:rFonts w:ascii="Times New Roman" w:hAnsi="Times New Roman"/>
          <w:sz w:val="20"/>
        </w:rPr>
        <w:t>” means, as of any date of determination, the ratio, on a Pro Forma Basis, of (a) the sum of (i) Consolidated Senior Secured Indebtedness as of such date and (ii) the Reserved Indebtedness Amount applicable at such time to the calculation of the Senior Secured Net Leverage Ratio with respect to commitments first obtained as of such date but not utilized as of such date (but only the extent such commitments are being obtained in reliance on a test based on such ratio) to (b) Consolidated EBITDA for the most recently completed Test Period;</w:t>
      </w:r>
      <w:r>
        <w:rPr>
          <w:rFonts w:ascii="Times New Roman" w:hAnsi="Times New Roman"/>
          <w:sz w:val="20"/>
          <w:u w:val="single"/>
        </w:rPr>
        <w:t xml:space="preserve"> 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Indebtedness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p>
    <w:p>
      <w:pPr>
        <w:pStyle w:val="TextBody"/>
        <w:bidi w:val="0"/>
        <w:spacing w:before="0" w:after="0"/>
        <w:jc w:val="left"/>
        <w:rPr/>
      </w:pPr>
      <w:r>
        <w:rPr/>
        <w:t>“</w:t>
      </w:r>
      <w:r>
        <w:rPr>
          <w:rFonts w:ascii="Times New Roman" w:hAnsi="Times New Roman"/>
          <w:sz w:val="20"/>
          <w:u w:val="single"/>
        </w:rPr>
        <w:t>Senior Secured Notes</w:t>
      </w:r>
      <w:r>
        <w:rPr>
          <w:rFonts w:ascii="Times New Roman" w:hAnsi="Times New Roman"/>
          <w:sz w:val="20"/>
        </w:rPr>
        <w:t xml:space="preserve">” means those 6.750% Senior Secured Notes due 2026 issued by the Finco Borrower and the U.S, Borrower in an aggregate amount of $2,075,000,000 issued on or prior to the Effective Date pursuant to the Senior Secured Notes Documents. </w:t>
      </w:r>
    </w:p>
    <w:p>
      <w:pPr>
        <w:pStyle w:val="TextBody"/>
        <w:bidi w:val="0"/>
        <w:spacing w:before="240" w:after="0"/>
        <w:jc w:val="left"/>
        <w:rPr/>
      </w:pPr>
      <w:r>
        <w:rPr/>
        <w:t>“</w:t>
      </w:r>
      <w:r>
        <w:rPr>
          <w:rFonts w:ascii="Times New Roman" w:hAnsi="Times New Roman"/>
          <w:sz w:val="20"/>
          <w:u w:val="single"/>
        </w:rPr>
        <w:t>Senior Secured Notes Documents</w:t>
      </w:r>
      <w:r>
        <w:rPr>
          <w:rFonts w:ascii="Times New Roman" w:hAnsi="Times New Roman"/>
          <w:sz w:val="20"/>
        </w:rPr>
        <w:t xml:space="preserve">” means the Senior Secured Notes Indenture and all supplemental indentures, other agreements, instruments and other documents (including collateral documents with respect thereto) pursuant to which the Senior Secured Notes have been issued. </w:t>
      </w:r>
    </w:p>
    <w:p>
      <w:pPr>
        <w:pStyle w:val="TextBody"/>
        <w:bidi w:val="0"/>
        <w:spacing w:before="240" w:after="0"/>
        <w:jc w:val="left"/>
        <w:rPr/>
      </w:pPr>
      <w:r>
        <w:rPr/>
        <w:t>“</w:t>
      </w:r>
      <w:r>
        <w:rPr>
          <w:rFonts w:ascii="Times New Roman" w:hAnsi="Times New Roman"/>
          <w:sz w:val="20"/>
          <w:u w:val="single"/>
        </w:rPr>
        <w:t>Senior Secured Notes Indenture</w:t>
      </w:r>
      <w:r>
        <w:rPr>
          <w:rFonts w:ascii="Times New Roman" w:hAnsi="Times New Roman"/>
          <w:sz w:val="20"/>
        </w:rPr>
        <w:t xml:space="preserve">” means the Indenture, dated as of October 7, 2019, among the Finco Borrower and the U.S. Borrower, as issuers, the guarantors party thereto from time to time and Wilmington Trust, National Association, as trustee, governing the Senior Secured Notes, as the same may be amended, supplemented, waived or otherwise modified from time to time. </w:t>
      </w:r>
    </w:p>
    <w:p>
      <w:pPr>
        <w:pStyle w:val="TextBody"/>
        <w:bidi w:val="0"/>
        <w:spacing w:before="240" w:after="0"/>
        <w:jc w:val="left"/>
        <w:rPr/>
      </w:pPr>
      <w:r>
        <w:rPr/>
        <w:t>“</w:t>
      </w:r>
      <w:r>
        <w:rPr>
          <w:rFonts w:ascii="Times New Roman" w:hAnsi="Times New Roman"/>
          <w:sz w:val="20"/>
          <w:u w:val="single"/>
        </w:rPr>
        <w:t>Settlement</w:t>
      </w:r>
      <w:r>
        <w:rPr>
          <w:rFonts w:ascii="Times New Roman" w:hAnsi="Times New Roman"/>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left"/>
        <w:rPr/>
      </w:pPr>
      <w:r>
        <w:rPr/>
        <w:t>“</w:t>
      </w:r>
      <w:r>
        <w:rPr>
          <w:rFonts w:ascii="Times New Roman" w:hAnsi="Times New Roman"/>
          <w:sz w:val="20"/>
          <w:u w:val="single"/>
        </w:rPr>
        <w:t>Settlement Asset</w:t>
      </w:r>
      <w:r>
        <w:rPr>
          <w:rFonts w:ascii="Times New Roman" w:hAnsi="Times New Roman"/>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240" w:after="0"/>
        <w:jc w:val="left"/>
        <w:rPr/>
      </w:pPr>
      <w:r>
        <w:rPr/>
        <w:t>“</w:t>
      </w:r>
      <w:r>
        <w:rPr>
          <w:rFonts w:ascii="Times New Roman" w:hAnsi="Times New Roman"/>
          <w:sz w:val="20"/>
          <w:u w:val="single"/>
        </w:rPr>
        <w:t>Settlement Indebtedness</w:t>
      </w:r>
      <w:r>
        <w:rPr>
          <w:rFonts w:ascii="Times New Roman" w:hAnsi="Times New Roman"/>
          <w:sz w:val="20"/>
        </w:rPr>
        <w:t xml:space="preserve">” means any payment or reimbursement obligation in respect of a Settlement Payment. </w:t>
      </w:r>
    </w:p>
    <w:p>
      <w:pPr>
        <w:pStyle w:val="TextBody"/>
        <w:bidi w:val="0"/>
        <w:spacing w:before="240" w:after="0"/>
        <w:jc w:val="left"/>
        <w:rPr/>
      </w:pPr>
      <w:r>
        <w:rPr/>
        <w:t>“</w:t>
      </w:r>
      <w:r>
        <w:rPr>
          <w:rFonts w:ascii="Times New Roman" w:hAnsi="Times New Roman"/>
          <w:sz w:val="20"/>
          <w:u w:val="single"/>
        </w:rPr>
        <w:t>Settlement Lien</w:t>
      </w:r>
      <w:r>
        <w:rPr>
          <w:rFonts w:ascii="Times New Roman" w:hAnsi="Times New Roman"/>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left"/>
        <w:rPr/>
      </w:pPr>
      <w:r>
        <w:rPr/>
        <w:t>“</w:t>
      </w:r>
      <w:r>
        <w:rPr>
          <w:rFonts w:ascii="Times New Roman" w:hAnsi="Times New Roman"/>
          <w:sz w:val="20"/>
          <w:u w:val="single"/>
        </w:rPr>
        <w:t>Settlement Payment</w:t>
      </w:r>
      <w:r>
        <w:rPr>
          <w:rFonts w:ascii="Times New Roman" w:hAnsi="Times New Roman"/>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left"/>
        <w:rPr/>
      </w:pPr>
      <w:r>
        <w:rPr/>
        <w:t>“</w:t>
      </w:r>
      <w:r>
        <w:rPr>
          <w:rFonts w:ascii="Times New Roman" w:hAnsi="Times New Roman"/>
          <w:sz w:val="20"/>
          <w:u w:val="single"/>
        </w:rPr>
        <w:t>Settlement Receivable</w:t>
      </w:r>
      <w:r>
        <w:rPr>
          <w:rFonts w:ascii="Times New Roman" w:hAnsi="Times New Roman"/>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240" w:after="0"/>
        <w:jc w:val="left"/>
        <w:rPr/>
      </w:pPr>
      <w:r>
        <w:rPr/>
        <w:t>“</w:t>
      </w:r>
      <w:r>
        <w:rPr>
          <w:rFonts w:ascii="Times New Roman" w:hAnsi="Times New Roman"/>
          <w:sz w:val="20"/>
          <w:u w:val="single"/>
        </w:rPr>
        <w:t>Similar Business</w:t>
      </w:r>
      <w:r>
        <w:rPr>
          <w:rFonts w:ascii="Times New Roman" w:hAnsi="Times New Roman"/>
          <w:sz w:val="20"/>
        </w:rPr>
        <w:t xml:space="preserve">” means (1) any business conducted or proposed to be conducted by Bidco or any of its Subsidiaries on the Effective Date or (2) any business or other activities that are reasonably similar, incidental, ancillary, complementary or related to, or a reasonable extension, development or expansion of, the businesses in which Bidco and any of its Subsidiaries were engaged on the Effective Date. </w:t>
      </w:r>
    </w:p>
    <w:p>
      <w:pPr>
        <w:pStyle w:val="TextBody"/>
        <w:bidi w:val="0"/>
        <w:spacing w:before="240" w:after="0"/>
        <w:jc w:val="left"/>
        <w:rPr/>
      </w:pPr>
      <w:r>
        <w:rPr/>
        <w:t>“</w:t>
      </w:r>
      <w:r>
        <w:rPr>
          <w:rFonts w:ascii="Times New Roman" w:hAnsi="Times New Roman"/>
          <w:sz w:val="20"/>
          <w:u w:val="single"/>
        </w:rPr>
        <w:t>Sold Entity or Business</w:t>
      </w:r>
      <w:r>
        <w:rPr>
          <w:rFonts w:ascii="Times New Roman" w:hAnsi="Times New Roman"/>
          <w:sz w:val="20"/>
        </w:rPr>
        <w:t xml:space="preserve">” has the meaning assigned to such term in the definition of the term “Consolidated EBITDA.” </w:t>
      </w:r>
    </w:p>
    <w:p>
      <w:pPr>
        <w:pStyle w:val="TextBody"/>
        <w:bidi w:val="0"/>
        <w:spacing w:before="240" w:after="0"/>
        <w:jc w:val="left"/>
        <w:rPr/>
      </w:pPr>
      <w:r>
        <w:rPr/>
        <w:t>“</w:t>
      </w:r>
      <w:r>
        <w:rPr>
          <w:rFonts w:ascii="Times New Roman" w:hAnsi="Times New Roman"/>
          <w:sz w:val="20"/>
          <w:u w:val="single"/>
        </w:rPr>
        <w:t>Solicited Discount Proration</w:t>
      </w:r>
      <w:r>
        <w:rPr>
          <w:rFonts w:ascii="Times New Roman" w:hAnsi="Times New Roman"/>
          <w:sz w:val="20"/>
        </w:rPr>
        <w:t>” has the meaning assigned to such term in</w:t>
      </w:r>
      <w:r>
        <w:rPr>
          <w:rFonts w:ascii="Times New Roman" w:hAnsi="Times New Roman"/>
          <w:sz w:val="20"/>
          <w:u w:val="single"/>
        </w:rPr>
        <w:t xml:space="preserve"> Section 2.10(a)(ii)(D)(3)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p>
    <w:p>
      <w:pPr>
        <w:pStyle w:val="TextBody"/>
        <w:bidi w:val="0"/>
        <w:spacing w:before="0" w:after="0"/>
        <w:jc w:val="left"/>
        <w:rPr/>
      </w:pPr>
      <w:r>
        <w:rPr/>
        <w:t>“</w:t>
      </w:r>
      <w:r>
        <w:rPr>
          <w:rFonts w:ascii="Times New Roman" w:hAnsi="Times New Roman"/>
          <w:sz w:val="20"/>
          <w:u w:val="single"/>
        </w:rPr>
        <w:t>Solicited Discounted Prepayment Amount</w:t>
      </w:r>
      <w:r>
        <w:rPr>
          <w:rFonts w:ascii="Times New Roman" w:hAnsi="Times New Roman"/>
          <w:sz w:val="20"/>
        </w:rPr>
        <w:t>” has the meaning assigned to such term in</w:t>
      </w:r>
      <w:r>
        <w:rPr>
          <w:rFonts w:ascii="Times New Roman" w:hAnsi="Times New Roman"/>
          <w:sz w:val="20"/>
          <w:u w:val="single"/>
        </w:rPr>
        <w:t xml:space="preserve"> 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Notice</w:t>
      </w:r>
      <w:r>
        <w:rPr>
          <w:rFonts w:ascii="Times New Roman" w:hAnsi="Times New Roman"/>
          <w:sz w:val="20"/>
        </w:rPr>
        <w:t>” means an irrevocable written notice of a Borrower Solicitation of Discounted Prepayment Offers made pursuant to</w:t>
      </w:r>
      <w:r>
        <w:rPr>
          <w:rFonts w:ascii="Times New Roman" w:hAnsi="Times New Roman"/>
          <w:sz w:val="20"/>
          <w:u w:val="single"/>
        </w:rPr>
        <w:t xml:space="preserve"> Section 2.10(a)(ii)(D)</w:t>
      </w:r>
      <w:r>
        <w:rPr>
          <w:rFonts w:ascii="Times New Roman" w:hAnsi="Times New Roman"/>
          <w:sz w:val="20"/>
        </w:rPr>
        <w:t xml:space="preserve"> substantially in the form of </w:t>
      </w:r>
      <w:r>
        <w:rPr>
          <w:rFonts w:ascii="Times New Roman" w:hAnsi="Times New Roman"/>
          <w:sz w:val="20"/>
          <w:u w:val="single"/>
        </w:rPr>
        <w:t>Exhibit 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Offer</w:t>
      </w:r>
      <w:r>
        <w:rPr>
          <w:rFonts w:ascii="Times New Roman" w:hAnsi="Times New Roman"/>
          <w:sz w:val="20"/>
        </w:rPr>
        <w:t xml:space="preserve">” means the irrevocable written offer by each Term Lender, substantially in the form of </w:t>
      </w:r>
      <w:r>
        <w:rPr>
          <w:rFonts w:ascii="Times New Roman" w:hAnsi="Times New Roman"/>
          <w:sz w:val="20"/>
          <w:u w:val="single"/>
        </w:rPr>
        <w:t>Exhibit O</w:t>
      </w:r>
      <w:r>
        <w:rPr>
          <w:rFonts w:ascii="Times New Roman" w:hAnsi="Times New Roman"/>
          <w:sz w:val="20"/>
        </w:rPr>
        <w:t xml:space="preserve">, submitted following the Administrative Agent’s receipt of a Solicited Discounted Prepayment Notice. </w:t>
      </w:r>
    </w:p>
    <w:p>
      <w:pPr>
        <w:pStyle w:val="TextBody"/>
        <w:bidi w:val="0"/>
        <w:spacing w:before="240" w:after="0"/>
        <w:jc w:val="left"/>
        <w:rPr/>
      </w:pPr>
      <w:r>
        <w:rPr/>
        <w:t>“</w:t>
      </w:r>
      <w:r>
        <w:rPr>
          <w:rFonts w:ascii="Times New Roman" w:hAnsi="Times New Roman"/>
          <w:sz w:val="20"/>
          <w:u w:val="single"/>
        </w:rPr>
        <w:t>Solicited Discounted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Sale Proceeds</w:t>
      </w:r>
      <w:r>
        <w:rPr>
          <w:rFonts w:ascii="Times New Roman" w:hAnsi="Times New Roman"/>
          <w:sz w:val="20"/>
        </w:rPr>
        <w:t xml:space="preserve">” means the sum of the Net Proceeds received since the Effective Date by or on behalf of Bidco or any of the Restricted Subsidiaries in respect of any Prepayment Event described in clause (a) of the definition thereof that exceeds such amount required to be applied to prepay the Term Loans or be reinvested pursuant to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Amount</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Notice</w:t>
      </w:r>
      <w:r>
        <w:rPr>
          <w:rFonts w:ascii="Times New Roman" w:hAnsi="Times New Roman"/>
          <w:sz w:val="20"/>
        </w:rPr>
        <w:t xml:space="preserve">” means an irrevocable written notice of the Borrower Representative of Specified Discount made pursuant to </w:t>
      </w:r>
      <w:r>
        <w:rPr>
          <w:rFonts w:ascii="Times New Roman" w:hAnsi="Times New Roman"/>
          <w:sz w:val="20"/>
          <w:u w:val="single"/>
        </w:rPr>
        <w:t>Section 2.10(a)(ii)(B)</w:t>
      </w:r>
      <w:r>
        <w:rPr>
          <w:rFonts w:ascii="Times New Roman" w:hAnsi="Times New Roman"/>
          <w:sz w:val="20"/>
        </w:rPr>
        <w:t xml:space="preserve"> substantially in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Response</w:t>
      </w:r>
      <w:r>
        <w:rPr>
          <w:rFonts w:ascii="Times New Roman" w:hAnsi="Times New Roman"/>
          <w:sz w:val="20"/>
        </w:rPr>
        <w:t>” means the irrevocable written response by each Term Lender, substantially in the form of</w:t>
      </w:r>
      <w:r>
        <w:rPr>
          <w:rFonts w:ascii="Times New Roman" w:hAnsi="Times New Roman"/>
          <w:sz w:val="20"/>
          <w:u w:val="single"/>
        </w:rPr>
        <w:t xml:space="preserve"> Exhibit K</w:t>
      </w:r>
      <w:r>
        <w:rPr>
          <w:rFonts w:ascii="Times New Roman" w:hAnsi="Times New Roman"/>
          <w:sz w:val="20"/>
        </w:rPr>
        <w:t xml:space="preserve">, to a Specified Discount Prepayment Notice. </w:t>
      </w:r>
    </w:p>
    <w:p>
      <w:pPr>
        <w:pStyle w:val="TextBody"/>
        <w:bidi w:val="0"/>
        <w:spacing w:before="240" w:after="0"/>
        <w:jc w:val="left"/>
        <w:rPr/>
      </w:pPr>
      <w:r>
        <w:rPr/>
        <w:t>“</w:t>
      </w:r>
      <w:r>
        <w:rPr>
          <w:rFonts w:ascii="Times New Roman" w:hAnsi="Times New Roman"/>
          <w:sz w:val="20"/>
          <w:u w:val="single"/>
        </w:rPr>
        <w:t>Specified Discount Prepayment Response Date</w:t>
      </w:r>
      <w:r>
        <w:rPr>
          <w:rFonts w:ascii="Times New Roman" w:hAnsi="Times New Roman"/>
          <w:sz w:val="20"/>
        </w:rPr>
        <w:t>” has the meaning assigned to such term in</w:t>
      </w:r>
      <w:r>
        <w:rPr>
          <w:rFonts w:ascii="Times New Roman" w:hAnsi="Times New Roman"/>
          <w:sz w:val="20"/>
          <w:u w:val="single"/>
        </w:rPr>
        <w:t xml:space="preserve"> 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Proration</w:t>
      </w:r>
      <w:r>
        <w:rPr>
          <w:rFonts w:ascii="Times New Roman" w:hAnsi="Times New Roman"/>
          <w:sz w:val="20"/>
        </w:rPr>
        <w:t>” has the meaning assigned to such term in</w:t>
      </w:r>
      <w:r>
        <w:rPr>
          <w:rFonts w:ascii="Times New Roman" w:hAnsi="Times New Roman"/>
          <w:sz w:val="20"/>
          <w:u w:val="single"/>
        </w:rPr>
        <w:t xml:space="preserve"> Section 2.10(a)(ii)(B)(3)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Event of Default</w:t>
      </w:r>
      <w:r>
        <w:rPr>
          <w:rFonts w:ascii="Times New Roman" w:hAnsi="Times New Roman"/>
          <w:sz w:val="20"/>
        </w:rPr>
        <w:t xml:space="preserve">” means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Transaction</w:t>
      </w:r>
      <w:r>
        <w:rPr>
          <w:rFonts w:ascii="Times New Roman" w:hAnsi="Times New Roman"/>
          <w:sz w:val="20"/>
        </w:rPr>
        <w:t xml:space="preserve">” means, with respect to any period,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 or after giving Pro Forma Effect thereto. </w:t>
      </w:r>
    </w:p>
    <w:p>
      <w:pPr>
        <w:pStyle w:val="TextBody"/>
        <w:bidi w:val="0"/>
        <w:spacing w:before="240" w:after="0"/>
        <w:jc w:val="left"/>
        <w:rPr/>
      </w:pPr>
      <w:r>
        <w:rPr/>
        <w:t>“</w:t>
      </w:r>
      <w:r>
        <w:rPr>
          <w:rFonts w:ascii="Times New Roman" w:hAnsi="Times New Roman"/>
          <w:sz w:val="20"/>
          <w:u w:val="single"/>
        </w:rPr>
        <w:t>Sponsor Management Agreement</w:t>
      </w:r>
      <w:r>
        <w:rPr>
          <w:rFonts w:ascii="Times New Roman" w:hAnsi="Times New Roman"/>
          <w:sz w:val="20"/>
        </w:rPr>
        <w:t xml:space="preserve">” means any management agreement between certain of the management companies associated with the Investors and Holdings, Bidco or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p>
    <w:p>
      <w:pPr>
        <w:pStyle w:val="TextBody"/>
        <w:bidi w:val="0"/>
        <w:spacing w:before="0" w:after="0"/>
        <w:jc w:val="left"/>
        <w:rPr/>
      </w:pPr>
      <w:r>
        <w:rPr/>
        <w:t>“</w:t>
      </w:r>
      <w:r>
        <w:rPr>
          <w:rFonts w:ascii="Times New Roman" w:hAnsi="Times New Roman"/>
          <w:sz w:val="20"/>
          <w:u w:val="single"/>
        </w:rPr>
        <w:t>Spot Rate</w:t>
      </w:r>
      <w:r>
        <w:rPr>
          <w:rFonts w:ascii="Times New Roman" w:hAnsi="Times New Roman"/>
          <w:sz w:val="20"/>
        </w:rPr>
        <w:t xml:space="preserve">” means, on any day, with respect to any Alternative Currency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Administrative Agent for such purpose, or, at the discretion of the Administrative Agent, such Spot Rate shall instead be the arithmetic average of the spot rates of exchange of the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hAnsi="Times New Roman"/>
          <w:sz w:val="20"/>
          <w:u w:val="single"/>
        </w:rPr>
        <w:t>provided</w:t>
      </w:r>
      <w:r>
        <w:rPr>
          <w:rFonts w:ascii="Times New Roman" w:hAnsi="Times New Roman"/>
          <w:sz w:val="20"/>
        </w:rPr>
        <w:t xml:space="preserve"> that, if at the time of any such determination, for any reason, no such spot rate is being quoted, the Administrative Agent may use any other reasonable method it deems appropriate to determine such rate, and such determination shall be presumed correct absent manifest error. </w:t>
      </w:r>
    </w:p>
    <w:p>
      <w:pPr>
        <w:pStyle w:val="TextBody"/>
        <w:bidi w:val="0"/>
        <w:spacing w:before="240" w:after="0"/>
        <w:jc w:val="left"/>
        <w:rPr/>
      </w:pPr>
      <w:r>
        <w:rPr/>
        <w:t>“</w:t>
      </w:r>
      <w:r>
        <w:rPr>
          <w:rFonts w:ascii="Times New Roman" w:hAnsi="Times New Roman"/>
          <w:sz w:val="20"/>
          <w:u w:val="single"/>
        </w:rPr>
        <w:t>Squeeze-Out</w:t>
      </w:r>
      <w:r>
        <w:rPr>
          <w:rFonts w:ascii="Times New Roman" w:hAnsi="Times New Roman"/>
          <w:sz w:val="20"/>
        </w:rPr>
        <w:t xml:space="preserve">” means an acquisition of the outstanding shares in the Company that Bidco has not acquired pursuant to the procedures contained in sections 979 to 982 of the Companies Act 2006. </w:t>
      </w:r>
    </w:p>
    <w:p>
      <w:pPr>
        <w:pStyle w:val="TextBody"/>
        <w:bidi w:val="0"/>
        <w:spacing w:before="240" w:after="0"/>
        <w:jc w:val="left"/>
        <w:rPr/>
      </w:pPr>
      <w:r>
        <w:rPr/>
        <w:t>“</w:t>
      </w:r>
      <w:r>
        <w:rPr>
          <w:rFonts w:ascii="Times New Roman" w:hAnsi="Times New Roman"/>
          <w:sz w:val="20"/>
          <w:u w:val="single"/>
        </w:rPr>
        <w:t>Statutory Reserve Rate</w:t>
      </w:r>
      <w:r>
        <w:rPr>
          <w:rFonts w:ascii="Times New Roman" w:hAnsi="Times New Roman"/>
          <w:sz w:val="20"/>
        </w:rPr>
        <w:t xml:space="preserve">” means a fraction (expressed as a decimal), the numerator of which is the number one and the denominator of which is the number one </w:t>
      </w:r>
      <w:r>
        <w:rPr>
          <w:rFonts w:ascii="Times New Roman" w:hAnsi="Times New Roman"/>
          <w:sz w:val="20"/>
          <w:u w:val="single"/>
        </w:rPr>
        <w:t>minus</w:t>
      </w:r>
      <w:r>
        <w:rPr>
          <w:rFonts w:ascii="Times New Roman" w:hAnsi="Times New Roman"/>
          <w:sz w:val="20"/>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240" w:after="0"/>
        <w:jc w:val="left"/>
        <w:rPr/>
      </w:pPr>
      <w:r>
        <w:rPr/>
        <w:t>“</w:t>
      </w:r>
      <w:r>
        <w:rPr>
          <w:rFonts w:ascii="Times New Roman" w:hAnsi="Times New Roman"/>
          <w:sz w:val="20"/>
          <w:u w:val="single"/>
        </w:rPr>
        <w:t>Subject Lien</w:t>
      </w:r>
      <w:r>
        <w:rPr>
          <w:rFonts w:ascii="Times New Roman" w:hAnsi="Times New Roman"/>
          <w:sz w:val="20"/>
        </w:rPr>
        <w:t xml:space="preserve">” has the meaning assigned to such term in </w:t>
      </w:r>
      <w:r>
        <w:rPr>
          <w:rFonts w:ascii="Times New Roman" w:hAnsi="Times New Roman"/>
          <w:sz w:val="20"/>
          <w:u w:val="single"/>
        </w:rPr>
        <w:t>Section 6.02(a)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Submitted Amount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Submitted Discount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means, any Indebtedness (other than (x) any permitted intercompany Indebtedness owing to direct and indirect parent companies of Bidco, Bidco or any Restricted Subsidiary or (y) any Indebtedness in an aggregate principal amount not exceeding $250,000,000) of any Borrower or any other Guarantor which is by its terms subordinated in right of payment to the Loan Document Obligations. </w:t>
      </w:r>
    </w:p>
    <w:p>
      <w:pPr>
        <w:pStyle w:val="TextBody"/>
        <w:bidi w:val="0"/>
        <w:spacing w:before="240" w:after="0"/>
        <w:jc w:val="left"/>
        <w:rPr/>
      </w:pPr>
      <w:r>
        <w:rPr/>
        <w:t>“</w:t>
      </w:r>
      <w:r>
        <w:rPr>
          <w:rFonts w:ascii="Times New Roman" w:hAnsi="Times New Roman"/>
          <w:sz w:val="20"/>
          <w:u w:val="single"/>
        </w:rPr>
        <w:t>Subordinated Shareholder Liabilities</w:t>
      </w:r>
      <w:r>
        <w:rPr>
          <w:rFonts w:ascii="Times New Roman" w:hAnsi="Times New Roman"/>
          <w:sz w:val="20"/>
        </w:rPr>
        <w:t xml:space="preserve">” means any loan or other indebtedness owed by Bidco or a Borrower to Holdings or any other (direct or indirect) shareholder of Bidco or a Borrower, provided that such loan or indebtedness is secured in favor of the Collateral Agent, does not require interest payments to be made in cash and is subordinated on terms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IFRS,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any subsidiary of Bidco (unless otherwise specified). </w:t>
      </w:r>
    </w:p>
    <w:p>
      <w:pPr>
        <w:pStyle w:val="TextBody"/>
        <w:bidi w:val="0"/>
        <w:spacing w:before="240" w:after="0"/>
        <w:jc w:val="left"/>
        <w:rPr/>
      </w:pPr>
      <w:r>
        <w:rPr/>
        <w:t>“</w:t>
      </w:r>
      <w:r>
        <w:rPr>
          <w:rFonts w:ascii="Times New Roman" w:hAnsi="Times New Roman"/>
          <w:sz w:val="20"/>
          <w:u w:val="single"/>
        </w:rPr>
        <w:t>Subsidiary Loan Party</w:t>
      </w:r>
      <w:r>
        <w:rPr>
          <w:rFonts w:ascii="Times New Roman" w:hAnsi="Times New Roman"/>
          <w:sz w:val="20"/>
        </w:rPr>
        <w:t xml:space="preserve">” means each Subsidiary of Bidco that is a party to the Guarantee Agreement. </w:t>
      </w:r>
    </w:p>
    <w:p>
      <w:pPr>
        <w:pStyle w:val="TextBody"/>
        <w:bidi w:val="0"/>
        <w:spacing w:before="240" w:after="0"/>
        <w:jc w:val="left"/>
        <w:rPr/>
      </w:pPr>
      <w:r>
        <w:rPr/>
        <w:t>“</w:t>
      </w:r>
      <w:r>
        <w:rPr>
          <w:rFonts w:ascii="Times New Roman" w:hAnsi="Times New Roman"/>
          <w:sz w:val="20"/>
          <w:u w:val="single"/>
        </w:rPr>
        <w:t>Successor Entity</w:t>
      </w:r>
      <w:r>
        <w:rPr>
          <w:rFonts w:ascii="Times New Roman" w:hAnsi="Times New Roman"/>
          <w:sz w:val="20"/>
        </w:rPr>
        <w:t xml:space="preserve">” has the meaning assigned to such term in </w:t>
      </w:r>
      <w:r>
        <w:rPr>
          <w:rFonts w:ascii="Times New Roman" w:hAnsi="Times New Roman"/>
          <w:sz w:val="20"/>
          <w:u w:val="single"/>
        </w:rPr>
        <w:t>Section 6.03(a)(iv)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Swap Agreement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sz w:val="20"/>
          <w:u w:val="single"/>
        </w:rPr>
        <w:t>Swiss Franc</w:t>
      </w:r>
      <w:r>
        <w:rPr>
          <w:rFonts w:ascii="Times New Roman" w:hAnsi="Times New Roman"/>
          <w:sz w:val="20"/>
        </w:rPr>
        <w:t xml:space="preserve">” means the lawful currency of Switzerland. </w:t>
      </w:r>
    </w:p>
    <w:p>
      <w:pPr>
        <w:pStyle w:val="TextBody"/>
        <w:bidi w:val="0"/>
        <w:spacing w:before="240" w:after="0"/>
        <w:jc w:val="left"/>
        <w:rPr/>
      </w:pPr>
      <w:r>
        <w:rPr/>
        <w:t>“</w:t>
      </w:r>
      <w:r>
        <w:rPr>
          <w:rFonts w:ascii="Times New Roman" w:hAnsi="Times New Roman"/>
          <w:sz w:val="20"/>
          <w:u w:val="single"/>
        </w:rPr>
        <w:t>Swingline Commitment</w:t>
      </w:r>
      <w:r>
        <w:rPr>
          <w:rFonts w:ascii="Times New Roman" w:hAnsi="Times New Roman"/>
          <w:sz w:val="20"/>
        </w:rPr>
        <w:t xml:space="preserve">” means the commitment of the Swingline Lender to make Swingline Loans up to an aggregate principal amount not to exceed $150,000,000.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be its Applicable Percentage of the aggregate Swingline Exposure at such time. </w:t>
      </w:r>
    </w:p>
    <w:p>
      <w:pPr>
        <w:pStyle w:val="TextBody"/>
        <w:bidi w:val="0"/>
        <w:spacing w:before="240" w:after="0"/>
        <w:jc w:val="left"/>
        <w:rPr/>
      </w:pPr>
      <w:r>
        <w:rPr/>
        <w:t>“</w:t>
      </w:r>
      <w:r>
        <w:rPr>
          <w:rFonts w:ascii="Times New Roman" w:hAnsi="Times New Roman"/>
          <w:sz w:val="20"/>
          <w:u w:val="single"/>
        </w:rPr>
        <w:t>Swingline Lender</w:t>
      </w:r>
      <w:r>
        <w:rPr>
          <w:rFonts w:ascii="Times New Roman" w:hAnsi="Times New Roman"/>
          <w:sz w:val="20"/>
        </w:rPr>
        <w:t xml:space="preserve">” means (a) the Administrative Agent and (b) each Revolving Lender that shall have become a Swingline Lender hereunder as provided in Section 2.24(d) (other than any Person that shall have ceased to be a Swingline Lender as provided in </w:t>
      </w:r>
      <w:r>
        <w:rPr>
          <w:rFonts w:ascii="Times New Roman" w:hAnsi="Times New Roman"/>
          <w:sz w:val="20"/>
          <w:u w:val="single"/>
        </w:rPr>
        <w:t>Section 2.24(e)</w:t>
      </w:r>
      <w:r>
        <w:rPr>
          <w:rFonts w:ascii="Times New Roman" w:hAnsi="Times New Roman"/>
          <w:sz w:val="20"/>
        </w:rPr>
        <w:t xml:space="preserve">), each in its capacity as a lender of Swingline Loans hereunder.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w:t>
      </w:r>
      <w:r>
        <w:rPr>
          <w:rFonts w:ascii="Times New Roman" w:hAnsi="Times New Roman"/>
          <w:sz w:val="20"/>
          <w:u w:val="single"/>
        </w:rPr>
        <w:t>Section 2.24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p>
    <w:p>
      <w:pPr>
        <w:pStyle w:val="TextBody"/>
        <w:bidi w:val="0"/>
        <w:spacing w:before="0" w:after="0"/>
        <w:jc w:val="left"/>
        <w:rPr/>
      </w:pPr>
      <w:r>
        <w:rPr/>
        <w:t>“</w:t>
      </w:r>
      <w:r>
        <w:rPr>
          <w:rFonts w:ascii="Times New Roman" w:hAnsi="Times New Roman"/>
          <w:sz w:val="20"/>
          <w:u w:val="single"/>
        </w:rPr>
        <w:t>Target Debt Refinancing Outside Date</w:t>
      </w:r>
      <w:r>
        <w:rPr>
          <w:rFonts w:ascii="Times New Roman" w:hAnsi="Times New Roman"/>
          <w:sz w:val="20"/>
        </w:rPr>
        <w:t xml:space="preserve">” means the date falling sixty (60) days following the Effective Date. </w:t>
      </w:r>
    </w:p>
    <w:p>
      <w:pPr>
        <w:pStyle w:val="TextBody"/>
        <w:bidi w:val="0"/>
        <w:spacing w:before="240" w:after="0"/>
        <w:jc w:val="left"/>
        <w:rPr/>
      </w:pPr>
      <w:r>
        <w:rPr/>
        <w:t>“</w:t>
      </w:r>
      <w:r>
        <w:rPr>
          <w:rFonts w:ascii="Times New Roman" w:hAnsi="Times New Roman"/>
          <w:sz w:val="20"/>
          <w:u w:val="single"/>
        </w:rPr>
        <w:t>Target Refinancing Indebtedness</w:t>
      </w:r>
      <w:r>
        <w:rPr>
          <w:rFonts w:ascii="Times New Roman" w:hAnsi="Times New Roman"/>
          <w:sz w:val="20"/>
        </w:rPr>
        <w:t xml:space="preserve">” means the indebtedness outstanding under each of (a) the Existing Revolving Facility Agreement, (b) the 2024 Notes, (c) the 2022 Notes, (d) 2011 Ex-Im Credit Agreement, (e) the 2014 Ex-Im Credit Agreement and (f) the Potential Rollover Instruments; </w:t>
      </w:r>
      <w:r>
        <w:rPr>
          <w:rFonts w:ascii="Times New Roman" w:hAnsi="Times New Roman"/>
          <w:sz w:val="20"/>
          <w:u w:val="single"/>
        </w:rPr>
        <w:t>provided</w:t>
      </w:r>
      <w:r>
        <w:rPr>
          <w:rFonts w:ascii="Times New Roman" w:hAnsi="Times New Roman"/>
          <w:sz w:val="20"/>
        </w:rPr>
        <w:t xml:space="preserve"> that, to the extent that any portion of the Potential Rollover Instruments for which Bidco has made an offer has not been refinanced prior to the Target Debt Refinancing Outside Date, Bidco may elect, by notice to the Administrative Agent, prior to the Target Debt Refinancing Outside Date that such portion of the Potential Rollover Instruments shall remain outstanding, in which case such portion of the Potential Rollover Instruments shall not constitute Target Refinancing Indebtedness. </w:t>
      </w:r>
    </w:p>
    <w:p>
      <w:pPr>
        <w:pStyle w:val="TextBody"/>
        <w:bidi w:val="0"/>
        <w:spacing w:before="240" w:after="0"/>
        <w:jc w:val="left"/>
        <w:rPr/>
      </w:pPr>
      <w:r>
        <w:rPr/>
        <w:t>“</w:t>
      </w:r>
      <w:r>
        <w:rPr>
          <w:rFonts w:ascii="Times New Roman" w:hAnsi="Times New Roman"/>
          <w:sz w:val="20"/>
          <w:u w:val="single"/>
        </w:rPr>
        <w:t>Target Shares</w:t>
      </w:r>
      <w:r>
        <w:rPr>
          <w:rFonts w:ascii="Times New Roman" w:hAnsi="Times New Roman"/>
          <w:sz w:val="20"/>
        </w:rPr>
        <w:t xml:space="preserve">” means 100% of the issued share capital in the Company. </w:t>
      </w:r>
    </w:p>
    <w:p>
      <w:pPr>
        <w:pStyle w:val="TextBody"/>
        <w:bidi w:val="0"/>
        <w:spacing w:before="240" w:after="0"/>
        <w:jc w:val="left"/>
        <w:rPr/>
      </w:pPr>
      <w:r>
        <w:rPr/>
        <w:t>“</w:t>
      </w:r>
      <w:r>
        <w:rPr>
          <w:rFonts w:ascii="Times New Roman" w:hAnsi="Times New Roman"/>
          <w:sz w:val="20"/>
          <w:u w:val="single"/>
        </w:rPr>
        <w:t>Tax Confirmation</w:t>
      </w:r>
      <w:r>
        <w:rPr>
          <w:rFonts w:ascii="Times New Roman" w:hAnsi="Times New Roman"/>
          <w:sz w:val="20"/>
        </w:rPr>
        <w:t>” means a confirmation by a Lender that it is beneficially entitled to interest payable to that Lender in respect of a Loan Document and is either: (i) a company resident in the United Kingdom for United Kingdom tax purposes;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United Kingdom Corporation Tax Act 2009 (“</w:t>
      </w:r>
      <w:r>
        <w:rPr>
          <w:rFonts w:ascii="Times New Roman" w:hAnsi="Times New Roman"/>
          <w:sz w:val="20"/>
          <w:u w:val="single"/>
        </w:rPr>
        <w:t>CTA</w:t>
      </w:r>
      <w:r>
        <w:rPr>
          <w:rFonts w:ascii="Times New Roman" w:hAnsi="Times New Roman"/>
          <w:sz w:val="20"/>
        </w:rPr>
        <w:t xml:space="preserve">”))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w:t>
      </w:r>
    </w:p>
    <w:p>
      <w:pPr>
        <w:pStyle w:val="TextBody"/>
        <w:bidi w:val="0"/>
        <w:spacing w:before="240" w:after="0"/>
        <w:jc w:val="left"/>
        <w:rPr/>
      </w:pPr>
      <w:r>
        <w:rPr/>
        <w:t>“</w:t>
      </w:r>
      <w:r>
        <w:rPr>
          <w:rFonts w:ascii="Times New Roman" w:hAnsi="Times New Roman"/>
          <w:sz w:val="20"/>
          <w:u w:val="single"/>
        </w:rPr>
        <w:t>Tax Distributions</w:t>
      </w:r>
      <w:r>
        <w:rPr>
          <w:rFonts w:ascii="Times New Roman" w:hAnsi="Times New Roman"/>
          <w:sz w:val="20"/>
        </w:rPr>
        <w:t xml:space="preserve">” has the meaning assigned to such term in </w:t>
      </w:r>
      <w:r>
        <w:rPr>
          <w:rFonts w:ascii="Times New Roman" w:hAnsi="Times New Roman"/>
          <w:sz w:val="20"/>
          <w:u w:val="single"/>
        </w:rPr>
        <w:t>Section 6.05(b)(xv)(B)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Group</w:t>
      </w:r>
      <w:r>
        <w:rPr>
          <w:rFonts w:ascii="Times New Roman" w:hAnsi="Times New Roman"/>
          <w:sz w:val="20"/>
        </w:rPr>
        <w:t xml:space="preserve">” has the meaning assigned to such term in </w:t>
      </w:r>
      <w:r>
        <w:rPr>
          <w:rFonts w:ascii="Times New Roman" w:hAnsi="Times New Roman"/>
          <w:sz w:val="20"/>
          <w:u w:val="single"/>
        </w:rPr>
        <w:t>Section 6.05(b)(xv)(B)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Structure Memorandum</w:t>
      </w:r>
      <w:r>
        <w:rPr>
          <w:rFonts w:ascii="Times New Roman" w:hAnsi="Times New Roman"/>
          <w:sz w:val="20"/>
        </w:rPr>
        <w:t xml:space="preserve">” means the tax structure memorandum prepared by PricewaterhouseCoopers LLP entitled “Project Triton - Structuring Strawman Paper” in connection with the Transactions.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charges or withholdings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Term Commitment</w:t>
      </w:r>
      <w:r>
        <w:rPr>
          <w:rFonts w:ascii="Times New Roman" w:hAnsi="Times New Roman"/>
          <w:sz w:val="20"/>
        </w:rPr>
        <w:t xml:space="preserve">” means, with respect to each Lender, the commitment, if any, of such Lender to make a Term Loan hereunder, expressed as an amount representing the maximum principal amount of the Term Loan to be made by such Lender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shall have assumed its Term Commitment, Incremental Facility Amendment, Loan Modification Agreement or Refinancing Amendment, as the case may be. As of the Effective Date, the total Term Commitment with respect to the Initial Term Loans was $1,750,000,000. As of the Amendment No. 1 Effective Date, the total Term Commitment with respect to the Amendment No. 1 Refinancing Term Loans is $1,736,875,000.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p>
    <w:p>
      <w:pPr>
        <w:pStyle w:val="TextBody"/>
        <w:bidi w:val="0"/>
        <w:spacing w:before="0" w:after="0"/>
        <w:jc w:val="left"/>
        <w:rPr/>
      </w:pPr>
      <w:r>
        <w:rPr/>
        <w:t>“</w:t>
      </w:r>
      <w:r>
        <w:rPr>
          <w:rFonts w:ascii="Times New Roman" w:hAnsi="Times New Roman"/>
          <w:sz w:val="20"/>
          <w:u w:val="single"/>
        </w:rPr>
        <w:t>Term Lender</w:t>
      </w:r>
      <w:r>
        <w:rPr>
          <w:rFonts w:ascii="Times New Roman" w:hAnsi="Times New Roman"/>
          <w:sz w:val="20"/>
        </w:rPr>
        <w:t xml:space="preserve">” means a Lender with a Term Commitment or an outstanding Term Loan. </w:t>
      </w:r>
    </w:p>
    <w:p>
      <w:pPr>
        <w:pStyle w:val="TextBody"/>
        <w:bidi w:val="0"/>
        <w:spacing w:before="240" w:after="0"/>
        <w:jc w:val="left"/>
        <w:rPr/>
      </w:pPr>
      <w:r>
        <w:rPr/>
        <w:t>“</w:t>
      </w:r>
      <w:r>
        <w:rPr>
          <w:rFonts w:ascii="Times New Roman" w:hAnsi="Times New Roman"/>
          <w:sz w:val="20"/>
          <w:u w:val="single"/>
        </w:rPr>
        <w:t>Term Loans</w:t>
      </w:r>
      <w:r>
        <w:rPr>
          <w:rFonts w:ascii="Times New Roman" w:hAnsi="Times New Roman"/>
          <w:sz w:val="20"/>
        </w:rPr>
        <w:t xml:space="preserve">” means Initial Term Loans, Other Term Loans (including the Amendment No. 1 Refinancing Term Loans) and Incremental Term Loans, as the context requires. </w:t>
      </w:r>
    </w:p>
    <w:p>
      <w:pPr>
        <w:pStyle w:val="TextBody"/>
        <w:bidi w:val="0"/>
        <w:spacing w:before="240" w:after="0"/>
        <w:jc w:val="left"/>
        <w:rPr/>
      </w:pPr>
      <w:r>
        <w:rPr/>
        <w:t>“</w:t>
      </w:r>
      <w:r>
        <w:rPr>
          <w:rFonts w:ascii="Times New Roman" w:hAnsi="Times New Roman"/>
          <w:sz w:val="20"/>
          <w:u w:val="single"/>
        </w:rPr>
        <w:t>Term Maturity Date</w:t>
      </w:r>
      <w:r>
        <w:rPr>
          <w:rFonts w:ascii="Times New Roman" w:hAnsi="Times New Roman"/>
          <w:sz w:val="20"/>
        </w:rPr>
        <w:t xml:space="preserve">” means (i) December 12, 2026 (or, if such day is not a Business Day, the immediately preceding Business Day) or (ii) with respect to any Term Lender that has the maturity date of its Term Loans extended pursuant to a Permitted Amendment, the extended maturity date set forth in any such Loan Modification Agreement.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means, at any date of determination, the period of four consecutive fiscal quarters of Bidco then last ended as of such time for which financial statements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any date of determination before the delivery of the first financial statements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the Test Period shall be the period of four consecutive fiscal quarters of the Borrower then last ended as of such time for which financial statements are internally available. </w:t>
      </w:r>
    </w:p>
    <w:p>
      <w:pPr>
        <w:pStyle w:val="TextBody"/>
        <w:bidi w:val="0"/>
        <w:spacing w:before="240" w:after="0"/>
        <w:jc w:val="left"/>
        <w:rPr/>
      </w:pPr>
      <w:r>
        <w:rPr/>
        <w:t>“</w:t>
      </w:r>
      <w:r>
        <w:rPr>
          <w:rFonts w:ascii="Times New Roman" w:hAnsi="Times New Roman"/>
          <w:sz w:val="20"/>
          <w:u w:val="single"/>
        </w:rPr>
        <w:t>Ticking Fee Percentage</w:t>
      </w:r>
      <w:r>
        <w:rPr>
          <w:rFonts w:ascii="Times New Roman" w:hAnsi="Times New Roman"/>
          <w:sz w:val="20"/>
        </w:rPr>
        <w:t xml:space="preserve">” means, for any day, a percentage equal to (a) for the period commencing on the Allocation Date through (and including) the earliest to occur of (i) the Effective Date and (ii) the 45th day after the Allocation Date, 0%, (b) if the Effective Date has not occurred prior to the commencement of such period, for the period commencing on the 46th day after the Allocation Date through (and including) the earliest to occur of (i) the Effective Date and (ii) the 90th day after the Allocation Date, 50% of the Applicable Rate used to determine the interest rate applicable to Eurodollar Initial Term Loans, and (c) if the Effective Date has not occurred prior to the commencement of such period, for the period commencing on the 91st day after the Allocation Date through (but excluding) the Effective Date, the Applicable Rate used to determine the interest rate applicable to Eurodollar Initial Term Loans.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as of any date of determination, the ratio, on a Pro Forma Basis, of (a) the sum of (i) Consolidated Total Indebtedness as of such date and (ii) the Reserved Indebtedness Amount applicable at such time to the calculation of the Total Net Leverage Ratio with respect to commitments first obtained as of such date but not utilized as of such date (but only to the extent such commitments are being obtained in reliance on a test based on such ratio) to (b) Consolidated EBITDA for the most recently ended Test Period as of such date;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Total Indebtedness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p>
    <w:p>
      <w:pPr>
        <w:pStyle w:val="TextBody"/>
        <w:bidi w:val="0"/>
        <w:spacing w:before="0" w:after="0"/>
        <w:jc w:val="left"/>
        <w:rPr/>
      </w:pPr>
      <w:r>
        <w:rPr/>
        <w:t>“</w:t>
      </w:r>
      <w:r>
        <w:rPr>
          <w:rFonts w:ascii="Times New Roman" w:hAnsi="Times New Roman"/>
          <w:sz w:val="20"/>
          <w:u w:val="single"/>
        </w:rPr>
        <w:t>Transaction Costs</w:t>
      </w:r>
      <w:r>
        <w:rPr>
          <w:rFonts w:ascii="Times New Roman" w:hAnsi="Times New Roman"/>
          <w:sz w:val="20"/>
        </w:rPr>
        <w:t xml:space="preserve">” means all fees, costs and expenses incurred or payable by any parent entity of Holdings, Holdings, Bidco, the Borrowers or any Subsidiary in connection with the Transactions, including, without limitation, any upfront fees or original issue discount.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(a) the Financing Transactions, (b) the issuance of the Senior Secured Notes, (c) the Acquisition and the other transactions contemplated by the Acquisition Documents, (d) the Equity Contributions, (e) the Refinancing, (f) any step, circumstance, payment, event, reorganization or transaction contemplated by or relating to the Tax Structure Memorandum (other than any exit steps or cash repatriation described therein), including, in each case, any intermediate steps or actions necessary to implement the steps, circumstances, payments or transactions in relation thereto and/or described therein and (g) the payment of the Transaction Costs. </w:t>
      </w:r>
    </w:p>
    <w:p>
      <w:pPr>
        <w:pStyle w:val="TextBody"/>
        <w:bidi w:val="0"/>
        <w:spacing w:before="240" w:after="0"/>
        <w:jc w:val="left"/>
        <w:rPr/>
      </w:pPr>
      <w:r>
        <w:rPr/>
        <w:t>“</w:t>
      </w:r>
      <w:r>
        <w:rPr>
          <w:rFonts w:ascii="Times New Roman" w:hAnsi="Times New Roman"/>
          <w:sz w:val="20"/>
          <w:u w:val="single"/>
        </w:rPr>
        <w:t>Treasury Capital Stock</w:t>
      </w:r>
      <w:r>
        <w:rPr>
          <w:rFonts w:ascii="Times New Roman" w:hAnsi="Times New Roman"/>
          <w:sz w:val="20"/>
        </w:rPr>
        <w:t xml:space="preserve">” has the meaning assigned to such term in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Adjusted LIBO Rate or the Alternate Base Rate.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or “</w:t>
      </w:r>
      <w:r>
        <w:rPr>
          <w:rFonts w:ascii="Times New Roman" w:hAnsi="Times New Roman"/>
          <w:sz w:val="20"/>
          <w:u w:val="single"/>
        </w:rPr>
        <w:t>Uniform Commercial Code</w:t>
      </w:r>
      <w:r>
        <w:rPr>
          <w:rFonts w:ascii="Times New Roman" w:hAnsi="Times New Roman"/>
          <w:sz w:val="20"/>
        </w:rPr>
        <w:t xml:space="preserve">” means the Uniform Commercial Code as in effect from time to time in the State of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 </w:t>
      </w:r>
    </w:p>
    <w:p>
      <w:pPr>
        <w:pStyle w:val="TextBody"/>
        <w:bidi w:val="0"/>
        <w:spacing w:before="240" w:after="0"/>
        <w:jc w:val="left"/>
        <w:rPr/>
      </w:pPr>
      <w:r>
        <w:rPr/>
        <w:t>“</w:t>
      </w:r>
      <w:r>
        <w:rPr>
          <w:rFonts w:ascii="Times New Roman" w:hAnsi="Times New Roman"/>
          <w:sz w:val="20"/>
          <w:u w:val="single"/>
        </w:rPr>
        <w:t>UCP</w:t>
      </w:r>
      <w:r>
        <w:rPr>
          <w:rFonts w:ascii="Times New Roman" w:hAnsi="Times New Roman"/>
          <w:sz w:val="20"/>
        </w:rPr>
        <w:t xml:space="preserve">”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Undisclosed Administration</w:t>
      </w:r>
      <w:r>
        <w:rPr>
          <w:rFonts w:ascii="Times New Roman" w:hAnsi="Times New Roman"/>
          <w:sz w:val="20"/>
        </w:rPr>
        <w:t xml:space="preserve">”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left"/>
        <w:rPr/>
      </w:pPr>
      <w:r>
        <w:rPr/>
        <w:t>“</w:t>
      </w:r>
      <w:r>
        <w:rPr>
          <w:rFonts w:ascii="Times New Roman" w:hAnsi="Times New Roman"/>
          <w:sz w:val="20"/>
          <w:u w:val="single"/>
        </w:rPr>
        <w:t>United States Tax Compliance Certificate</w:t>
      </w:r>
      <w:r>
        <w:rPr>
          <w:rFonts w:ascii="Times New Roman" w:hAnsi="Times New Roman"/>
          <w:sz w:val="20"/>
        </w:rPr>
        <w:t>” has the meaning assigned to such term in</w:t>
      </w:r>
      <w:r>
        <w:rPr>
          <w:rFonts w:ascii="Times New Roman" w:hAnsi="Times New Roman"/>
          <w:sz w:val="20"/>
          <w:u w:val="single"/>
        </w:rPr>
        <w:t xml:space="preserve"> Section 2.16(e)(ii)(B)(3)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p>
    <w:p>
      <w:pPr>
        <w:pStyle w:val="TextBody"/>
        <w:bidi w:val="0"/>
        <w:spacing w:before="0" w:after="0"/>
        <w:jc w:val="left"/>
        <w:rPr/>
      </w:pPr>
      <w:r>
        <w:rPr/>
        <w:t>“</w:t>
      </w:r>
      <w:r>
        <w:rPr>
          <w:rFonts w:ascii="Times New Roman" w:hAnsi="Times New Roman"/>
          <w:sz w:val="20"/>
          <w:u w:val="single"/>
        </w:rPr>
        <w:t>Unrestricted Subsidiary</w:t>
      </w:r>
      <w:r>
        <w:rPr>
          <w:rFonts w:ascii="Times New Roman" w:hAnsi="Times New Roman"/>
          <w:sz w:val="20"/>
        </w:rPr>
        <w:t xml:space="preserve">” means any Subsidiary designated by the Borrower as an Unrestricted Subsidiary pursuant to </w:t>
      </w:r>
      <w:r>
        <w:rPr>
          <w:rFonts w:ascii="Times New Roman" w:hAnsi="Times New Roman"/>
          <w:sz w:val="20"/>
          <w:u w:val="single"/>
        </w:rPr>
        <w:t>Section 5.13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as amended from time to time. </w:t>
      </w:r>
    </w:p>
    <w:p>
      <w:pPr>
        <w:pStyle w:val="TextBody"/>
        <w:bidi w:val="0"/>
        <w:spacing w:before="240" w:after="0"/>
        <w:jc w:val="left"/>
        <w:rPr/>
      </w:pPr>
      <w:r>
        <w:rPr/>
        <w:t>“</w:t>
      </w:r>
      <w:r>
        <w:rPr>
          <w:rFonts w:ascii="Times New Roman" w:hAnsi="Times New Roman"/>
          <w:sz w:val="20"/>
          <w:u w:val="single"/>
        </w:rPr>
        <w:t>U.K. Borrower</w:t>
      </w:r>
      <w:r>
        <w:rPr>
          <w:rFonts w:ascii="Times New Roman" w:hAnsi="Times New Roman"/>
          <w:sz w:val="20"/>
        </w:rPr>
        <w:t xml:space="preserve">” means a Borrower incorporated in the United Kingdom and/or tax resident in the United Kingdom (and for these purposes it shall be assumed that a Borrower incorporated in Guernsey is tax resident in the United Kingdom). </w:t>
      </w:r>
    </w:p>
    <w:p>
      <w:pPr>
        <w:pStyle w:val="TextBody"/>
        <w:bidi w:val="0"/>
        <w:spacing w:before="240" w:after="0"/>
        <w:jc w:val="left"/>
        <w:rPr/>
      </w:pPr>
      <w:r>
        <w:rPr/>
        <w:t>“</w:t>
      </w:r>
      <w:r>
        <w:rPr>
          <w:rFonts w:ascii="Times New Roman" w:hAnsi="Times New Roman"/>
          <w:sz w:val="20"/>
          <w:u w:val="single"/>
        </w:rPr>
        <w:t>U.K. Non-Bank Lender</w:t>
      </w:r>
      <w:r>
        <w:rPr>
          <w:rFonts w:ascii="Times New Roman" w:hAnsi="Times New Roman"/>
          <w:sz w:val="20"/>
        </w:rPr>
        <w:t xml:space="preserve">” means a Lender (a) which is: (i) a company resident in the United Kingdom for United Kingdom tax purposes, (ii) a partnership each 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(b) which has provided a Tax Confirmation, and (c) in respect of which an officer of HMRC has not given, or has given and has subsequently revoked, a direction under section 931 of the ITA which relates to the payment.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U.S. Loan Party</w:t>
      </w:r>
      <w:r>
        <w:rPr>
          <w:rFonts w:ascii="Times New Roman" w:hAnsi="Times New Roman"/>
          <w:sz w:val="20"/>
        </w:rPr>
        <w:t xml:space="preserve">” means any Loan Party that is organized in the United States, any state thereof or the District of Columbia. </w:t>
      </w:r>
    </w:p>
    <w:p>
      <w:pPr>
        <w:pStyle w:val="TextBody"/>
        <w:bidi w:val="0"/>
        <w:spacing w:before="240" w:after="0"/>
        <w:jc w:val="left"/>
        <w:rPr/>
      </w:pPr>
      <w:r>
        <w:rPr/>
        <w:t>“</w:t>
      </w:r>
      <w:r>
        <w:rPr>
          <w:rFonts w:ascii="Times New Roman" w:hAnsi="Times New Roman"/>
          <w:sz w:val="20"/>
          <w:u w:val="single"/>
        </w:rPr>
        <w:t>U.S. Restricted Subsidiary</w:t>
      </w:r>
      <w:r>
        <w:rPr>
          <w:rFonts w:ascii="Times New Roman" w:hAnsi="Times New Roman"/>
          <w:sz w:val="20"/>
        </w:rPr>
        <w:t xml:space="preserve">” means any Subsidiary of Bidco that is organized in the United States, any state thereof or the District of Columbia, other than an Unrestricted Subsidiary. </w:t>
      </w:r>
    </w:p>
    <w:p>
      <w:pPr>
        <w:pStyle w:val="TextBody"/>
        <w:bidi w:val="0"/>
        <w:spacing w:before="240" w:after="0"/>
        <w:jc w:val="left"/>
        <w:rPr/>
      </w:pPr>
      <w:r>
        <w:rPr/>
        <w:t>“</w:t>
      </w:r>
      <w:r>
        <w:rPr>
          <w:rFonts w:ascii="Times New Roman" w:hAnsi="Times New Roman"/>
          <w:sz w:val="20"/>
          <w:u w:val="single"/>
        </w:rPr>
        <w:t>U.S. Special Resolution Regimes</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Viasat” means Viasat, Inc., a Delaware corporation.</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Viasat Acquisition” means the acquisition by Viasat, directly or indirectly, of 100% of the issued share capital in Connect Topco Limited, a private company limited by shares and incorporated in Guernsey, an indirect parent company of Initial Holdings, as disclosed in the Form 8-K of Viasat dated November 8, 2021 (the “Viasat Filing”) pursuant to the Purchase Agreement (as defined in the Viasat Filing).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VAT</w:t>
      </w:r>
      <w:r>
        <w:rPr>
          <w:rFonts w:ascii="Times New Roman" w:hAnsi="Times New Roman"/>
          <w:sz w:val="20"/>
        </w:rPr>
        <w:t xml:space="preserve">” (a) any tax imposed in any member state of the European Union pursuant to EC Council Directive 2006/112 on the common system of value added tax and national legislation implementing that Directive or any predecessor to it or supplemental to that Directive; and (b) any other sales or turnover tax of a similar nature, whether imposed in a member state of the European Union in or, or levied in addition to, such tax referred to in paragraph (a) above, or imposed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p>
    <w:p>
      <w:pPr>
        <w:pStyle w:val="TextBody"/>
        <w:bidi w:val="0"/>
        <w:spacing w:before="0" w:after="0"/>
        <w:jc w:val="left"/>
        <w:rPr/>
      </w:pPr>
      <w:r>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240" w:after="0"/>
        <w:jc w:val="left"/>
        <w:rPr/>
      </w:pPr>
      <w:r>
        <w:rPr/>
        <w:t>“</w:t>
      </w:r>
      <w:r>
        <w:rPr>
          <w:rFonts w:ascii="Times New Roman" w:hAnsi="Times New Roman"/>
          <w:sz w:val="20"/>
          <w:u w:val="single"/>
        </w:rPr>
        <w:t>Wholly Owned Restricted Subsidiary</w:t>
      </w:r>
      <w:r>
        <w:rPr>
          <w:rFonts w:ascii="Times New Roman" w:hAnsi="Times New Roman"/>
          <w:sz w:val="20"/>
        </w:rPr>
        <w:t xml:space="preserve">” means any Restricted Subsidiary that is a Wholly Owned Subsidiary. </w:t>
      </w:r>
    </w:p>
    <w:p>
      <w:pPr>
        <w:pStyle w:val="TextBody"/>
        <w:bidi w:val="0"/>
        <w:spacing w:before="240" w:after="0"/>
        <w:jc w:val="left"/>
        <w:rPr/>
      </w:pPr>
      <w:r>
        <w:rPr/>
        <w:t>“</w:t>
      </w:r>
      <w:r>
        <w:rPr>
          <w:rFonts w:ascii="Times New Roman" w:hAnsi="Times New Roman"/>
          <w:sz w:val="20"/>
          <w:u w:val="single"/>
        </w:rPr>
        <w:t>Wholly Owned Subsidiary</w:t>
      </w:r>
      <w:r>
        <w:rPr>
          <w:rFonts w:ascii="Times New Roman" w:hAnsi="Times New Roman"/>
          <w:sz w:val="20"/>
        </w:rPr>
        <w:t xml:space="preserve">”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sz w:val="20"/>
          <w:u w:val="single"/>
        </w:rPr>
        <w:t>Yen</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shall mean the lawful currency of Japan. </w:t>
      </w:r>
    </w:p>
    <w:p>
      <w:pPr>
        <w:pStyle w:val="TextBody"/>
        <w:bidi w:val="0"/>
        <w:spacing w:before="36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For purposes of this Agreement, Loans and Borrowings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Loan</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Loan</w:t>
      </w:r>
      <w:r>
        <w:rPr>
          <w:rFonts w:ascii="Times New Roman" w:hAnsi="Times New Roman"/>
          <w:sz w:val="20"/>
        </w:rPr>
        <w:t>” or “</w:t>
      </w:r>
      <w:r>
        <w:rPr>
          <w:rFonts w:ascii="Times New Roman" w:hAnsi="Times New Roman"/>
          <w:sz w:val="20"/>
          <w:u w:val="single"/>
        </w:rPr>
        <w:t>ABR Loan</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Revolving Loan</w:t>
      </w:r>
      <w:r>
        <w:rPr>
          <w:rFonts w:ascii="Times New Roman" w:hAnsi="Times New Roman"/>
          <w:sz w:val="20"/>
        </w:rPr>
        <w:t>”). Borrowings also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Borrowing</w:t>
      </w:r>
      <w:r>
        <w:rPr>
          <w:rFonts w:ascii="Times New Roman" w:hAnsi="Times New Roman"/>
          <w:sz w:val="20"/>
        </w:rPr>
        <w:t>” or “</w:t>
      </w:r>
      <w:r>
        <w:rPr>
          <w:rFonts w:ascii="Times New Roman" w:hAnsi="Times New Roman"/>
          <w:sz w:val="20"/>
          <w:u w:val="single"/>
        </w:rPr>
        <w:t>Term Borrowing</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Borrowing</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Revolving Borrowing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p>
    <w:p>
      <w:pPr>
        <w:pStyle w:val="TextBody"/>
        <w:bidi w:val="0"/>
        <w:spacing w:before="0" w:after="0"/>
        <w:jc w:val="left"/>
        <w:rPr>
          <w:rFonts w:ascii="Times New Roman" w:hAnsi="Times New Roman"/>
          <w:sz w:val="20"/>
        </w:rPr>
      </w:pPr>
      <w:r>
        <w:rPr>
          <w:rFonts w:ascii="Times New Roman" w:hAnsi="Times New Roman"/>
          <w:sz w:val="20"/>
        </w:rPr>
        <w:t xml:space="preserve">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36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IFRS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IFRS, except as otherwise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 </w:t>
      </w:r>
    </w:p>
    <w:p>
      <w:pPr>
        <w:pStyle w:val="TextBody"/>
        <w:bidi w:val="0"/>
        <w:spacing w:before="36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Effectuation of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references herein to Holdings, Bidco and the other Subsidiaries shall be deemed to be references to such Persons, and all the representations and warranties of Holdings, any Intermediate Parent, Bidco and the other Loan Parties contained in this Agreement and the other Loan Documents shall be deemed made, in each case, after giving effect to the Acquisition and the other Transactions to occur on the Effective Date, unless the context otherwise requires. </w:t>
      </w:r>
    </w:p>
    <w:p>
      <w:pPr>
        <w:pStyle w:val="TextBody"/>
        <w:bidi w:val="0"/>
        <w:spacing w:before="36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Limited Condition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in this Agreement or any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Bidco (Bidco’s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xml:space="preserve">”), be deemed to be either (i) the date the definitive agreements for such Limited Condition Transaction are entered into (or, in respect of any transaction described in clause (b) of the definition of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p>
    <w:p>
      <w:pPr>
        <w:pStyle w:val="TextBody"/>
        <w:bidi w:val="0"/>
        <w:spacing w:before="0" w:after="0"/>
        <w:jc w:val="left"/>
        <w:rPr>
          <w:rFonts w:ascii="Times New Roman" w:hAnsi="Times New Roman"/>
          <w:sz w:val="20"/>
        </w:rPr>
      </w:pPr>
      <w:r>
        <w:rPr>
          <w:rFonts w:ascii="Times New Roman" w:hAnsi="Times New Roman"/>
          <w:sz w:val="20"/>
        </w:rPr>
        <w:t>Condition Transaction”, delivery of irrevocable notice or similar event) or (ii) solely in connection with an acquisition to which the City Code applies, the date on which a “Rule 2.7 announcement” of a firm intention to make an offer in respect of a target company is made in compliance with the City Code (the “</w:t>
      </w:r>
      <w:r>
        <w:rPr>
          <w:rFonts w:ascii="Times New Roman" w:hAnsi="Times New Roman"/>
          <w:sz w:val="20"/>
          <w:u w:val="single"/>
        </w:rPr>
        <w:t>LCT Test Date</w:t>
      </w:r>
      <w:r>
        <w:rPr>
          <w:rFonts w:ascii="Times New Roman" w:hAnsi="Times New Roman"/>
          <w:sz w:val="20"/>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Bidco could have taken such action on the relevant LCT Test Date in compliance with such ratios and provisions, such provisions shall be deemed to have been complied with; </w:t>
      </w:r>
      <w:r>
        <w:rPr>
          <w:rFonts w:ascii="Times New Roman" w:hAnsi="Times New Roman"/>
          <w:i/>
          <w:sz w:val="20"/>
        </w:rPr>
        <w:t xml:space="preserve">provided </w:t>
      </w:r>
      <w:r>
        <w:rPr>
          <w:rFonts w:ascii="Times New Roman" w:hAnsi="Times New Roman"/>
          <w:sz w:val="20"/>
        </w:rPr>
        <w:t xml:space="preserve">that at the option of Bidco,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Bidco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Bidco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 (or, if applicable, the irrevocable notice or similar event is terminated or expires). </w:t>
      </w:r>
    </w:p>
    <w:p>
      <w:pPr>
        <w:pStyle w:val="TextBody"/>
        <w:bidi w:val="0"/>
        <w:spacing w:before="36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Certain Determinations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compliance with any of the covenants set forth in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(including in connection with any Incremental Facility) at any time (whether at the time of incurrence or thereafter), any Lien, Investment, Indebtedness, Restricted Payment, Asset Sale or Affiliate transaction meets the criteria of one, or more than one, of the categories permitted pursuant to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(including in connection with any Incremental Facility), Bidco (i) shall in its sole discretion determine under which category such Lien (other than Liens securing the Secured Obligations), Investment, Indebtedness (other than Indebtedness incurred under the Loan Documents), Asset Sale, Restricted Payment or Affiliate transaction (or, in each case, any portion there) is permitted and (ii) shall be permitted, in its sole discretion, to make any redetermination and/or to divide, classify or reclassify under which category or categories such Lien, Investment, Indebtedness, Asset Sale, Restricted Payment or Affiliate transaction is permitted from time to time as it may determine and without notice to the Administrative Agent or any Lender, so long as at the time of such redesignation Bidco would be permitted to incur such Lien, Investment, Indebtedness or Restricted Payment under such category or categories, as applicable. For the avoidance of doubt, if the applicable date for meeting any requirement hereunder or under any other Loan Document falls on a day that is not a Business Day, compliance with such requirement shall not be required until noon on the first Business Day following such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p>
    <w:p>
      <w:pPr>
        <w:pStyle w:val="TextBody"/>
        <w:bidi w:val="0"/>
        <w:spacing w:before="0" w:after="0"/>
        <w:jc w:val="left"/>
        <w:rPr>
          <w:rFonts w:ascii="Times New Roman" w:hAnsi="Times New Roman"/>
          <w:sz w:val="20"/>
        </w:rPr>
      </w:pPr>
      <w:r>
        <w:rPr>
          <w:rFonts w:ascii="Times New Roman" w:hAnsi="Times New Roman"/>
          <w:sz w:val="20"/>
        </w:rPr>
        <w:t>(b) 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w:t>
      </w:r>
      <w:r>
        <w:rPr>
          <w:rFonts w:ascii="Times New Roman" w:hAnsi="Times New Roman"/>
          <w:sz w:val="20"/>
          <w:u w:val="single"/>
        </w:rPr>
        <w:t>Fixed Amounts</w:t>
      </w:r>
      <w:r>
        <w:rPr>
          <w:rFonts w:ascii="Times New Roman" w:hAnsi="Times New Roman"/>
          <w:sz w:val="20"/>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hAnsi="Times New Roman"/>
          <w:sz w:val="20"/>
          <w:u w:val="single"/>
        </w:rPr>
        <w:t>Incurrence Based Amounts</w:t>
      </w:r>
      <w:r>
        <w:rPr>
          <w:rFonts w:ascii="Times New Roman" w:hAnsi="Times New Roman"/>
          <w:sz w:val="2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 w:hAnsi="Times New Roman"/>
          <w:sz w:val="20"/>
          <w:u w:val="single"/>
        </w:rPr>
        <w:t>Section 6.01</w:t>
      </w:r>
      <w:r>
        <w:rPr>
          <w:rFonts w:ascii="Times New Roman" w:hAnsi="Times New Roman"/>
          <w:sz w:val="20"/>
        </w:rPr>
        <w:t xml:space="preserve"> or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Form Intercreditor Agreements shall be deemed to be reasonable and acceptable to the Administrative Agent and the Lenders, the Administrative Agent and the Lenders shall be deemed to have consented to the use of each such Form Intercreditor Agreement (and to the Administrative Agent’s execution thereof) in connection with any Indebtedness secured by the Collateral that is permitted to be incurred, issued and/or assumed by Bidco or any of its Subsidiaries pursuant to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Section 6.02</w:t>
      </w:r>
      <w:r>
        <w:rPr>
          <w:rFonts w:ascii="Times New Roman" w:hAnsi="Times New Roman"/>
          <w:sz w:val="20"/>
        </w:rPr>
        <w:t xml:space="preserve"> and the Administrative Agent shall be authorized to execute and deliver on behalf of the Secured Parties the applicable Form Intercreditor Agreements. </w:t>
      </w:r>
    </w:p>
    <w:p>
      <w:pPr>
        <w:pStyle w:val="TextBody"/>
        <w:bidi w:val="0"/>
        <w:spacing w:before="36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Additional Alternative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and the Borrowers may from time to time request that Eurodollar Revolving Loans be made and/or Letters of Credit be issued in a currency other than dollars or those specifically listed in the definition of “Alternative Currency.” In the case of any such request with respect to the making of Eurodollar Revolving Loans, such request shall be subject to the approval of the Administrative Agent and all of the Revolving Lenders. In the case of any such request with respect to the issuance of Letters of Credit, such request shall be subject to the approval of the Administrative Agent, the applicable Issuing Bank and all of the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(b) Any such request shall be made to the Administrative Agent not later than 11:00 a.m. (New York City time), ten (10) Business Days prior to the date of the desired Revolving Borrowing or issuance of Letters of Credit (or such other time or date as may be agreed to by the Administrative Agent and, in the case of any such request pertaining to Letters of Credit, each Issuing Bank, in its or their sole discretion). In the case of any such request pertaining to Eurodollar Revolving Loans, the Administrative Agent shall promptly notify each Revolving Lender thereof. In the case of any such request pertaining to Letters of Credit, the Administrative Agent shall promptly notify the applicable Issuing Bank thereof. Each Revolving Lender (in the case of any such request pertaining to Eurodollar Revolving Loans) or each Issuing Bank (in the case of a request pertaining to Letters of Credit) shall notify the Administrative Agent, not later than 11:00 a.m. (New York City time), two (2) Business Days after its receipt of such request as to whether it consents, in its sole discretion, to the making of Eurodollar Revolving Loans or the issuance of Letters of Credit, as the case may be, in such requested currency. </w:t>
      </w:r>
    </w:p>
    <w:p>
      <w:pPr>
        <w:pStyle w:val="TextBody"/>
        <w:bidi w:val="0"/>
        <w:spacing w:before="240" w:after="0"/>
        <w:jc w:val="left"/>
        <w:rPr>
          <w:rFonts w:ascii="Times New Roman" w:hAnsi="Times New Roman"/>
          <w:sz w:val="20"/>
        </w:rPr>
      </w:pPr>
      <w:r>
        <w:rPr>
          <w:rFonts w:ascii="Times New Roman" w:hAnsi="Times New Roman"/>
          <w:sz w:val="20"/>
        </w:rPr>
        <w:t xml:space="preserve">(c) Any failure by a Revolving Lender or an Issuing Bank, as the case may be, to respond to such request within the time period specified in the last sentence of clause (b) above shall be deemed to be a refusal by such Revolving Lender or such Issuing Bank, as the case may be, to permit Eurodollar Revolving Loans to be made or Letters of Credit to be issued in such requested currency. If the Administrative Agent and all the Revolving Lenders consent to making Eurodollar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p>
    <w:p>
      <w:pPr>
        <w:pStyle w:val="TextBody"/>
        <w:bidi w:val="0"/>
        <w:spacing w:before="0" w:after="0"/>
        <w:jc w:val="left"/>
        <w:rPr>
          <w:rFonts w:ascii="Times New Roman" w:hAnsi="Times New Roman"/>
          <w:sz w:val="20"/>
        </w:rPr>
      </w:pPr>
      <w:r>
        <w:rPr>
          <w:rFonts w:ascii="Times New Roman" w:hAnsi="Times New Roman"/>
          <w:sz w:val="20"/>
        </w:rPr>
        <w:t xml:space="preserve">in such requested currency, the Administrative Agent shall so notify Bidco and the Borrowers and such currency shall thereupon be deemed for all purposes to be an Alternative Currency hereunder for purposes of any Borrowings of Eurodollar Revolving Loans. If the Administrative Agent and each Issuing Bank consent to the issuance of Letters of Credit in such requested currency, the Administrative Agent shall so notify Bidco and the Borrowers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hAnsi="Times New Roman"/>
          <w:sz w:val="20"/>
          <w:u w:val="single"/>
        </w:rPr>
        <w:t>Section 1.08</w:t>
      </w:r>
      <w:r>
        <w:rPr>
          <w:rFonts w:ascii="Times New Roman" w:hAnsi="Times New Roman"/>
          <w:sz w:val="20"/>
        </w:rPr>
        <w:t xml:space="preserve">, the Administrative Agent shall promptly so notify Bidco and the Borrowers. </w:t>
      </w:r>
    </w:p>
    <w:p>
      <w:pPr>
        <w:pStyle w:val="TextBody"/>
        <w:bidi w:val="0"/>
        <w:spacing w:before="36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Currency Equivalents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Wherever in this Agreement in connection with a Borrowing, conversion, continuation or prepayment of a Eurodollar Loan or the issuance, amendment or extension of a Letter of Credit, an amount, such as a required minimum or multiple amount, is expressed in dollars, but such Borrowing, Eurodollar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 </w:t>
      </w:r>
    </w:p>
    <w:p>
      <w:pPr>
        <w:pStyle w:val="TextBody"/>
        <w:bidi w:val="0"/>
        <w:spacing w:before="36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Divisions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hAnsi="Times New Roman"/>
          <w:sz w:val="20"/>
          <w:u w:val="single"/>
        </w:rPr>
        <w:t>Division</w:t>
      </w:r>
      <w:r>
        <w:rPr>
          <w:rFonts w:ascii="Times New Roman" w:hAnsi="Times New Roman"/>
          <w:sz w:val="20"/>
        </w:rPr>
        <w:t xml:space="preserve">”),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 </w:t>
      </w:r>
    </w:p>
    <w:p>
      <w:pPr>
        <w:pStyle w:val="TextBody"/>
        <w:bidi w:val="0"/>
        <w:spacing w:before="36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Agreed Security Principles; Guarantee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Guarantee Agreement, the Security Documents, the determination of Collateral and assets that constitute Excluded Assets of any Non-U.S. Loan Party and each other guaranty and security document delivered or to be delivered under this Agreement, and any obligation to enter into such document or obligation and/or provide security in any Collateral, by any Non-U.S. Loan Party shall be subject in all respects to the Agreed Security Principles and the Guarantee Limitations. </w:t>
      </w:r>
    </w:p>
    <w:p>
      <w:pPr>
        <w:pStyle w:val="TextBody"/>
        <w:bidi w:val="0"/>
        <w:spacing w:before="36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Additional Borrowers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w:t>
      </w:r>
      <w:r>
        <w:rPr>
          <w:rFonts w:ascii="Times New Roman" w:hAnsi="Times New Roman"/>
          <w:sz w:val="20"/>
          <w:u w:val="single"/>
        </w:rPr>
        <w:t>Section 9.02</w:t>
      </w:r>
      <w:r>
        <w:rPr>
          <w:rFonts w:ascii="Times New Roman" w:hAnsi="Times New Roman"/>
          <w:sz w:val="20"/>
        </w:rPr>
        <w:t xml:space="preserve"> to the contrary, following the Effective Date, Bidco and the Borrowers may request that one or more Subsidiaries of Bidco that is a Restricted Subsidiary incorporated under the laws of England and Wales be added as an additional Revolving Borrower under the Revolving Facility by delivering to the Administrative Agent an Additional Borrower Agreement executed by such Subsidiary and the Borrower Representative. Such Subsidiary shall for all purposes of this Agreement be a Revolving Borrower and a Borrower hereunder after the latest of (i) five (5) Business Days (or such shorter period as the Administrative Agent shall agree) after delivery of such Additional Borrower Agreement and (ii) receipt by the Lenders and the Administrative Agent of such documentation and other information reasonably requested by the Lenders or the Administrative Agent for purposes of complying with all necessary “know your customer” or other similar checks under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p>
    <w:p>
      <w:pPr>
        <w:pStyle w:val="TextBody"/>
        <w:bidi w:val="0"/>
        <w:spacing w:before="0" w:after="0"/>
        <w:jc w:val="left"/>
        <w:rPr>
          <w:rFonts w:ascii="Times New Roman" w:hAnsi="Times New Roman"/>
          <w:sz w:val="20"/>
        </w:rPr>
      </w:pPr>
      <w:r>
        <w:rPr>
          <w:rFonts w:ascii="Times New Roman" w:hAnsi="Times New Roman"/>
          <w:sz w:val="20"/>
        </w:rPr>
        <w:t xml:space="preserve">applicable laws and regulations without any written objection submitted by the Lenders or the Administrative Agent within five (5) Business Days of the date of receipt of such documentation and other information; </w:t>
      </w:r>
      <w:r>
        <w:rPr>
          <w:rFonts w:ascii="Times New Roman" w:hAnsi="Times New Roman"/>
          <w:i/>
          <w:sz w:val="20"/>
        </w:rPr>
        <w:t xml:space="preserve">provided </w:t>
      </w:r>
      <w:r>
        <w:rPr>
          <w:rFonts w:ascii="Times New Roman" w:hAnsi="Times New Roman"/>
          <w:sz w:val="20"/>
        </w:rPr>
        <w:t xml:space="preserve">that each Additional Borrower shall also be a Guarantor. Any obligations in respect of Borrowings by any Additional Borrower under this Agreement will constitute “Loan Document Obligations” for all purposes of the Loan Documents. Promptly following receipt of any Additional Borrower Agreement, the Administrative Agent shall send a copy thereof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Borrower Representative</w:t>
      </w:r>
      <w:r>
        <w:rPr>
          <w:rFonts w:ascii="Times New Roman" w:hAnsi="Times New Roman"/>
          <w:sz w:val="20"/>
        </w:rPr>
        <w:t>. Each Borrower hereby designates the Finco Borrower as its borrower representative (the “</w:t>
      </w:r>
      <w:r>
        <w:rPr>
          <w:rFonts w:ascii="Times New Roman" w:hAnsi="Times New Roman"/>
          <w:sz w:val="20"/>
          <w:u w:val="single"/>
        </w:rPr>
        <w:t>Borrower Representative</w:t>
      </w:r>
      <w:r>
        <w:rPr>
          <w:rFonts w:ascii="Times New Roman" w:hAnsi="Times New Roman"/>
          <w:sz w:val="20"/>
        </w:rPr>
        <w:t xml:space="preserve">”). The Borrower Representative may act as agent on behalf of each of the Borrowers for the purposes of issuing notices of Borrowing and notices of conversion/continuation of any Loans pursuant to </w:t>
      </w:r>
      <w:r>
        <w:rPr>
          <w:rFonts w:ascii="Times New Roman" w:hAnsi="Times New Roman"/>
          <w:sz w:val="20"/>
          <w:u w:val="single"/>
        </w:rPr>
        <w:t>Section 2.02</w:t>
      </w:r>
      <w:r>
        <w:rPr>
          <w:rFonts w:ascii="Times New Roman" w:hAnsi="Times New Roman"/>
          <w:sz w:val="20"/>
        </w:rPr>
        <w:t xml:space="preserve"> or </w:t>
      </w:r>
      <w:r>
        <w:rPr>
          <w:rFonts w:ascii="Times New Roman" w:hAnsi="Times New Roman"/>
          <w:sz w:val="20"/>
          <w:u w:val="single"/>
        </w:rPr>
        <w:t>2.03</w:t>
      </w:r>
      <w:r>
        <w:rPr>
          <w:rFonts w:ascii="Times New Roman" w:hAnsi="Times New Roman"/>
          <w:sz w:val="20"/>
        </w:rPr>
        <w:t xml:space="preserve">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and certifications)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 </w:t>
      </w:r>
    </w:p>
    <w:p>
      <w:pPr>
        <w:pStyle w:val="TextBody"/>
        <w:bidi w:val="0"/>
        <w:spacing w:before="36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Guernsey Customary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Party organized in Guernsey irrevocably waives and abandons any and all rights which it may at any time have under the existing or future laws of Guernsey: </w:t>
      </w:r>
    </w:p>
    <w:p>
      <w:pPr>
        <w:pStyle w:val="TextBody"/>
        <w:bidi w:val="0"/>
        <w:spacing w:before="120" w:after="0"/>
        <w:jc w:val="left"/>
        <w:rPr>
          <w:rFonts w:ascii="Times New Roman" w:hAnsi="Times New Roman"/>
          <w:sz w:val="20"/>
        </w:rPr>
      </w:pPr>
      <w:r>
        <w:rPr>
          <w:rFonts w:ascii="Times New Roman" w:hAnsi="Times New Roman"/>
          <w:sz w:val="20"/>
        </w:rPr>
        <w:t xml:space="preserve">(i) whether by virtue of the </w:t>
      </w:r>
      <w:r>
        <w:rPr>
          <w:rFonts w:ascii="Times New Roman" w:hAnsi="Times New Roman"/>
          <w:i/>
          <w:sz w:val="20"/>
        </w:rPr>
        <w:t xml:space="preserve">droit de discussion </w:t>
      </w:r>
      <w:r>
        <w:rPr>
          <w:rFonts w:ascii="Times New Roman" w:hAnsi="Times New Roman"/>
          <w:sz w:val="20"/>
        </w:rPr>
        <w:t xml:space="preserve">or otherwise, to require that recourse be had to the assets of any other person party to any of the Loan Documents before any claim in enforced against such Guarantor in respect of the obligations assumed by such Guarantor under or in connection with any Loan Document. Each Guarantor organized in Guernsey undertakes that, if any enforcement proceedings are initiated by any Lender, Secured Party, the Administrative Agent, the Collateral Agent or any finance party against that Guarantor in respect of any such obligations, that Guarantor shall not claim that any other party to any of the Loan Documents be made a party to such proceedings, and each such Guarantor agrees to be bound by the Loan Documents whether or not any such Guarantor or other person is made a party to any legal proceedings for the recovery of amounts due or owing or for the enforcement of obligations owed to such Lender, Secured Party, the Administrative Agent, the Collateral Agent or any finance party and whether the formalities required by any existing or future law of Guernsey, in regard to the rights or obligations of sureties shall or shall not have been observed; and </w:t>
      </w:r>
    </w:p>
    <w:p>
      <w:pPr>
        <w:pStyle w:val="TextBody"/>
        <w:bidi w:val="0"/>
        <w:spacing w:before="120" w:after="0"/>
        <w:jc w:val="left"/>
        <w:rPr>
          <w:rFonts w:ascii="Times New Roman" w:hAnsi="Times New Roman"/>
          <w:sz w:val="20"/>
        </w:rPr>
      </w:pPr>
      <w:r>
        <w:rPr>
          <w:rFonts w:ascii="Times New Roman" w:hAnsi="Times New Roman"/>
          <w:sz w:val="20"/>
        </w:rPr>
        <w:t xml:space="preserve">(ii) whether by virtue of </w:t>
      </w:r>
      <w:r>
        <w:rPr>
          <w:rFonts w:ascii="Times New Roman" w:hAnsi="Times New Roman"/>
          <w:i/>
          <w:sz w:val="20"/>
        </w:rPr>
        <w:t xml:space="preserve">the droit de division </w:t>
      </w:r>
      <w:r>
        <w:rPr>
          <w:rFonts w:ascii="Times New Roman" w:hAnsi="Times New Roman"/>
          <w:sz w:val="20"/>
        </w:rPr>
        <w:t xml:space="preserve">or otherwise to require that any liability under any guarantee or indemnity given in or in connection with any Loan Document be divided or apportioned with any other person or reduced in any manner. </w:t>
      </w:r>
    </w:p>
    <w:p>
      <w:pPr>
        <w:pStyle w:val="TextBody"/>
        <w:bidi w:val="0"/>
        <w:spacing w:before="240" w:after="0"/>
        <w:jc w:val="left"/>
        <w:rPr>
          <w:rFonts w:ascii="Times New Roman" w:hAnsi="Times New Roman"/>
          <w:sz w:val="20"/>
        </w:rPr>
      </w:pPr>
      <w:r>
        <w:rPr>
          <w:rFonts w:ascii="Times New Roman" w:hAnsi="Times New Roman"/>
          <w:sz w:val="20"/>
        </w:rPr>
        <w:t xml:space="preserve">(b) This waiver applies irrespective of any law or any provision of a Loan Document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p>
    <w:p>
      <w:pPr>
        <w:pStyle w:val="TextBody"/>
        <w:bidi w:val="0"/>
        <w:spacing w:before="0" w:after="0"/>
        <w:jc w:val="center"/>
        <w:rPr>
          <w:rFonts w:ascii="Times New Roman" w:hAnsi="Times New Roman"/>
          <w:sz w:val="20"/>
        </w:rPr>
      </w:pPr>
      <w:r>
        <w:rPr>
          <w:rFonts w:ascii="Times New Roman" w:hAnsi="Times New Roman"/>
          <w:sz w:val="20"/>
        </w:rPr>
        <w:t>ARTICLE II</w:t>
      </w:r>
      <w:r>
        <w:rPr>
          <w:rFonts w:ascii="Times New Roman" w:hAnsi="Times New Roman"/>
          <w:sz w:val="20"/>
          <w:u w:val="single"/>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THE CREDITS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set forth herein, (a) each Term Lender agrees to make Initial Term Loans to the applicable Term Borrower (i) in one drawing in connection with the Transactions on the Effective Date and (ii) in one additional drawing as a Certain Funds Utilization in connection with the Refinancing on or after the Effective Date until the Initial Term Commitment Expiration Date, each denominated in dollars and in an aggregate principal amount not exceeding such Term Lender’s then unused Initial Term Commitment and (b) each Revolving Lender agrees to make Revolving Loans to the applicable Revolving Borrower denominated in dollars or an Alternative Currency from time to time during the Revolving Availability Period in an aggregate principal amount which will not result in such Revolving Lender’s Revolving Exposure exceeding such Revolving Lender’s Revolving Commitment. Within the foregoing limits and subject to the terms and conditions set forth herein, the Revolving Borrowers may borrow, prepay and reborrow Revolving Loans. Amounts repaid or prepaid in respect of Term Loans may not be reborrowed. </w:t>
      </w:r>
    </w:p>
    <w:p>
      <w:pPr>
        <w:pStyle w:val="TextBody"/>
        <w:bidi w:val="0"/>
        <w:spacing w:before="36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other than as expressly provided in </w:t>
      </w:r>
      <w:r>
        <w:rPr>
          <w:rFonts w:ascii="Times New Roman" w:hAnsi="Times New Roman"/>
          <w:sz w:val="20"/>
          <w:u w:val="single"/>
        </w:rPr>
        <w:t>Section 2.21(a)(iv)</w:t>
      </w:r>
      <w:r>
        <w:rPr>
          <w:rFonts w:ascii="Times New Roman" w:hAnsi="Times New Roman"/>
          <w:sz w:val="20"/>
        </w:rPr>
        <w:t xml:space="preserve"> with respect to a Defaulting Lender, no Lender shall be responsible for any other Lender’s failure to make Loans as required hereby.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2.13</w:t>
      </w:r>
      <w:r>
        <w:rPr>
          <w:rFonts w:ascii="Times New Roman" w:hAnsi="Times New Roman"/>
          <w:sz w:val="20"/>
        </w:rPr>
        <w:t xml:space="preserve">, each Revolving Borrowing and Term Borrowing shall be comprised entirely of ABR Loans or Eurodollar Loans as the Borrowers may request in accordance herewith. Each Swingline Loan shall be an ABR Loan. Each Revolving Borrowing in an Alternative Currency shall be a Eurodollar Loan. Each Lender at its option may make any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Borrowers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Eurodollar Borrowing, such Borrowing shall be in an aggregate amount that is an integral multiple of the Borrowing Multiple and not less than the Borrowing Minimum; </w:t>
      </w:r>
      <w:r>
        <w:rPr>
          <w:rFonts w:ascii="Times New Roman" w:hAnsi="Times New Roman"/>
          <w:sz w:val="20"/>
          <w:u w:val="single"/>
        </w:rPr>
        <w:t>provided</w:t>
      </w:r>
      <w:r>
        <w:rPr>
          <w:rFonts w:ascii="Times New Roman" w:hAnsi="Times New Roman"/>
          <w:sz w:val="20"/>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ten Eurodollar Borrowings outstanding. Notwithstanding anything to the contrary herein, an ABR Revolving Borrowing (including a Borrowing of Swingline Loans) may be in an aggregate amount equal to the entire unused balance of the aggregate Revolving Commitments (and/or the Swingline Commitments, as applicable) or that is required to finance the reimbursement of a LC Disbursement as contemplated by </w:t>
      </w:r>
      <w:r>
        <w:rPr>
          <w:rFonts w:ascii="Times New Roman" w:hAnsi="Times New Roman"/>
          <w:sz w:val="20"/>
          <w:u w:val="single"/>
        </w:rPr>
        <w:t>Section 2.04(f)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request a Revolving Borrowing or Term Borrowing, the applicable Borrower shall deliver by hand delivery, facsimile or other electronic transmission to the Administrative Agent a written Borrowing Request signed by the applicable Borrower substantially in the form of </w:t>
      </w:r>
      <w:r>
        <w:rPr>
          <w:rFonts w:ascii="Times New Roman" w:hAnsi="Times New Roman"/>
          <w:sz w:val="20"/>
          <w:u w:val="single"/>
        </w:rPr>
        <w:t>Exhibit T</w:t>
      </w:r>
      <w:r>
        <w:rPr>
          <w:rFonts w:ascii="Times New Roman" w:hAnsi="Times New Roman"/>
          <w:sz w:val="20"/>
        </w:rPr>
        <w:t xml:space="preserve"> (a) in the case of a Eurodollar Borrowing in dollars, not later than 2:00 p.m., New York City time, three (3) Business Days before the date of the proposed Borrowing (or, in the case of any Eurodollar Borrowing in dollars to be made on the Effective Date or in the sole discretion of the Administrative Agent, one (1) Business Day), (b) in the case of a Eurodollar Borrowing in an Alternative Currency other than Yen, not later than 2:00 p.m., New York City time, four (4) Business Days before the date of the proposed Borrowing (or any shorter period agreed by the Administrative Agent and the Revolving Lenders in their sole discretion), (c) in the case of a Eurodollar Borrowing in Yen, not later than 2:00 p.m., New York City time, five (5) Business Days before the date of the proposed Borrowing (or any shorter period agreed by the Administrative Agent and the Revolving Lenders in their sole discretion) or (d) in the case of an ABR Borrowing, not later than 11:00 a.m., New York City time, on the date of the proposed Borrowing. Each such written Borrowing Request shall specify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 specifying the Class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or a Eurodollar Borrowing;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Eurodollar Borrowing, the initial Interest Period to be applicable thereto, which shall be a period contemplated by the definition of the term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(vi) in the case of a Borrowing of Revolving Loans, the currency of such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(vii) the location and number of the applicable Borrower’s account or accounts to which funds are to be disbursed, which shall comply with the requirements of </w:t>
      </w:r>
      <w:r>
        <w:rPr>
          <w:rFonts w:ascii="Times New Roman" w:hAnsi="Times New Roman"/>
          <w:sz w:val="20"/>
          <w:u w:val="single"/>
        </w:rPr>
        <w:t>Section 2.05</w:t>
      </w:r>
      <w:r>
        <w:rPr>
          <w:rFonts w:ascii="Times New Roman" w:hAnsi="Times New Roman"/>
          <w:sz w:val="20"/>
        </w:rPr>
        <w:t xml:space="preserve">, or, in the case of any ABR Revolving Borrowing or Swingline Loan requested to finance the reimbursement of an LC Disbursement as provided in </w:t>
      </w:r>
      <w:r>
        <w:rPr>
          <w:rFonts w:ascii="Times New Roman" w:hAnsi="Times New Roman"/>
          <w:sz w:val="20"/>
          <w:u w:val="single"/>
        </w:rPr>
        <w:t>Section 2.04(f)</w:t>
      </w:r>
      <w:r>
        <w:rPr>
          <w:rFonts w:ascii="Times New Roman" w:hAnsi="Times New Roman"/>
          <w:sz w:val="20"/>
        </w:rPr>
        <w:t xml:space="preserve">, the identity of the Issuing Bank that made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(viii) that as of the date of such Borrowing, with respect to any other Borrowing after the Effective Date (other than a Certain Funds Utilization), the conditions set forth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4.02(b)</w:t>
      </w:r>
      <w:r>
        <w:rPr>
          <w:rFonts w:ascii="Times New Roman" w:hAnsi="Times New Roman"/>
          <w:sz w:val="20"/>
        </w:rPr>
        <w:t xml:space="preserve"> are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(ix) that as of the date of such Borrowing, only in respect of a Certain Funds Utilization, the conditions set forth in clauses (i) and (k) of </w:t>
      </w:r>
      <w:r>
        <w:rPr>
          <w:rFonts w:ascii="Times New Roman" w:hAnsi="Times New Roman"/>
          <w:sz w:val="20"/>
          <w:u w:val="single"/>
        </w:rPr>
        <w:t>Section 4.01</w:t>
      </w:r>
      <w:r>
        <w:rPr>
          <w:rFonts w:ascii="Times New Roman" w:hAnsi="Times New Roman"/>
          <w:sz w:val="20"/>
        </w:rPr>
        <w:t xml:space="preserve"> are satisfied.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Borrowing is specified as to any Borrowing, then the requested Borrowing shall be a Eurodollar Borrowing. If no Interest Period is specified with respect to any requested Eurodollar Borrowing, then the applicable Borrower shall be deemed to have selected an Interest Period of one month’s duration. Promptly following receipt of a Borrowing Request in accordance with this </w:t>
      </w:r>
      <w:r>
        <w:rPr>
          <w:rFonts w:ascii="Times New Roman" w:hAnsi="Times New Roman"/>
          <w:sz w:val="20"/>
          <w:u w:val="single"/>
        </w:rPr>
        <w:t>Section 2.03</w:t>
      </w:r>
      <w:r>
        <w:rPr>
          <w:rFonts w:ascii="Times New Roman" w:hAnsi="Times New Roman"/>
          <w:sz w:val="20"/>
        </w:rPr>
        <w:t xml:space="preserve">, the Administrative Agent shall advise each Lender of the applicable Class of the details thereof and of the amount of such Lender’s Loan to be made as part of the requested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terms and conditions set forth herein (including </w:t>
      </w:r>
      <w:r>
        <w:rPr>
          <w:rFonts w:ascii="Times New Roman" w:hAnsi="Times New Roman"/>
          <w:sz w:val="20"/>
          <w:u w:val="single"/>
        </w:rPr>
        <w:t>Section 2.21</w:t>
      </w:r>
      <w:r>
        <w:rPr>
          <w:rFonts w:ascii="Times New Roman" w:hAnsi="Times New Roman"/>
          <w:sz w:val="20"/>
        </w:rPr>
        <w:t xml:space="preserve">), each Issuing Bank agrees, in reliance upon the agreements of the Revolving Lenders (with respect to Letters of Credit) and the Revolving Borrowers set forth in this </w:t>
      </w:r>
      <w:r>
        <w:rPr>
          <w:rFonts w:ascii="Times New Roman" w:hAnsi="Times New Roman"/>
          <w:sz w:val="20"/>
          <w:u w:val="single"/>
        </w:rPr>
        <w:t>Section 2.04</w:t>
      </w:r>
      <w:r>
        <w:rPr>
          <w:rFonts w:ascii="Times New Roman" w:hAnsi="Times New Roman"/>
          <w:sz w:val="20"/>
        </w:rPr>
        <w:t xml:space="preserve"> and elsewhere in the Loan Documents, to issue Letters of Credit denominated in dollars or an Alternative Currency for the applicable Revolving Borrower’s own account (or for the account of any Subsidiary of Bidco so long as Bidco is an obligor in respect of all Loan Document Obligations arising under or in respect of such Letter of Credit), in a form reasonably acceptable to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Bidco to, or entered into by any Revolving Borrower with, the applicable Issuing Bank relating to any Letter of Credit, including the Existing Letters of Credit,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Amendment, Renewal or Extension; Certain Conditions</w:t>
      </w:r>
      <w:r>
        <w:rPr>
          <w:rFonts w:ascii="Times New Roman" w:hAnsi="Times New Roman"/>
          <w:sz w:val="20"/>
        </w:rPr>
        <w:t xml:space="preserve">. To request the issuance of a Letter of Credit (or the amendment, renewal or extension of an outstanding Letter of Credit), the applicable Revolving Borrower shall deliver in writing by hand delivery or facsimile (or transmit by electronic communication, if arrangements for doing so have been approved by the recipient) to the applicable Issuing Bank and the Administrative Agent (at least four (4)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w:t>
      </w:r>
      <w:r>
        <w:rPr>
          <w:rFonts w:ascii="Times New Roman" w:hAnsi="Times New Roman"/>
          <w:sz w:val="20"/>
          <w:u w:val="single"/>
        </w:rPr>
        <w:t>Section 2.04</w:t>
      </w:r>
      <w:r>
        <w:rPr>
          <w:rFonts w:ascii="Times New Roman" w:hAnsi="Times New Roman"/>
          <w:sz w:val="20"/>
        </w:rPr>
        <w:t xml:space="preserve">), the amount and currency of such Letter of Credit, the name and address of the beneficiary thereof and such other information as shall be necessary to prepare, amend, renew or extend, as the case may be, such Letter of Credit. Each such notice shall be in the form of </w:t>
      </w:r>
      <w:r>
        <w:rPr>
          <w:rFonts w:ascii="Times New Roman" w:hAnsi="Times New Roman"/>
          <w:sz w:val="20"/>
          <w:u w:val="single"/>
        </w:rPr>
        <w:t>Exhibit U</w:t>
      </w:r>
      <w:r>
        <w:rPr>
          <w:rFonts w:ascii="Times New Roman" w:hAnsi="Times New Roman"/>
          <w:sz w:val="20"/>
        </w:rPr>
        <w:t>, appropriately completed (each, a “</w:t>
      </w:r>
      <w:r>
        <w:rPr>
          <w:rFonts w:ascii="Times New Roman" w:hAnsi="Times New Roman"/>
          <w:sz w:val="20"/>
          <w:u w:val="single"/>
        </w:rPr>
        <w:t>Letter of Credit Request</w:t>
      </w:r>
      <w:r>
        <w:rPr>
          <w:rFonts w:ascii="Times New Roman" w:hAnsi="Times New Roman"/>
          <w:sz w:val="20"/>
        </w:rPr>
        <w:t xml:space="preserve">”). If requested by the applicable Issuing Bank, the applicable Revolving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applicable Revolving Borrower shall be deemed to represent and warrant that), after giving effect to such issuance, amendment, renewal or extension, (i) the aggregate Revolving Exposures shall not exceed the aggregate Revolving Commitments, (ii) the aggregate LC Exposure shall not exceed the Letter of Credit Sublimit, and (iii) unless otherwise agreed by such Issuing Bank in its sole discretion, the Applicable Fronting Exposure of such Issuing Bank (or of such Issuing Bank’s applicable affiliate) shall not exceed the LC Commitment of such Issuing Bank.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p>
    <w:p>
      <w:pPr>
        <w:pStyle w:val="TextBody"/>
        <w:bidi w:val="0"/>
        <w:spacing w:before="0" w:after="0"/>
        <w:jc w:val="left"/>
        <w:rPr>
          <w:rFonts w:ascii="Times New Roman" w:hAnsi="Times New Roman"/>
          <w:sz w:val="20"/>
        </w:rPr>
      </w:pPr>
      <w:r>
        <w:rPr>
          <w:rFonts w:ascii="Times New Roman" w:hAnsi="Times New Roman"/>
          <w:sz w:val="20"/>
        </w:rPr>
        <w:t xml:space="preserve">which such Issuing Bank in good faith deems material to it, (ii) the issuance of such Letter of Credit would violate one or more policies of such Issuing Bank now or hereafter in effect and applicable to letters of credit generally, (iii) such Letter of Credit is to be denominated in a currency other than dollars or an Alternative Currency, (iv) except as otherwise agreed by the Administrative Agent and such Issuing Bank, the Letter of Credit is in an initial stated amount less than $100,000, in the case of a commercial Letter of Credit, or $500,000, in the case of a standby Letter of Credit, or (v) with respect to Letters of Credit, any Lender is at that time a Defaulting Lender, if after giving effect to </w:t>
      </w:r>
      <w:r>
        <w:rPr>
          <w:rFonts w:ascii="Times New Roman" w:hAnsi="Times New Roman"/>
          <w:sz w:val="20"/>
          <w:u w:val="single"/>
        </w:rPr>
        <w:t>Section 2.21(a)(iv)</w:t>
      </w:r>
      <w:r>
        <w:rPr>
          <w:rFonts w:ascii="Times New Roman" w:hAnsi="Times New Roman"/>
          <w:sz w:val="20"/>
        </w:rPr>
        <w:t xml:space="preserve">, any Defaulting Lender Fronting Exposure remains outstanding, unless such Issuing Bank has entered into arrangements, including the delivery of cash collateral, reasonably satisfactory to such Issuing Bank with the applicable Revolving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Notwithstanding anything to the contrary herein, Barclays and UBS AG, Stamford Branch and their respective Affiliates shall not be under any obligation to issue bank guarantees or commercial Letters of Credit without their prior written consent. The Existing Letters of Credit shall, as of the Effective Date, be deemed to have been issued as Letters of Credit hereunder and subject to and governed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Each Issuing Bank agrees that it shall not permit any issuance, amendment, renewal or extension of a Letter of Credit to occur unless it shall have given to the Administrative Agent written notice thereof required under paragraph (m)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 Date</w:t>
      </w:r>
      <w:r>
        <w:rPr>
          <w:rFonts w:ascii="Times New Roman" w:hAnsi="Times New Roman"/>
          <w:sz w:val="20"/>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the fifth (5th) Business Day prior to the Revolving Maturity Date; </w:t>
      </w:r>
      <w:r>
        <w:rPr>
          <w:rFonts w:ascii="Times New Roman" w:hAnsi="Times New Roman"/>
          <w:sz w:val="20"/>
          <w:u w:val="single"/>
        </w:rPr>
        <w:t>provided</w:t>
      </w:r>
      <w:r>
        <w:rPr>
          <w:rFonts w:ascii="Times New Roman" w:hAnsi="Times New Roman"/>
          <w:sz w:val="20"/>
        </w:rPr>
        <w:t xml:space="preserve"> that if such expiry date is not a Business Day, such Letter of Credit shall expire at or prior to the close of business on the next succeeding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Letter of Credit may, upon the request of a Revolving Borrower, include a provision whereby such Letter of Credit shall be renewed or extended automatically for additional consecutive periods of one year or less (but not beyond the date that is the fifth (5th) Business Day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Participations in Letters of Credit</w:t>
      </w:r>
      <w:r>
        <w:rPr>
          <w:rFonts w:ascii="Times New Roman" w:hAnsi="Times New Roman"/>
          <w:sz w:val="20"/>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p>
    <w:p>
      <w:pPr>
        <w:pStyle w:val="TextBody"/>
        <w:bidi w:val="0"/>
        <w:spacing w:before="0" w:after="0"/>
        <w:jc w:val="left"/>
        <w:rPr>
          <w:rFonts w:ascii="Times New Roman" w:hAnsi="Times New Roman"/>
          <w:sz w:val="20"/>
        </w:rPr>
      </w:pPr>
      <w:r>
        <w:rPr>
          <w:rFonts w:ascii="Times New Roman" w:hAnsi="Times New Roman"/>
          <w:sz w:val="20"/>
        </w:rPr>
        <w:t xml:space="preserve">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Revolving Borrowers on the date due as provided in paragraph (f) of this </w:t>
      </w:r>
      <w:r>
        <w:rPr>
          <w:rFonts w:ascii="Times New Roman" w:hAnsi="Times New Roman"/>
          <w:sz w:val="20"/>
          <w:u w:val="single"/>
        </w:rPr>
        <w:t>Section 2.04</w:t>
      </w:r>
      <w:r>
        <w:rPr>
          <w:rFonts w:ascii="Times New Roman" w:hAnsi="Times New Roman"/>
          <w:sz w:val="20"/>
        </w:rPr>
        <w:t xml:space="preserve">, or of any reimbursement payment required to be refunded to the Revolving Borrowers for any reason.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Reimbursement of LC Disbursements</w:t>
      </w:r>
      <w:r>
        <w:rPr>
          <w:rFonts w:ascii="Times New Roman" w:hAnsi="Times New Roman"/>
          <w:sz w:val="20"/>
        </w:rPr>
        <w:t>. If an Issuing Bank shall make any LC Disbursement in respect of a Letter of Credit, the Revolving Borrowers shall reimburse such LC Disbursement by paying to the Administrative Agent an amount (in same day funds) equal to such LC Disbursement not later than 1:00 p.m., New York City time, on the Business Day immediately following the day that the applicable Revolving Borrower receives notice of such LC Disbursement (the “</w:t>
      </w:r>
      <w:r>
        <w:rPr>
          <w:rFonts w:ascii="Times New Roman" w:hAnsi="Times New Roman"/>
          <w:sz w:val="20"/>
          <w:u w:val="single"/>
        </w:rPr>
        <w:t>LC Reimbursement Date</w:t>
      </w:r>
      <w:r>
        <w:rPr>
          <w:rFonts w:ascii="Times New Roman" w:hAnsi="Times New Roman"/>
          <w:sz w:val="20"/>
        </w:rPr>
        <w:t xml:space="preserve">”), together with accrued interest or fees thereon in accordance with clause (i) of this </w:t>
      </w:r>
      <w:r>
        <w:rPr>
          <w:rFonts w:ascii="Times New Roman" w:hAnsi="Times New Roman"/>
          <w:sz w:val="20"/>
          <w:u w:val="single"/>
        </w:rPr>
        <w:t>Section 2.04</w:t>
      </w:r>
      <w:r>
        <w:rPr>
          <w:rFonts w:ascii="Times New Roman" w:hAnsi="Times New Roman"/>
          <w:sz w:val="20"/>
        </w:rPr>
        <w:t xml:space="preserve">. Each reimbursement of an LC Disbursement shall be denominated in the currency in which such LC Disbursement was made. Anything contained herein to the contrary notwithstanding, (i) unless the Revolving Borrowers shall have notified the Administrative Agent and the applicable Issuing Bank prior to 1:00 p.m., New York City time, on the date such LC Disbursement is made that the applicable Revolving Borrower intends to reimburse the applicable Issuing Bank for the amount of the LC Disbursement (including any accrued interest or fees thereon) with funds other than the proceeds of Revolving Loans, the applicable Revolving Borrower shall be deemed to have given a timely Borrowing Request to the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w:t>
      </w:r>
      <w:r>
        <w:rPr>
          <w:rFonts w:ascii="Times New Roman" w:hAnsi="Times New Roman"/>
          <w:sz w:val="20"/>
          <w:u w:val="single"/>
        </w:rPr>
        <w:t>Section 4.02</w:t>
      </w:r>
      <w:r>
        <w:rPr>
          <w:rFonts w:ascii="Times New Roman" w:hAnsi="Times New Roman"/>
          <w:sz w:val="20"/>
        </w:rPr>
        <w:t xml:space="preserve">,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 the amount of such LC Disbursement (together with any accrued interest or fees thereon); </w:t>
      </w:r>
      <w:r>
        <w:rPr>
          <w:rFonts w:ascii="Times New Roman" w:hAnsi="Times New Roman"/>
          <w:sz w:val="20"/>
          <w:u w:val="single"/>
        </w:rPr>
        <w:t>provided</w:t>
      </w:r>
      <w:r>
        <w:rPr>
          <w:rFonts w:ascii="Times New Roman" w:hAnsi="Times New Roman"/>
          <w:sz w:val="20"/>
        </w:rPr>
        <w:t xml:space="preserve"> that if for any reason proceeds of Revolving Loans are not received by the applicable Issuing Bank on the LC Reimbursement Date in an amount equal to such LC Disbursement (together with any accrued interest or fees thereon), the Revolving Borrowers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The Revolving Borrowers’ obligation to reimburse LC Disbursements as provided in paragraph (f) of this</w:t>
      </w:r>
      <w:r>
        <w:rPr>
          <w:rFonts w:ascii="Times New Roman" w:hAnsi="Times New Roman"/>
          <w:sz w:val="20"/>
          <w:u w:val="single"/>
        </w:rPr>
        <w:t xml:space="preserve"> Section 2.04</w:t>
      </w:r>
      <w:r>
        <w:rPr>
          <w:rFonts w:ascii="Times New Roman" w:hAnsi="Times New Roman"/>
          <w:sz w:val="20"/>
        </w:rPr>
        <w:t xml:space="preserve">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Revolving Borrowers or any Lender may have at any time against a beneficiary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p>
    <w:p>
      <w:pPr>
        <w:pStyle w:val="TextBody"/>
        <w:bidi w:val="0"/>
        <w:spacing w:before="0" w:after="0"/>
        <w:jc w:val="left"/>
        <w:rPr>
          <w:rFonts w:ascii="Times New Roman" w:hAnsi="Times New Roman"/>
          <w:sz w:val="20"/>
        </w:rPr>
      </w:pPr>
      <w:r>
        <w:rPr>
          <w:rFonts w:ascii="Times New Roman" w:hAnsi="Times New Roman"/>
          <w:sz w:val="20"/>
        </w:rPr>
        <w:t>transferee of any Letter of Credit (or any Persons for whom any such transferee may be acting), any Issuing Bank, any Lender or any other Person or, in the case of a Lender, against the Revolving Borrowers, whether in connection herewith, the transactions contemplated herein or any unrelated transaction (including any underlying transaction between Bidco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strictly with the terms of such Letter of Credit (</w:t>
      </w:r>
      <w:r>
        <w:rPr>
          <w:rFonts w:ascii="Times New Roman" w:hAnsi="Times New Roman"/>
          <w:sz w:val="20"/>
          <w:u w:val="single"/>
        </w:rPr>
        <w:t>provided</w:t>
      </w:r>
      <w:r>
        <w:rPr>
          <w:rFonts w:ascii="Times New Roman" w:hAnsi="Times New Roman"/>
          <w:sz w:val="20"/>
        </w:rPr>
        <w:t xml:space="preserve"> that the Revolving Borrowers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Times New Roman" w:hAnsi="Times New Roman"/>
          <w:sz w:val="20"/>
          <w:u w:val="single"/>
        </w:rPr>
        <w:t>Section 2.04</w:t>
      </w:r>
      <w:r>
        <w:rPr>
          <w:rFonts w:ascii="Times New Roman" w:hAnsi="Times New Roman"/>
          <w:sz w:val="20"/>
        </w:rPr>
        <w:t xml:space="preserve">, constitute a legal or equitable discharge of, or provide a right of setoff against, the Revolving Borrowers’ obligations hereunder. As between the Revolving Borrowers and any Issuing Bank, the Revolving Borrowers assume all risks of the acts and omissions of, or misuse of the Letters of Credit issued by such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Revolving Borrowers or any other Person. Notwithstanding the foregoing, none of the above shall be construed to excuse any Issuing Bank from liability to the Revolving Borrowers to the extent of any direct damages (as opposed to special, indirect, consequential, incidental, exemplary or punitive damages, claims in respect of which are hereby waived by the Revolving Borrowers to the extent permitted by Requirements of Law) suffered by the Revolving Borrowers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p>
    <w:p>
      <w:pPr>
        <w:pStyle w:val="TextBody"/>
        <w:bidi w:val="0"/>
        <w:spacing w:before="0" w:after="0"/>
        <w:jc w:val="left"/>
        <w:rPr>
          <w:rFonts w:ascii="Times New Roman" w:hAnsi="Times New Roman"/>
          <w:sz w:val="20"/>
        </w:rPr>
      </w:pPr>
      <w:r>
        <w:rPr>
          <w:rFonts w:ascii="Times New Roman" w:hAnsi="Times New Roman"/>
          <w:sz w:val="20"/>
        </w:rPr>
        <w:t xml:space="preserve">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Disbursement Procedures</w:t>
      </w:r>
      <w:r>
        <w:rPr>
          <w:rFonts w:ascii="Times New Roman" w:hAnsi="Times New Roman"/>
          <w:sz w:val="20"/>
        </w:rPr>
        <w:t xml:space="preserve">. Each Issuing Bank shall, promptly following its receipt thereof, examine all documents purporting to represent a demand for payment under a Letter of Credit. Each Issuing Bank shall promptly notify the Administrative Agent and the Revolving Borrowers by hand delivery or facsimile of such demand for payment and whether such Issuing Bank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Revolving Borrowers of their obligations to reimburse such Issuing Bank and the Revolving Lenders with respect to any such LC Disbursement in accordance with paragraph (f)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Interim Interest</w:t>
      </w:r>
      <w:r>
        <w:rPr>
          <w:rFonts w:ascii="Times New Roman" w:hAnsi="Times New Roman"/>
          <w:sz w:val="20"/>
        </w:rPr>
        <w:t>. If an Issuing Bank shall make any LC Disbursement, then, unless the Revolving Borrowers shall reimburse such LC Disbursement in full on the date such LC Disbursement is made, the unpaid amount thereof shall bear interest, for each day from and including the date such LC Disbursement is made to but excluding the date that the Revolving Borrowers reimburse such LC Disbursement, at the rate per annum then applicable to ABR Revolving Loans or, if such LC Disbursement is not denominated in dollars, at a rate per annum then applicable to Revolving Loans denominated in such currency;</w:t>
      </w:r>
      <w:r>
        <w:rPr>
          <w:rFonts w:ascii="Times New Roman" w:hAnsi="Times New Roman"/>
          <w:sz w:val="20"/>
          <w:u w:val="single"/>
        </w:rPr>
        <w:t xml:space="preserve"> provided</w:t>
      </w:r>
      <w:r>
        <w:rPr>
          <w:rFonts w:ascii="Times New Roman" w:hAnsi="Times New Roman"/>
          <w:sz w:val="20"/>
        </w:rPr>
        <w:t xml:space="preserve"> that, if the Revolving Borrowers fail to reimburse such LC Disbursement when due pursuant to paragraph (f) of this </w:t>
      </w:r>
      <w:r>
        <w:rPr>
          <w:rFonts w:ascii="Times New Roman" w:hAnsi="Times New Roman"/>
          <w:sz w:val="20"/>
          <w:u w:val="single"/>
        </w:rPr>
        <w:t>Section 2.04</w:t>
      </w:r>
      <w:r>
        <w:rPr>
          <w:rFonts w:ascii="Times New Roman" w:hAnsi="Times New Roman"/>
          <w:sz w:val="20"/>
        </w:rPr>
        <w:t xml:space="preserve">, then </w:t>
      </w:r>
      <w:r>
        <w:rPr>
          <w:rFonts w:ascii="Times New Roman" w:hAnsi="Times New Roman"/>
          <w:sz w:val="20"/>
          <w:u w:val="single"/>
        </w:rPr>
        <w:t>Section 2.12(c)</w:t>
      </w:r>
      <w:r>
        <w:rPr>
          <w:rFonts w:ascii="Times New Roman" w:hAnsi="Times New Roman"/>
          <w:sz w:val="20"/>
        </w:rPr>
        <w:t xml:space="preserve"> 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Times New Roman" w:hAnsi="Times New Roman"/>
          <w:sz w:val="20"/>
          <w:u w:val="single"/>
        </w:rPr>
        <w:t>Section 2.04</w:t>
      </w:r>
      <w:r>
        <w:rPr>
          <w:rFonts w:ascii="Times New Roman" w:hAnsi="Times New Roman"/>
          <w:sz w:val="20"/>
        </w:rPr>
        <w:t xml:space="preserve"> to reimburse such Issuing Bank shall be for the account of such Lender to the extent of such payment and shall be payable on demand or, if no demand has been made, on the date on which the Revolving Borrowers reimburse the applicable LC Disbursement in full.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 of Letters of Credit</w:t>
      </w:r>
      <w:r>
        <w:rPr>
          <w:rFonts w:ascii="Times New Roman" w:hAnsi="Times New Roman"/>
          <w:sz w:val="20"/>
        </w:rPr>
        <w:t xml:space="preserve">.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w:t>
      </w:r>
      <w:r>
        <w:rPr>
          <w:rFonts w:ascii="Times New Roman" w:hAnsi="Times New Roman"/>
          <w:sz w:val="20"/>
          <w:u w:val="single"/>
        </w:rPr>
        <w:t>Section 7.01</w:t>
      </w:r>
      <w:r>
        <w:rPr>
          <w:rFonts w:ascii="Times New Roman" w:hAnsi="Times New Roman"/>
          <w:sz w:val="20"/>
        </w:rPr>
        <w:t xml:space="preserve">, or (iii) any Event of Default under paragraph (a) or (b) of </w:t>
      </w:r>
      <w:r>
        <w:rPr>
          <w:rFonts w:ascii="Times New Roman" w:hAnsi="Times New Roman"/>
          <w:sz w:val="20"/>
          <w:u w:val="single"/>
        </w:rPr>
        <w:t>Section 7.01</w:t>
      </w:r>
      <w:r>
        <w:rPr>
          <w:rFonts w:ascii="Times New Roman" w:hAnsi="Times New Roman"/>
          <w:sz w:val="20"/>
        </w:rPr>
        <w:t xml:space="preserve"> shall occur and be continuing, on the Business Day on which the Revolving Borrowers receive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Revolving Borrowers shall deposit in an account with a depositary bank that is a Lender reasonably satisfactory to the Collateral Agent, in the name of the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equal to the portions of the LC Exposure attributable to Letters of Credit, as of such date plus any accrued and unpaid interest thereon. The Revolving Borrowers also shall deposit cash collateral pursuant to this paragraph as and to the extent required by </w:t>
      </w:r>
      <w:r>
        <w:rPr>
          <w:rFonts w:ascii="Times New Roman" w:hAnsi="Times New Roman"/>
          <w:sz w:val="20"/>
          <w:u w:val="single"/>
        </w:rPr>
        <w:t>Section 2.10(b)</w:t>
      </w:r>
      <w:r>
        <w:rPr>
          <w:rFonts w:ascii="Times New Roman" w:hAnsi="Times New Roman"/>
          <w:sz w:val="20"/>
        </w:rPr>
        <w:t xml:space="preserve">. Each such deposit shall be held by the Administrative Agent as collateral for the payment and performance of the obligations of the Revolving Borrowers under this Agreement and the other Loan Documents. At any time that there shall exist a Defaulting Lender, if any Defaulting Lender Fronting Exposure remains outstanding (after giving effect to </w:t>
      </w:r>
      <w:r>
        <w:rPr>
          <w:rFonts w:ascii="Times New Roman" w:hAnsi="Times New Roman"/>
          <w:sz w:val="20"/>
          <w:u w:val="single"/>
        </w:rPr>
        <w:t>Section 2.21(a)(iv)</w:t>
      </w:r>
      <w:r>
        <w:rPr>
          <w:rFonts w:ascii="Times New Roman" w:hAnsi="Times New Roman"/>
          <w:sz w:val="20"/>
        </w:rPr>
        <w:t xml:space="preserve">), then promptly upon the request of the Administrative Agent or the Issuing Bank or the Swingline Lender, the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p>
    <w:p>
      <w:pPr>
        <w:pStyle w:val="TextBody"/>
        <w:bidi w:val="0"/>
        <w:spacing w:before="0" w:after="0"/>
        <w:jc w:val="left"/>
        <w:rPr>
          <w:rFonts w:ascii="Times New Roman" w:hAnsi="Times New Roman"/>
          <w:sz w:val="20"/>
        </w:rPr>
      </w:pPr>
      <w:r>
        <w:rPr>
          <w:rFonts w:ascii="Times New Roman" w:hAnsi="Times New Roman"/>
          <w:sz w:val="20"/>
        </w:rPr>
        <w:t xml:space="preserve">Borrowers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Revolving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first to reimburse the Issuing Banks for LC Disbursements for which they have not been reimbursed and, to the extent not so applied, the balance shall be held for the satisfaction of the reimbursement obligations of the Revolving Borrowers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Revolving Borrowers under this Agreement. If the Revolving Borrowers are required to provide an amount of cash collateral hereunder as a result of the occurrence of an Event of Default or the existence of a Defaulting Lender, such amount (to the extent not applied as aforesaid) shall be returned to the Revolving Borrowers within three Business Days of request for such return after all Events of Default have been cured or waived or after the termination of Defaulting Lender status, as applicable. If the Revolving Borrowers are required to provide an amount of cash collateral hereunder pursuant to </w:t>
      </w:r>
      <w:r>
        <w:rPr>
          <w:rFonts w:ascii="Times New Roman" w:hAnsi="Times New Roman"/>
          <w:sz w:val="20"/>
          <w:u w:val="single"/>
        </w:rPr>
        <w:t>Section 2.10(b)</w:t>
      </w:r>
      <w:r>
        <w:rPr>
          <w:rFonts w:ascii="Times New Roman" w:hAnsi="Times New Roman"/>
          <w:sz w:val="20"/>
        </w:rPr>
        <w:t xml:space="preserve">, such amount (to the extent not applied as aforesaid) shall be returned to the Revolving Borrowers as and to the extent that, after giving effect to such return, the Revolving Borrowers would remain in compliance with </w:t>
      </w:r>
      <w:r>
        <w:rPr>
          <w:rFonts w:ascii="Times New Roman" w:hAnsi="Times New Roman"/>
          <w:sz w:val="20"/>
          <w:u w:val="single"/>
        </w:rPr>
        <w:t>Section 2.10(b)</w:t>
      </w:r>
      <w:r>
        <w:rPr>
          <w:rFonts w:ascii="Times New Roman" w:hAnsi="Times New Roman"/>
          <w:sz w:val="20"/>
        </w:rPr>
        <w:t xml:space="preserve"> and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Designation of Additional Issuing Banks</w:t>
      </w:r>
      <w:r>
        <w:rPr>
          <w:rFonts w:ascii="Times New Roman" w:hAnsi="Times New Roman"/>
          <w:sz w:val="20"/>
        </w:rPr>
        <w:t xml:space="preserve">. Bidco and the Revolving Borrowers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Bidco and the Revolving Borrowers, executed by the Revolving Borrowers,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Resignation or Termination of an Issuing Bank</w:t>
      </w:r>
      <w:r>
        <w:rPr>
          <w:rFonts w:ascii="Times New Roman" w:hAnsi="Times New Roman"/>
          <w:sz w:val="20"/>
        </w:rPr>
        <w:t xml:space="preserve">. Subject to the appointment and acceptance of a successor Issuing Bank reasonably acceptable to Bidco, any Issuing Bank may resign at any time by giving thirty (30) days’ written notice to the Administrative Agent, the Lenders, Bidco and the Revolving Borrowers. Bidco and the Revolving Borrowers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Revolving Borrowers shall pay all unpaid fees accrued for the account of the resigning or terminated Issuing Bank pursuant to </w:t>
      </w:r>
      <w:r>
        <w:rPr>
          <w:rFonts w:ascii="Times New Roman" w:hAnsi="Times New Roman"/>
          <w:sz w:val="20"/>
          <w:u w:val="single"/>
        </w:rPr>
        <w:t>Section 2.11(b)</w:t>
      </w:r>
      <w:r>
        <w:rPr>
          <w:rFonts w:ascii="Times New Roman" w:hAnsi="Times New Roman"/>
          <w:sz w:val="20"/>
        </w:rPr>
        <w:t xml:space="preserve">.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Issuing Bank Reports to the Administrative Agent</w:t>
      </w:r>
      <w:r>
        <w:rPr>
          <w:rFonts w:ascii="Times New Roman" w:hAnsi="Times New Roman"/>
          <w:sz w:val="20"/>
        </w:rPr>
        <w:t xml:space="preserve">. Unless otherwise agreed by the Administrative Agent, each Issuing Bank shall, in addition to its notification obligations set forth elsewhere in this </w:t>
      </w:r>
      <w:r>
        <w:rPr>
          <w:rFonts w:ascii="Times New Roman" w:hAnsi="Times New Roman"/>
          <w:sz w:val="20"/>
          <w:u w:val="single"/>
        </w:rPr>
        <w:t>Section 2.04</w:t>
      </w:r>
      <w:r>
        <w:rPr>
          <w:rFonts w:ascii="Times New Roman" w:hAnsi="Times New Roman"/>
          <w:sz w:val="20"/>
        </w:rPr>
        <w:t xml:space="preserve">,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Revolving Borrowers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Times New Roman" w:hAnsi="Times New Roman"/>
          <w:sz w:val="20"/>
          <w:u w:val="single"/>
        </w:rPr>
        <w:t>provided</w:t>
      </w:r>
      <w:r>
        <w:rPr>
          <w:rFonts w:ascii="Times New Roman" w:hAnsi="Times New Roman"/>
          <w:sz w:val="20"/>
        </w:rPr>
        <w:t xml:space="preserve"> that no Issuing Bank shall have any liability hereunder to any Person for any failure to deliver the reports contemplated by this paragraph (m)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Applicability of ISP and UCP</w:t>
      </w:r>
      <w:r>
        <w:rPr>
          <w:rFonts w:ascii="Times New Roman" w:hAnsi="Times New Roman"/>
          <w:sz w:val="20"/>
        </w:rPr>
        <w:t xml:space="preserve">. Unless otherwise expressly agreed by the applicable Issuing Bank and the Revolving Borrowers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Revolving Borrowers for, and the applicable Issuing Bank’s rights and remedies against the Revolving Borrowers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 </w:t>
      </w:r>
    </w:p>
    <w:p>
      <w:pPr>
        <w:pStyle w:val="TextBody"/>
        <w:bidi w:val="0"/>
        <w:spacing w:before="36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each Loan to be made by it hereunder on the proposed date thereof by wire transfer of immediately available funds by 12:00 noon (and in the case of ABR Loans, 2:00 p.m.), New York City time, to the Applicable Account of the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w:t>
      </w:r>
      <w:r>
        <w:rPr>
          <w:rFonts w:ascii="Times New Roman" w:hAnsi="Times New Roman"/>
          <w:sz w:val="20"/>
          <w:u w:val="single"/>
        </w:rPr>
        <w:t>Section 2.24</w:t>
      </w:r>
      <w:r>
        <w:rPr>
          <w:rFonts w:ascii="Times New Roman" w:hAnsi="Times New Roman"/>
          <w:sz w:val="20"/>
        </w:rPr>
        <w:t xml:space="preserve">. The Administrative Agent will make such Loans available to the Borrowers by promptly crediting the amounts so received, in like funds, to an account of the applicable Borrower designated by the applicable Borrower in the applicable Borrowing Request; </w:t>
      </w:r>
      <w:r>
        <w:rPr>
          <w:rFonts w:ascii="Times New Roman" w:hAnsi="Times New Roman"/>
          <w:sz w:val="20"/>
          <w:u w:val="single"/>
        </w:rPr>
        <w:t>provided</w:t>
      </w:r>
      <w:r>
        <w:rPr>
          <w:rFonts w:ascii="Times New Roman" w:hAnsi="Times New Roman"/>
          <w:sz w:val="20"/>
        </w:rPr>
        <w:t xml:space="preserve"> that ABR Revolving Loans made to finance the reimbursement of a LC Disbursement as provided in </w:t>
      </w:r>
      <w:r>
        <w:rPr>
          <w:rFonts w:ascii="Times New Roman" w:hAnsi="Times New Roman"/>
          <w:sz w:val="20"/>
          <w:u w:val="single"/>
        </w:rPr>
        <w:t>Section 2.04(f)</w:t>
      </w:r>
      <w:r>
        <w:rPr>
          <w:rFonts w:ascii="Times New Roman" w:hAnsi="Times New Roman"/>
          <w:sz w:val="20"/>
        </w:rPr>
        <w:t xml:space="preserve"> shall be remitted by the Administrative Agent to the applicable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w:t>
      </w:r>
      <w:r>
        <w:rPr>
          <w:rFonts w:ascii="Times New Roman" w:hAnsi="Times New Roman"/>
          <w:sz w:val="20"/>
          <w:u w:val="single"/>
        </w:rPr>
        <w:t>Section 2.05</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p>
    <w:p>
      <w:pPr>
        <w:pStyle w:val="TextBody"/>
        <w:bidi w:val="0"/>
        <w:spacing w:before="0" w:after="0"/>
        <w:jc w:val="left"/>
        <w:rPr>
          <w:rFonts w:ascii="Times New Roman" w:hAnsi="Times New Roman"/>
          <w:sz w:val="20"/>
        </w:rPr>
      </w:pPr>
      <w:r>
        <w:rPr>
          <w:rFonts w:ascii="Times New Roman" w:hAnsi="Times New Roman"/>
          <w:sz w:val="20"/>
        </w:rPr>
        <w:t xml:space="preserve">may, in reliance on such assumption and in its sole discretion, make available to the Borrowers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Borrowers, and the Borrowers agree to pay such corresponding amount to the Administrative Agent forthwith on demand. If such Lender pays such amount to the Administrative Agent, then such amount shall constitute such Lender’s Loan included in such Borrowing. The Administrative Agent shall also be entitled to recover from such Lender or from the Borrowers interest on such corresponding amount,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applicable to such Borrowing in accordance with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Lenders hereunder to make Term Loans and Revolving Loans, to fund participations in Letters of Credit and Swingline Loans and to make payments pursuant to </w:t>
      </w:r>
      <w:r>
        <w:rPr>
          <w:rFonts w:ascii="Times New Roman" w:hAnsi="Times New Roman"/>
          <w:sz w:val="20"/>
          <w:u w:val="single"/>
        </w:rPr>
        <w:t>Section 9.03(c)</w:t>
      </w:r>
      <w:r>
        <w:rPr>
          <w:rFonts w:ascii="Times New Roman" w:hAnsi="Times New Roman"/>
          <w:sz w:val="20"/>
        </w:rPr>
        <w:t xml:space="preserve"> and </w:t>
      </w:r>
      <w:r>
        <w:rPr>
          <w:rFonts w:ascii="Times New Roman" w:hAnsi="Times New Roman"/>
          <w:sz w:val="20"/>
          <w:u w:val="single"/>
        </w:rPr>
        <w:t>Section 9.03(d)</w:t>
      </w:r>
      <w:r>
        <w:rPr>
          <w:rFonts w:ascii="Times New Roman" w:hAnsi="Times New Roman"/>
          <w:sz w:val="20"/>
        </w:rPr>
        <w:t xml:space="preserve"> are several and not joint. The failure of any Lender to make any Loan, to fund any such participation or to make any payment under </w:t>
      </w:r>
      <w:r>
        <w:rPr>
          <w:rFonts w:ascii="Times New Roman" w:hAnsi="Times New Roman"/>
          <w:sz w:val="20"/>
          <w:u w:val="single"/>
        </w:rPr>
        <w:t>Section 9.03(c)</w:t>
      </w:r>
      <w:r>
        <w:rPr>
          <w:rFonts w:ascii="Times New Roman" w:hAnsi="Times New Roman"/>
          <w:sz w:val="20"/>
        </w:rPr>
        <w:t xml:space="preserve"> and/or</w:t>
      </w:r>
      <w:r>
        <w:rPr>
          <w:rFonts w:ascii="Times New Roman" w:hAnsi="Times New Roman"/>
          <w:sz w:val="20"/>
          <w:u w:val="single"/>
        </w:rPr>
        <w:t xml:space="preserve"> Section 9.03(d)</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sz w:val="20"/>
          <w:u w:val="single"/>
        </w:rPr>
        <w:t>Section 9.03(c)</w:t>
      </w:r>
      <w:r>
        <w:rPr>
          <w:rFonts w:ascii="Times New Roman" w:hAnsi="Times New Roman"/>
          <w:sz w:val="20"/>
        </w:rPr>
        <w:t xml:space="preserve"> and/or </w:t>
      </w:r>
      <w:r>
        <w:rPr>
          <w:rFonts w:ascii="Times New Roman" w:hAnsi="Times New Roman"/>
          <w:sz w:val="20"/>
          <w:u w:val="single"/>
        </w:rPr>
        <w:t>Section 9.03(d)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Borrowing initially shall be of the Type specified in the applicable Borrowing Request or designated by</w:t>
      </w:r>
      <w:r>
        <w:rPr>
          <w:rFonts w:ascii="Times New Roman" w:hAnsi="Times New Roman"/>
          <w:sz w:val="20"/>
          <w:u w:val="single"/>
        </w:rPr>
        <w:t xml:space="preserve"> Section 2.03</w:t>
      </w:r>
      <w:r>
        <w:rPr>
          <w:rFonts w:ascii="Times New Roman" w:hAnsi="Times New Roman"/>
          <w:sz w:val="20"/>
        </w:rPr>
        <w:t xml:space="preserve"> and, in the case of a Eurodollar Borrowing, shall have an initial Interest Period as specified in such Borrowing Request or designated by </w:t>
      </w:r>
      <w:r>
        <w:rPr>
          <w:rFonts w:ascii="Times New Roman" w:hAnsi="Times New Roman"/>
          <w:sz w:val="20"/>
          <w:u w:val="single"/>
        </w:rPr>
        <w:t>Section 2.03</w:t>
      </w:r>
      <w:r>
        <w:rPr>
          <w:rFonts w:ascii="Times New Roman" w:hAnsi="Times New Roman"/>
          <w:sz w:val="20"/>
        </w:rPr>
        <w:t>. Thereafter, the Borrowers may elect to convert such Borrowing to a different Type or to continue such Borrowing and, in the case of a Eurodollar Borrowing, may elect Interest Periods therefor, all as provided in this</w:t>
      </w:r>
      <w:r>
        <w:rPr>
          <w:rFonts w:ascii="Times New Roman" w:hAnsi="Times New Roman"/>
          <w:sz w:val="20"/>
          <w:u w:val="single"/>
        </w:rPr>
        <w:t xml:space="preserve"> Section 2.06</w:t>
      </w:r>
      <w:r>
        <w:rPr>
          <w:rFonts w:ascii="Times New Roman" w:hAnsi="Times New Roman"/>
          <w:sz w:val="20"/>
        </w:rPr>
        <w:t xml:space="preserve">. The Borrowers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w:t>
      </w:r>
      <w:r>
        <w:rPr>
          <w:rFonts w:ascii="Times New Roman" w:hAnsi="Times New Roman"/>
          <w:sz w:val="20"/>
          <w:u w:val="single"/>
        </w:rPr>
        <w:t>Section 2.06</w:t>
      </w:r>
      <w:r>
        <w:rPr>
          <w:rFonts w:ascii="Times New Roman" w:hAnsi="Times New Roman"/>
          <w:sz w:val="20"/>
        </w:rPr>
        <w:t xml:space="preserve">, the Borrowers shall deliver by hand delivery, facsimile or other electronic transmission to the Administrative Agent a written Interest Election Request signed by a Responsible Officer of a Borrower by the time that a Borrowing Request would be required under </w:t>
      </w:r>
      <w:r>
        <w:rPr>
          <w:rFonts w:ascii="Times New Roman" w:hAnsi="Times New Roman"/>
          <w:sz w:val="20"/>
          <w:u w:val="single"/>
        </w:rPr>
        <w:t>Section 2.03</w:t>
      </w:r>
      <w:r>
        <w:rPr>
          <w:rFonts w:ascii="Times New Roman" w:hAnsi="Times New Roman"/>
          <w:sz w:val="20"/>
        </w:rPr>
        <w:t xml:space="preserve"> if a Borrower were requesting a Borrowing of the Type resulting from such election to be made on the effective date of such election. Each such Interest Election Request shall be irrevocable and shall be confirmed promptly by hand delivery, facsimile or other electronic transmission to the Administrative Agent of a written Interest Election Request signed by a Responsible Officer of a Borrower. </w:t>
      </w:r>
    </w:p>
    <w:p>
      <w:pPr>
        <w:pStyle w:val="TextBody"/>
        <w:bidi w:val="0"/>
        <w:spacing w:before="240" w:after="0"/>
        <w:jc w:val="left"/>
        <w:rPr>
          <w:rFonts w:ascii="Times New Roman" w:hAnsi="Times New Roman"/>
          <w:sz w:val="20"/>
        </w:rPr>
      </w:pPr>
      <w:r>
        <w:rPr>
          <w:rFonts w:ascii="Times New Roman" w:hAnsi="Times New Roman"/>
          <w:sz w:val="20"/>
        </w:rPr>
        <w:t xml:space="preserve">(c) Each written Interest Election Request shall specify the following information in compliance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p>
    <w:p>
      <w:pPr>
        <w:pStyle w:val="TextBody"/>
        <w:bidi w:val="0"/>
        <w:spacing w:before="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Eurodollar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to be a Eurodollar Borrowing, the currency and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Eurodollar Borrowing but does not specify an Interest Period, then the applicable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in accordance with this </w:t>
      </w:r>
      <w:r>
        <w:rPr>
          <w:rFonts w:ascii="Times New Roman" w:hAnsi="Times New Roman"/>
          <w:sz w:val="20"/>
          <w:u w:val="single"/>
        </w:rPr>
        <w:t>Section 2.06</w:t>
      </w:r>
      <w:r>
        <w:rPr>
          <w:rFonts w:ascii="Times New Roman" w:hAnsi="Times New Roman"/>
          <w:sz w:val="20"/>
        </w:rPr>
        <w:t xml:space="preserve">, the Administrative Agent shall advise each Lender of the applicable Class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a Borrower fails to deliver a timely Interest Election Request with respect to a Eurodollar Borrowing prior to the end of the Interest Period applicable thereto, then, unless such Borrowing is repaid as provided herein, then the applicable Borrower shall be deemed to have selected an Interest Period of one month’s duration. Notwithstanding any contrary provision hereof, if an Event of Default has occurred and is continuing and the Administrative Agent, at the request of the Required Lenders, so notifies the Borrowers, then, so long as an Event of Default is continuing (i) no outstanding Borrowing may be converted to or continued as a Eurodollar Borrowing and (ii) unless repaid, each Eurodollar Borrowing denominated in dollars shall be converted to an ABR Borrowing at the end of the Interest Period applicable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Unless previously terminated, (i) the Initial Term Commitments shall terminate at 11:59 p.m., New York City time on the Initial Term Commitment Expiration Date (</w:t>
      </w:r>
      <w:r>
        <w:rPr>
          <w:rFonts w:ascii="Times New Roman" w:hAnsi="Times New Roman"/>
          <w:sz w:val="20"/>
          <w:u w:val="single"/>
        </w:rPr>
        <w:t>provided</w:t>
      </w:r>
      <w:r>
        <w:rPr>
          <w:rFonts w:ascii="Times New Roman" w:hAnsi="Times New Roman"/>
          <w:sz w:val="20"/>
        </w:rPr>
        <w:t xml:space="preserve"> that in connection with each drawing of Initial Term Loans in accordance with </w:t>
      </w:r>
      <w:r>
        <w:rPr>
          <w:rFonts w:ascii="Times New Roman" w:hAnsi="Times New Roman"/>
          <w:sz w:val="20"/>
          <w:u w:val="single"/>
        </w:rPr>
        <w:t>Section 2.01(a)</w:t>
      </w:r>
      <w:r>
        <w:rPr>
          <w:rFonts w:ascii="Times New Roman" w:hAnsi="Times New Roman"/>
          <w:sz w:val="20"/>
        </w:rPr>
        <w:t xml:space="preserve">, the Initial Term Commitment of each Lender shall be reduced on a dollar for dollar basis by the amount of Initial Term Loans made by such Lender on the date of such drawing; </w:t>
      </w:r>
      <w:r>
        <w:rPr>
          <w:rFonts w:ascii="Times New Roman" w:hAnsi="Times New Roman"/>
          <w:sz w:val="20"/>
          <w:u w:val="single"/>
        </w:rPr>
        <w:t>provided further</w:t>
      </w:r>
      <w:r>
        <w:rPr>
          <w:rFonts w:ascii="Times New Roman" w:hAnsi="Times New Roman"/>
          <w:sz w:val="20"/>
        </w:rPr>
        <w:t xml:space="preserve">, that, to the extent that Bidco elects prior to the Target Debt Refinancing Outside Date that any portion of the Potential Rollover Instruments shall remain outstanding in accordance with the definition of “Target Debt Refinancing Indebtedness”, the Initial Term Commitments shall be reduced on a dollar for dollar basis by an aggregate amount equal to the Rolled Over Amounts (with the Initial Term Commitments being reduced among the Lenders on a ratable basis)), (ii) the Term Commitments in respect of the Amendment No. 1 Refinancing Term Loans shall terminate on the Amendment No. 1 Effective Date and (iii) the Revolving Commitments shall terminate on the Revolving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may at any time terminate, or from time to time reduce, the Commitments of any Class; </w:t>
      </w:r>
      <w:r>
        <w:rPr>
          <w:rFonts w:ascii="Times New Roman" w:hAnsi="Times New Roman"/>
          <w:sz w:val="20"/>
          <w:u w:val="single"/>
        </w:rPr>
        <w:t>provided</w:t>
      </w:r>
      <w:r>
        <w:rPr>
          <w:rFonts w:ascii="Times New Roman" w:hAnsi="Times New Roman"/>
          <w:sz w:val="20"/>
        </w:rPr>
        <w:t xml:space="preserve"> that (i) each reduction of the Commitments of any Class shall be in an amount that is an integral multiple of $500,000 and not less than $1,000,000 unless such amount represents all of the remaining Commitments of such Class and (ii) the Borrowers shall not terminate or reduce the Revolving Commitments of any Class if, after giving effect to any concurrent prepayment of the Revolving Loans or Swingline Loans of any Class in accordance with </w:t>
      </w:r>
      <w:r>
        <w:rPr>
          <w:rFonts w:ascii="Times New Roman" w:hAnsi="Times New Roman"/>
          <w:sz w:val="20"/>
          <w:u w:val="single"/>
        </w:rPr>
        <w:t>Section 2.10</w:t>
      </w:r>
      <w:r>
        <w:rPr>
          <w:rFonts w:ascii="Times New Roman" w:hAnsi="Times New Roman"/>
          <w:sz w:val="20"/>
        </w:rPr>
        <w:t xml:space="preserve">, the aggregate Revolving Exposures of such Class would exceed the aggregate Revolving Commitments of such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p>
    <w:p>
      <w:pPr>
        <w:pStyle w:val="TextBody"/>
        <w:bidi w:val="0"/>
        <w:spacing w:before="0" w:after="0"/>
        <w:jc w:val="left"/>
        <w:rPr>
          <w:rFonts w:ascii="Times New Roman" w:hAnsi="Times New Roman"/>
          <w:sz w:val="20"/>
        </w:rPr>
      </w:pPr>
      <w:r>
        <w:rPr>
          <w:rFonts w:ascii="Times New Roman" w:hAnsi="Times New Roman"/>
          <w:sz w:val="20"/>
        </w:rPr>
        <w:t xml:space="preserve">(c) The Borrowers shall notify the Administrative Agent of any election to terminate or reduce the Commitments under paragraph (b) of this </w:t>
      </w:r>
      <w:r>
        <w:rPr>
          <w:rFonts w:ascii="Times New Roman" w:hAnsi="Times New Roman"/>
          <w:sz w:val="20"/>
          <w:u w:val="single"/>
        </w:rPr>
        <w:t>Section 2.07</w:t>
      </w:r>
      <w:r>
        <w:rPr>
          <w:rFonts w:ascii="Times New Roman" w:hAnsi="Times New Roman"/>
          <w:sz w:val="20"/>
        </w:rPr>
        <w:t xml:space="preserve"> 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Borrowers pursuant to this </w:t>
      </w:r>
      <w:r>
        <w:rPr>
          <w:rFonts w:ascii="Times New Roman" w:hAnsi="Times New Roman"/>
          <w:sz w:val="20"/>
          <w:u w:val="single"/>
        </w:rPr>
        <w:t>Section 2.07</w:t>
      </w:r>
      <w:r>
        <w:rPr>
          <w:rFonts w:ascii="Times New Roman" w:hAnsi="Times New Roman"/>
          <w:sz w:val="20"/>
        </w:rPr>
        <w:t xml:space="preserve">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of any Class delivered by the Borrowers may state that such notice is conditioned upon the effectiveness of other credit facilities or the receipt of the proceeds from the issuance of other Indebtedness or the occurrence of some other identifiable event or condition, in which case such notice may be revoked or extended by the Borrowers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 </w:t>
      </w:r>
    </w:p>
    <w:p>
      <w:pPr>
        <w:pStyle w:val="TextBody"/>
        <w:bidi w:val="0"/>
        <w:spacing w:before="36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hereby unconditionally promise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w:t>
      </w:r>
      <w:r>
        <w:rPr>
          <w:rFonts w:ascii="Times New Roman" w:hAnsi="Times New Roman"/>
          <w:sz w:val="20"/>
          <w:u w:val="single"/>
        </w:rPr>
        <w:t>Section 2.09</w:t>
      </w:r>
      <w:r>
        <w:rPr>
          <w:rFonts w:ascii="Times New Roman" w:hAnsi="Times New Roman"/>
          <w:sz w:val="20"/>
        </w:rPr>
        <w:t xml:space="preserve">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 w:hAnsi="Times New Roman"/>
          <w:sz w:val="20"/>
          <w:u w:val="single"/>
        </w:rPr>
        <w:t>provided</w:t>
      </w:r>
      <w:r>
        <w:rPr>
          <w:rFonts w:ascii="Times New Roman" w:hAnsi="Times New Roman"/>
          <w:sz w:val="20"/>
        </w:rPr>
        <w:t xml:space="preserve"> that on each date that a Revolving Borrowing is made, the Revolving Borrowers shall repay all Swingline Loans that were outstanding on the date such Borrowing was requested.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in connection with maintenance of the Register in accordance with </w:t>
      </w:r>
      <w:r>
        <w:rPr>
          <w:rFonts w:ascii="Times New Roman" w:hAnsi="Times New Roman"/>
          <w:sz w:val="20"/>
          <w:u w:val="single"/>
        </w:rPr>
        <w:t>Section 9.04(b)(iv)</w:t>
      </w:r>
      <w:r>
        <w:rPr>
          <w:rFonts w:ascii="Times New Roman" w:hAnsi="Times New Roman"/>
          <w:sz w:val="20"/>
        </w:rPr>
        <w:t xml:space="preserve"> maintain accounts in which it shall record (i) the amount of each Loan made hereunder, the Class and Type thereof and the Interest Period applicable thereto, (ii) the amount of any principal, premium, interest or fees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(d) The entries made in the accounts maintained pursuant to paragraph (b) or (c) of this </w:t>
      </w:r>
      <w:r>
        <w:rPr>
          <w:rFonts w:ascii="Times New Roman" w:hAnsi="Times New Roman"/>
          <w:sz w:val="20"/>
          <w:u w:val="single"/>
        </w:rPr>
        <w:t>Section 2.08</w:t>
      </w:r>
      <w:r>
        <w:rPr>
          <w:rFonts w:ascii="Times New Roman" w:hAnsi="Times New Roman"/>
          <w:sz w:val="20"/>
        </w:rPr>
        <w:t xml:space="preserve">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Borrowers to pay any amounts due hereunder in accordance with the terms of this Agreement. In the event of any inconsistency between the entries made pursuant to paragraphs (b) and (c) of this </w:t>
      </w:r>
      <w:r>
        <w:rPr>
          <w:rFonts w:ascii="Times New Roman" w:hAnsi="Times New Roman"/>
          <w:sz w:val="20"/>
          <w:u w:val="single"/>
        </w:rPr>
        <w:t>Section 2.08</w:t>
      </w:r>
      <w:r>
        <w:rPr>
          <w:rFonts w:ascii="Times New Roman" w:hAnsi="Times New Roman"/>
          <w:sz w:val="20"/>
        </w:rPr>
        <w:t xml:space="preserve">, the accounts maintained by the Administrative Agent pursuant to paragraph (c) of this </w:t>
      </w:r>
      <w:r>
        <w:rPr>
          <w:rFonts w:ascii="Times New Roman" w:hAnsi="Times New Roman"/>
          <w:sz w:val="20"/>
          <w:u w:val="single"/>
        </w:rPr>
        <w:t>Section 2.08</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(e) Any Lender may request through the Administrative Agent that Loans of any Class made by it be evidenced by a Note. In such event, the Borrowers shall execute and deliver to such Lender a Note payable to such Lender (or, if requested by such Lender, to such Lender and its registered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Amortization of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pursuant to paragraph (c) of this </w:t>
      </w:r>
      <w:r>
        <w:rPr>
          <w:rFonts w:ascii="Times New Roman" w:hAnsi="Times New Roman"/>
          <w:sz w:val="20"/>
          <w:u w:val="single"/>
        </w:rPr>
        <w:t>Section 2.09</w:t>
      </w:r>
      <w:r>
        <w:rPr>
          <w:rFonts w:ascii="Times New Roman" w:hAnsi="Times New Roman"/>
          <w:sz w:val="20"/>
        </w:rPr>
        <w:t xml:space="preserve"> and increases in connection with fungible increases to the Amendment No. 1 Refinancing Term Loans to reflect the equivalent amortization for such fungible increase, the Term Borrowers shall repay Borrowings of Amendment No. 1 Refinancing Term Loans on the last day of each March, June, September and December (commencing on March 31, 2021) in each case in an amount equal to $4,375,000; </w:t>
      </w:r>
      <w:r>
        <w:rPr>
          <w:rFonts w:ascii="Times New Roman" w:hAnsi="Times New Roman"/>
          <w:sz w:val="20"/>
          <w:u w:val="single"/>
        </w:rPr>
        <w:t>provided</w:t>
      </w:r>
      <w:r>
        <w:rPr>
          <w:rFonts w:ascii="Times New Roman" w:hAnsi="Times New Roman"/>
          <w:sz w:val="20"/>
        </w:rPr>
        <w:t xml:space="preserve"> that if any such date is not a Business Day, such payment shall be due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previously paid, all Amendment No. 1 Refinancing Term Loans shall be due and payable on the Term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Any prepayment of a Term Borrowing of any Class (i) pursuant to </w:t>
      </w:r>
      <w:r>
        <w:rPr>
          <w:rFonts w:ascii="Times New Roman" w:hAnsi="Times New Roman"/>
          <w:sz w:val="20"/>
          <w:u w:val="single"/>
        </w:rPr>
        <w:t>Section 2.10(a)(i)</w:t>
      </w:r>
      <w:r>
        <w:rPr>
          <w:rFonts w:ascii="Times New Roman" w:hAnsi="Times New Roman"/>
          <w:sz w:val="20"/>
        </w:rPr>
        <w:t xml:space="preserve"> shall be applied to reduce the subsequent scheduled and outstanding repayments of the Term Borrowings of such Class to be made pursuant to this </w:t>
      </w:r>
      <w:r>
        <w:rPr>
          <w:rFonts w:ascii="Times New Roman" w:hAnsi="Times New Roman"/>
          <w:sz w:val="20"/>
          <w:u w:val="single"/>
        </w:rPr>
        <w:t>Section 2.09</w:t>
      </w:r>
      <w:r>
        <w:rPr>
          <w:rFonts w:ascii="Times New Roman" w:hAnsi="Times New Roman"/>
          <w:sz w:val="20"/>
        </w:rPr>
        <w:t xml:space="preserve"> as directed by Bidco or the Term Borrowers (and absent such direction, in direct order of maturity) and (ii) pursuant to </w:t>
      </w:r>
      <w:r>
        <w:rPr>
          <w:rFonts w:ascii="Times New Roman" w:hAnsi="Times New Roman"/>
          <w:sz w:val="20"/>
          <w:u w:val="single"/>
        </w:rPr>
        <w:t>Section 2.10(c)</w:t>
      </w:r>
      <w:r>
        <w:rPr>
          <w:rFonts w:ascii="Times New Roman" w:hAnsi="Times New Roman"/>
          <w:sz w:val="20"/>
        </w:rPr>
        <w:t xml:space="preserve"> or</w:t>
      </w:r>
      <w:r>
        <w:rPr>
          <w:rFonts w:ascii="Times New Roman" w:hAnsi="Times New Roman"/>
          <w:sz w:val="20"/>
          <w:u w:val="single"/>
        </w:rPr>
        <w:t xml:space="preserve"> Section 2.10(d)</w:t>
      </w:r>
      <w:r>
        <w:rPr>
          <w:rFonts w:ascii="Times New Roman" w:hAnsi="Times New Roman"/>
          <w:sz w:val="20"/>
        </w:rPr>
        <w:t xml:space="preserve"> shall be applied to reduce the subsequent scheduled and outstanding repayments of the Term Borrowings of such Class to be made pursuant to this </w:t>
      </w:r>
      <w:r>
        <w:rPr>
          <w:rFonts w:ascii="Times New Roman" w:hAnsi="Times New Roman"/>
          <w:sz w:val="20"/>
          <w:u w:val="single"/>
        </w:rPr>
        <w:t>Section 2.09</w:t>
      </w:r>
      <w:r>
        <w:rPr>
          <w:rFonts w:ascii="Times New Roman" w:hAnsi="Times New Roman"/>
          <w:sz w:val="20"/>
        </w:rPr>
        <w:t xml:space="preserve">, or, except as otherwise provided in any Refinancing Amendment or Loan Modification Agreement, pursuant to the corresponding section of such Refinancing Amendment or Loan Modification Agreement, as applicable, as directed by Bidco or the Term Borrowers (and absent such direction, in direct order of maturity). </w:t>
      </w:r>
    </w:p>
    <w:p>
      <w:pPr>
        <w:pStyle w:val="TextBody"/>
        <w:bidi w:val="0"/>
        <w:spacing w:before="240" w:after="0"/>
        <w:jc w:val="left"/>
        <w:rPr>
          <w:rFonts w:ascii="Times New Roman" w:hAnsi="Times New Roman"/>
          <w:sz w:val="20"/>
        </w:rPr>
      </w:pPr>
      <w:r>
        <w:rPr>
          <w:rFonts w:ascii="Times New Roman" w:hAnsi="Times New Roman"/>
          <w:sz w:val="20"/>
        </w:rPr>
        <w:t xml:space="preserve">(d) Prior to any repayment of any Term Borrowings of any Class hereunder, Bidco or the Term Borrowers shall select the Borrowing or Borrowings of the applicable Class to be repaid and shall notify the Administrative Agent by hand delivery or facsimile of such election not later than 2:00 p.m., New York City time, one (1) Business Day before the scheduled date of such repayment. In the absence of a designation by Bidco or the Term Borrowers as described in the preceding sentence, the Administrative Agent shall make such designation in its reasonable discretion with a view, but no obligation, to minimize breakage costs owing under </w:t>
      </w:r>
      <w:r>
        <w:rPr>
          <w:rFonts w:ascii="Times New Roman" w:hAnsi="Times New Roman"/>
          <w:sz w:val="20"/>
          <w:u w:val="single"/>
        </w:rPr>
        <w:t>Section 2.15</w:t>
      </w:r>
      <w:r>
        <w:rPr>
          <w:rFonts w:ascii="Times New Roman" w:hAnsi="Times New Roman"/>
          <w:sz w:val="20"/>
        </w:rPr>
        <w:t xml:space="preserve"> and shall be applied in direct order of maturity. Each repayment of a Borrowing shall be applied ratably to the Loans included in the repaid Borrowing. Repayments of Term Borrowings shall be accompanied by accrued interest on the amount repaid. </w:t>
      </w:r>
    </w:p>
    <w:p>
      <w:pPr>
        <w:pStyle w:val="TextBody"/>
        <w:bidi w:val="0"/>
        <w:spacing w:before="36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Borrowers shall have the right at any time and from time to time to prepay any Borrowing in whole or in part, without premium or penalty; </w:t>
      </w:r>
      <w:r>
        <w:rPr>
          <w:rFonts w:ascii="Times New Roman" w:hAnsi="Times New Roman"/>
          <w:sz w:val="20"/>
          <w:u w:val="single"/>
        </w:rPr>
        <w:t>provided</w:t>
      </w:r>
      <w:r>
        <w:rPr>
          <w:rFonts w:ascii="Times New Roman" w:hAnsi="Times New Roman"/>
          <w:sz w:val="20"/>
        </w:rPr>
        <w:t xml:space="preserve"> that in the event that</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the Viasat Acquisition is consummated and, following the consummation of the Viasat Acquisition but</w:t>
      </w:r>
      <w:r>
        <w:rPr>
          <w:rFonts w:ascii="Times New Roman" w:hAnsi="Times New Roman"/>
          <w:sz w:val="20"/>
        </w:rPr>
        <w:t xml:space="preserve"> prior to the date that is six (6) months after the </w:t>
      </w:r>
      <w:r>
        <w:rPr>
          <w:rFonts w:ascii="Times New Roman" w:hAnsi="Times New Roman"/>
          <w:strike/>
          <w:color w:val="FF0000"/>
          <w:sz w:val="20"/>
        </w:rPr>
        <w:t>Amendment No. 1 Effective Date</w:t>
      </w:r>
      <w:r>
        <w:rPr>
          <w:rFonts w:ascii="Times New Roman" w:hAnsi="Times New Roman"/>
          <w:color w:val="0000FF"/>
          <w:sz w:val="20"/>
          <w:u w:val="single"/>
          <w:bdr w:val="double" w:sz="2" w:space="1" w:color="000000"/>
        </w:rPr>
        <w:t>consummation of the Viasat Acquisition</w:t>
      </w:r>
      <w:r>
        <w:rPr>
          <w:rFonts w:ascii="Times New Roman" w:hAnsi="Times New Roman"/>
          <w:sz w:val="20"/>
        </w:rPr>
        <w:t xml:space="preserve">, the Borrowers enter into any Repricing Transaction, the Borrowers shall pay to the Administrative Agent, for the ratable account of each of the applicable Term Lenders, (I) in the case of clause (a) of the definition of “Repricing Transaction”, a prepayment premium of 1.00% of the principal amount of the Amendment No. 1 Refinancing Term Loans being prepaid in connection with such Repricing Transaction or (II) in the case of clause (b) of the definition of “Repricing Transaction”, an amount equal to 1.00% of the aggregate amount of the applicable Amendment No. 1 Refinancing Term Loans outstanding immediately prior to such amendment that are subject to an effective pricing reduction pursuant to such Repricing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p>
    <w:p>
      <w:pPr>
        <w:pStyle w:val="TextBody"/>
        <w:bidi w:val="0"/>
        <w:spacing w:before="0" w:after="0"/>
        <w:jc w:val="left"/>
        <w:rPr>
          <w:rFonts w:ascii="Times New Roman" w:hAnsi="Times New Roman"/>
          <w:sz w:val="20"/>
        </w:rPr>
      </w:pPr>
      <w:r>
        <w:rPr>
          <w:rFonts w:ascii="Times New Roman" w:hAnsi="Times New Roman"/>
          <w:sz w:val="20"/>
        </w:rPr>
        <w:t xml:space="preserve">(ii) Notwithstanding anything in any Loan Document to the contrary, so long as no Default or Event of Default has occurred and is continuing, Holdings, any Intermediate Parent, Bidco or any of their respective Subsidiaries may offer to prepay all or a portion of the outstanding Term Loans on the following basis: </w:t>
      </w:r>
    </w:p>
    <w:p>
      <w:pPr>
        <w:pStyle w:val="TextBody"/>
        <w:bidi w:val="0"/>
        <w:spacing w:before="120" w:after="0"/>
        <w:jc w:val="left"/>
        <w:rPr>
          <w:rFonts w:ascii="Times New Roman" w:hAnsi="Times New Roman"/>
          <w:sz w:val="20"/>
        </w:rPr>
      </w:pPr>
      <w:r>
        <w:rPr>
          <w:rFonts w:ascii="Times New Roman" w:hAnsi="Times New Roman"/>
          <w:sz w:val="20"/>
        </w:rPr>
        <w:t>(A) Holdings, any Intermediate Parent, Bidco or any of their respective Subsidiaries shall have the right to make a voluntary prepayment of Term Loans at a discount to par (such prepayment, the “</w:t>
      </w:r>
      <w:r>
        <w:rPr>
          <w:rFonts w:ascii="Times New Roman" w:hAnsi="Times New Roman"/>
          <w:sz w:val="20"/>
          <w:u w:val="single"/>
        </w:rPr>
        <w:t>Discounted Term Loan Prepayment</w:t>
      </w:r>
      <w:r>
        <w:rPr>
          <w:rFonts w:ascii="Times New Roman" w:hAnsi="Times New Roman"/>
          <w:sz w:val="20"/>
        </w:rPr>
        <w:t xml:space="preserve">”) pursuant to a Borrower Offer of Specified Discount Prepayment, Borrower Solicitation of Discount Range Prepayment Offers or Borrower Solicitation of Discounted Prepayment Offers, in each case made in accordance with this </w:t>
      </w:r>
      <w:r>
        <w:rPr>
          <w:rFonts w:ascii="Times New Roman" w:hAnsi="Times New Roman"/>
          <w:sz w:val="20"/>
          <w:u w:val="single"/>
        </w:rPr>
        <w:t>Section 2.10(a)(ii)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Holdings, any Intermediate Parent, Bidco or any of their respective Subsidiaries shall not make any Borrowing of Revolving Loans or Swingline Loans to fund any Discounted Term Loan Prepayment and (y) Holdings, any Intermediate Parent, Bidco or any of their respective Subsidiaries shall not initiate any action under this </w:t>
      </w:r>
      <w:r>
        <w:rPr>
          <w:rFonts w:ascii="Times New Roman" w:hAnsi="Times New Roman"/>
          <w:sz w:val="20"/>
          <w:u w:val="single"/>
        </w:rPr>
        <w:t>Section 2.10(a)(ii)</w:t>
      </w:r>
      <w:r>
        <w:rPr>
          <w:rFonts w:ascii="Times New Roman" w:hAnsi="Times New Roman"/>
          <w:sz w:val="20"/>
        </w:rPr>
        <w:t xml:space="preserve"> in order to make a Discounted Term Loan Prepayment unless (I) at least ten (10) Business Days shall have passed since the consummation of the most recent Discounted Term Loan Prepayment as a result of a prepayment made by Holdings, any Intermediate Parent, Bidco or any of their respective Subsidiaries on the applicable Discounted Prepayment Effective Date; or (II) at least three (3) Business Days shall have passed since the date Holdings, any Intermediate Parent, Bidco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any Intermediate Parent’s, Bidco or any of their respective Subsidiaries’ election not to accept any Solicited Discounted Prepayment Offers and (z) each Lender participating in any Discounted Term Loan Prepayment acknowledges and agrees that in connection with such Discounted Term Loan Prepayment, (1) the Borrowers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hAnsi="Times New Roman"/>
          <w:sz w:val="20"/>
          <w:u w:val="single"/>
        </w:rPr>
        <w:t>Excluded Information</w:t>
      </w:r>
      <w:r>
        <w:rPr>
          <w:rFonts w:ascii="Times New Roman" w:hAnsi="Times New Roman"/>
          <w:sz w:val="20"/>
        </w:rPr>
        <w:t>”), (2) such Lender has independently and, without reliance on Holdings, any of its subsidiaries, the 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Excluded Information;</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Term Loan that is prepaid will be automatically and irrevocably cancelled. </w:t>
      </w:r>
    </w:p>
    <w:p>
      <w:pPr>
        <w:pStyle w:val="TextBody"/>
        <w:bidi w:val="0"/>
        <w:spacing w:before="120" w:after="0"/>
        <w:jc w:val="left"/>
        <w:rPr>
          <w:rFonts w:ascii="Times New Roman" w:hAnsi="Times New Roman"/>
          <w:sz w:val="20"/>
        </w:rPr>
      </w:pPr>
      <w:r>
        <w:rPr>
          <w:rFonts w:ascii="Times New Roman" w:hAnsi="Times New Roman"/>
          <w:sz w:val="20"/>
        </w:rPr>
        <w:t xml:space="preserve">(B) (1) Subject to the proviso to subsection (A) above, Holdings, any Intermediate Parent, Bidco or any of their respective Subsidiaries may from time to time offer to make a Discounted Term Loan Prepayment by providing the Auction Agent with three (3) Business Days’ notice in the form of a Specified Discount Prepayment Notice; </w:t>
      </w:r>
      <w:r>
        <w:rPr>
          <w:rFonts w:ascii="Times New Roman" w:hAnsi="Times New Roman"/>
          <w:sz w:val="20"/>
          <w:u w:val="single"/>
        </w:rPr>
        <w:t>provided</w:t>
      </w:r>
      <w:r>
        <w:rPr>
          <w:rFonts w:ascii="Times New Roman" w:hAnsi="Times New Roman"/>
          <w:sz w:val="20"/>
        </w:rPr>
        <w:t xml:space="preserve"> that (I) any such offer shall be made available, at the sole discretion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p>
    <w:p>
      <w:pPr>
        <w:pStyle w:val="TextBody"/>
        <w:bidi w:val="0"/>
        <w:spacing w:before="0" w:after="0"/>
        <w:jc w:val="left"/>
        <w:rPr>
          <w:rFonts w:ascii="Times New Roman" w:hAnsi="Times New Roman"/>
          <w:sz w:val="20"/>
        </w:rPr>
      </w:pPr>
      <w:r>
        <w:rPr>
          <w:rFonts w:ascii="Times New Roman" w:hAnsi="Times New Roman"/>
          <w:sz w:val="20"/>
        </w:rPr>
        <w:t>Holdings, any Intermediate Parent, Bidco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hAnsi="Times New Roman"/>
          <w:sz w:val="20"/>
          <w:u w:val="single"/>
        </w:rPr>
        <w:t>Specified Discount Prepayment Amount</w:t>
      </w:r>
      <w:r>
        <w:rPr>
          <w:rFonts w:ascii="Times New Roman" w:hAnsi="Times New Roman"/>
          <w:sz w:val="20"/>
        </w:rPr>
        <w:t>”) with respect to each applicable tranche, the tranche or tranches of Term Loans subject to such offer and the specific percentage discount to par (the “</w:t>
      </w:r>
      <w:r>
        <w:rPr>
          <w:rFonts w:ascii="Times New Roman" w:hAnsi="Times New Roman"/>
          <w:sz w:val="20"/>
          <w:u w:val="single"/>
        </w:rPr>
        <w:t>Specified Discount</w:t>
      </w:r>
      <w:r>
        <w:rPr>
          <w:rFonts w:ascii="Times New Roman" w:hAnsi="Times New Roman"/>
          <w:sz w:val="20"/>
        </w:rPr>
        <w:t xml:space="preserve">”)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Specified Discount Prepayment Response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hAnsi="Times New Roman"/>
          <w:sz w:val="20"/>
          <w:u w:val="single"/>
        </w:rPr>
        <w:t>Discount Prepayment Accepting Lender</w:t>
      </w:r>
      <w:r>
        <w:rPr>
          <w:rFonts w:ascii="Times New Roman" w:hAnsi="Times New Roman"/>
          <w:sz w:val="20"/>
        </w:rPr>
        <w:t xml:space="preserve">”),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w:t>
      </w:r>
    </w:p>
    <w:p>
      <w:pPr>
        <w:pStyle w:val="TextBody"/>
        <w:bidi w:val="0"/>
        <w:spacing w:before="120" w:after="0"/>
        <w:jc w:val="left"/>
        <w:rPr>
          <w:rFonts w:ascii="Times New Roman" w:hAnsi="Times New Roman"/>
          <w:sz w:val="20"/>
        </w:rPr>
      </w:pPr>
      <w:r>
        <w:rPr>
          <w:rFonts w:ascii="Times New Roman" w:hAnsi="Times New Roman"/>
          <w:sz w:val="20"/>
        </w:rPr>
        <w:t xml:space="preserve">(3) If there is at least one Discount Prepayment Accepting Lender, Holdings, any Intermediate Parent, Bidco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hAnsi="Times New Roman"/>
          <w:sz w:val="20"/>
          <w:u w:val="single"/>
        </w:rPr>
        <w:t>provided</w:t>
      </w:r>
      <w:r>
        <w:rPr>
          <w:rFonts w:ascii="Times New Roman" w:hAnsi="Times New Roman"/>
          <w:sz w:val="20"/>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Bidco or any of their respective Subsidiaries and subject to rounding requirements of the Auction Agent made in its reasonable discretion) will calculate such proration (the “</w:t>
      </w:r>
      <w:r>
        <w:rPr>
          <w:rFonts w:ascii="Times New Roman" w:hAnsi="Times New Roman"/>
          <w:sz w:val="20"/>
          <w:u w:val="single"/>
        </w:rPr>
        <w:t>Specified Discount Proration</w:t>
      </w:r>
      <w:r>
        <w:rPr>
          <w:rFonts w:ascii="Times New Roman" w:hAnsi="Times New Roman"/>
          <w:sz w:val="20"/>
        </w:rPr>
        <w:t xml:space="preserve">”). The Auction Agent shall promptly, and in any case within three (3) Business Days following the Specified Discount Prepayment Response Date, notify (I) Holdings, any Intermediate Parent, Bidco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p>
    <w:p>
      <w:pPr>
        <w:pStyle w:val="TextBody"/>
        <w:bidi w:val="0"/>
        <w:spacing w:before="0" w:after="0"/>
        <w:jc w:val="left"/>
        <w:rPr>
          <w:rFonts w:ascii="Times New Roman" w:hAnsi="Times New Roman"/>
          <w:sz w:val="20"/>
        </w:rPr>
      </w:pPr>
      <w:r>
        <w:rPr>
          <w:rFonts w:ascii="Times New Roman" w:hAnsi="Times New Roman"/>
          <w:sz w:val="20"/>
        </w:rPr>
        <w:t xml:space="preserve">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Holdings, any Intermediate Parent, Bidco or any of their respective Subsidiaries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(C) (1) Subject to the proviso to subsection (A) above, Holdings, any Intermediate Parent, Bidco or any of their respective Subsidiaries may from time to time solicit Discount Range Prepayment Offers by providing the Auction Agent with three (3) Business Days’ notice in the form of a Discount Range Prepayment Notice; </w:t>
      </w:r>
      <w:r>
        <w:rPr>
          <w:rFonts w:ascii="Times New Roman" w:hAnsi="Times New Roman"/>
          <w:sz w:val="20"/>
          <w:u w:val="single"/>
        </w:rPr>
        <w:t>provided</w:t>
      </w:r>
      <w:r>
        <w:rPr>
          <w:rFonts w:ascii="Times New Roman" w:hAnsi="Times New Roman"/>
          <w:sz w:val="20"/>
        </w:rPr>
        <w:t xml:space="preserve"> that (I) any such solicitation shall be extended, at the sole discretion of Holdings, any Intermediate Parent, Bidco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hAnsi="Times New Roman"/>
          <w:sz w:val="20"/>
          <w:u w:val="single"/>
        </w:rPr>
        <w:t>Discount Range Prepayment Amount</w:t>
      </w:r>
      <w:r>
        <w:rPr>
          <w:rFonts w:ascii="Times New Roman" w:hAnsi="Times New Roman"/>
          <w:sz w:val="20"/>
        </w:rPr>
        <w:t>”), the tranche or tranches of Term Loans subject to such offer and the maximum and minimum percentage discounts to par (the “</w:t>
      </w:r>
      <w:r>
        <w:rPr>
          <w:rFonts w:ascii="Times New Roman" w:hAnsi="Times New Roman"/>
          <w:sz w:val="20"/>
          <w:u w:val="single"/>
        </w:rPr>
        <w:t>Discount Range</w:t>
      </w:r>
      <w:r>
        <w:rPr>
          <w:rFonts w:ascii="Times New Roman" w:hAnsi="Times New Roman"/>
          <w:sz w:val="20"/>
        </w:rPr>
        <w:t xml:space="preserve">”) of the principal amount of such Term Loans with respect to each relevant tranche of Term Loans willing to be prepaid by Holdings, any Intermediate Parent, Bidco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Discount Range Prepayment Amount shall be in an aggregate amount not less than $1,000,000 and whole increments of $500,000 in excess thereof and (IV) each such solicitation by Holdings, any Intermediate Parent, Bidco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Discount Range Prepayment Response Date</w:t>
      </w:r>
      <w:r>
        <w:rPr>
          <w:rFonts w:ascii="Times New Roman" w:hAnsi="Times New Roman"/>
          <w:sz w:val="20"/>
        </w:rPr>
        <w:t>”). Each relevant Term Lender’s Discount Range Prepayment Offer shall be irrevocable and shall specify a discount to par within the Discount Range (the “</w:t>
      </w:r>
      <w:r>
        <w:rPr>
          <w:rFonts w:ascii="Times New Roman" w:hAnsi="Times New Roman"/>
          <w:sz w:val="20"/>
          <w:u w:val="single"/>
        </w:rPr>
        <w:t>Submitted Discount</w:t>
      </w:r>
      <w:r>
        <w:rPr>
          <w:rFonts w:ascii="Times New Roman" w:hAnsi="Times New Roman"/>
          <w:sz w:val="20"/>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hAnsi="Times New Roman"/>
          <w:sz w:val="20"/>
          <w:u w:val="single"/>
        </w:rPr>
        <w:t>Submitted Amount</w:t>
      </w:r>
      <w:r>
        <w:rPr>
          <w:rFonts w:ascii="Times New Roman" w:hAnsi="Times New Roman"/>
          <w:sz w:val="20"/>
        </w:rPr>
        <w:t xml:space="preserve">”)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w:t>
      </w:r>
    </w:p>
    <w:p>
      <w:pPr>
        <w:pStyle w:val="TextBody"/>
        <w:bidi w:val="0"/>
        <w:spacing w:before="120" w:after="0"/>
        <w:jc w:val="left"/>
        <w:rPr>
          <w:rFonts w:ascii="Times New Roman" w:hAnsi="Times New Roman"/>
          <w:sz w:val="20"/>
        </w:rPr>
      </w:pPr>
      <w:r>
        <w:rPr>
          <w:rFonts w:ascii="Times New Roman" w:hAnsi="Times New Roman"/>
          <w:sz w:val="20"/>
        </w:rPr>
        <w:t xml:space="preserve">(2) The Auction Agent shall review all Discount Range Prepayment Offers received on or before the applicable Discount Range Prepayment Response Date and shall determine (in consultation with Holdings, any Intermediate Parent, Bidco 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p>
    <w:p>
      <w:pPr>
        <w:pStyle w:val="TextBody"/>
        <w:bidi w:val="0"/>
        <w:spacing w:before="0" w:after="0"/>
        <w:jc w:val="left"/>
        <w:rPr>
          <w:rFonts w:ascii="Times New Roman" w:hAnsi="Times New Roman"/>
          <w:sz w:val="20"/>
        </w:rPr>
      </w:pPr>
      <w:r>
        <w:rPr>
          <w:rFonts w:ascii="Times New Roman" w:hAnsi="Times New Roman"/>
          <w:sz w:val="20"/>
        </w:rPr>
        <w:t>their respective Subsidiaries and subject to rounding requirements of the Auction Agent made in its sole reasonable discretion) the Applicable Discount and Term Loans to be prepaid at such Applicable Discount in accordance with this subsection (C). Holdings, any Intermediate Parent, Bidco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hAnsi="Times New Roman"/>
          <w:sz w:val="20"/>
          <w:u w:val="single"/>
        </w:rPr>
        <w:t>Applicable Discount</w:t>
      </w:r>
      <w:r>
        <w:rPr>
          <w:rFonts w:ascii="Times New Roman" w:hAnsi="Times New Roman"/>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hAnsi="Times New Roman"/>
          <w:sz w:val="20"/>
          <w:u w:val="single"/>
        </w:rPr>
        <w:t>Participating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 If there is at least one Participating Lender, Holdings, any Intermediate Parent, Bidco or any of their respective Subsidiaries will prepay the respective outstanding Term Loans of each Participating Lender in the aggregate principal amount and of the tranches specified in such Lender’s Discount Range Prepayment Offer at the Applicable Discount;</w:t>
      </w:r>
      <w:r>
        <w:rPr>
          <w:rFonts w:ascii="Times New Roman" w:hAnsi="Times New Roman"/>
          <w:sz w:val="20"/>
          <w:u w:val="single"/>
        </w:rPr>
        <w:t xml:space="preserve"> provided</w:t>
      </w:r>
      <w:r>
        <w:rPr>
          <w:rFonts w:ascii="Times New Roman" w:hAnsi="Times New Roman"/>
          <w:sz w:val="20"/>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hAnsi="Times New Roman"/>
          <w:sz w:val="20"/>
          <w:u w:val="single"/>
        </w:rPr>
        <w:t>Identified Participating Lenders</w:t>
      </w:r>
      <w:r>
        <w:rPr>
          <w:rFonts w:ascii="Times New Roman" w:hAnsi="Times New Roman"/>
          <w:sz w:val="20"/>
        </w:rPr>
        <w:t>”) shall be made pro-rata among the Identified Participating Lenders in accordance with the Submitted Amount of each such Identified Participating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 w:hAnsi="Times New Roman"/>
          <w:sz w:val="20"/>
          <w:u w:val="single"/>
        </w:rPr>
        <w:t>Discount Range Proration</w:t>
      </w:r>
      <w:r>
        <w:rPr>
          <w:rFonts w:ascii="Times New Roman" w:hAnsi="Times New Roman"/>
          <w:sz w:val="20"/>
        </w:rPr>
        <w:t xml:space="preserve">”). The Auction Agent shall promptly, and in any case within five (5) Business Days following the Discount Range Prepayment Response Date, notify (I) Holdings, any Intermediate Parent, Bidco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if applicable, each Identified Participating Lender of the Discount Range Proration.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the Borrowers on the Discounted Prepayment Effective Date in accordance with subsection (F) below (subject to subsection (J)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p>
    <w:p>
      <w:pPr>
        <w:pStyle w:val="TextBody"/>
        <w:bidi w:val="0"/>
        <w:spacing w:before="0" w:after="0"/>
        <w:jc w:val="left"/>
        <w:rPr>
          <w:rFonts w:ascii="Times New Roman" w:hAnsi="Times New Roman"/>
          <w:sz w:val="20"/>
        </w:rPr>
      </w:pPr>
      <w:r>
        <w:rPr>
          <w:rFonts w:ascii="Times New Roman" w:hAnsi="Times New Roman"/>
          <w:sz w:val="20"/>
        </w:rPr>
        <w:t xml:space="preserve">(D) (1) Subject to the proviso to subsection (A) above, Holdings, any Intermediate Parent, Bidco or any of their respective Subsidiaries may from time to time solicit Solicited Discounted Prepayment Offers by providing the Auction Agent with three (3) Business Days’ notice in the form of a Solicited Discounted Prepayment Notice; </w:t>
      </w:r>
      <w:r>
        <w:rPr>
          <w:rFonts w:ascii="Times New Roman" w:hAnsi="Times New Roman"/>
          <w:sz w:val="20"/>
          <w:u w:val="single"/>
        </w:rPr>
        <w:t>provided</w:t>
      </w:r>
      <w:r>
        <w:rPr>
          <w:rFonts w:ascii="Times New Roman" w:hAnsi="Times New Roman"/>
          <w:sz w:val="20"/>
        </w:rPr>
        <w:t xml:space="preserve"> that (I) any such solicitation shall be extended, at the sole discretion of Holdings, any Intermediate Parent, Bidco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hAnsi="Times New Roman"/>
          <w:sz w:val="20"/>
          <w:u w:val="single"/>
        </w:rPr>
        <w:t>Solicited Discounted Prepayment Amount</w:t>
      </w:r>
      <w:r>
        <w:rPr>
          <w:rFonts w:ascii="Times New Roman" w:hAnsi="Times New Roman"/>
          <w:sz w:val="20"/>
        </w:rPr>
        <w:t xml:space="preserve">”) and the tranche or tranches of Term Loans Holdings, any Intermediate Parent, Bidco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Solicited Discounted Prepayment Amount shall be in an aggregate amount not less than $1,000,000 and whole increments of $500,000 in excess thereof and (IV) each such solicitation by Holdings, any Intermediate Parent, Bidco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Solicited Discounted Prepayment Response Date</w:t>
      </w:r>
      <w:r>
        <w:rPr>
          <w:rFonts w:ascii="Times New Roman" w:hAnsi="Times New Roman"/>
          <w:sz w:val="20"/>
        </w:rPr>
        <w:t>”). Each Term Lender’s Solicited Discounted Prepayment Offer shall (x) be irrevocable, (y) remain outstanding until the Acceptance Date, and (z) specify both a discount to par (the “</w:t>
      </w:r>
      <w:r>
        <w:rPr>
          <w:rFonts w:ascii="Times New Roman" w:hAnsi="Times New Roman"/>
          <w:sz w:val="20"/>
          <w:u w:val="single"/>
        </w:rPr>
        <w:t>Offered Discount</w:t>
      </w:r>
      <w:r>
        <w:rPr>
          <w:rFonts w:ascii="Times New Roman" w:hAnsi="Times New Roman"/>
          <w:sz w:val="20"/>
        </w:rPr>
        <w:t>”) such Term Lender is willing to allow to be applied to the prepayment of its then outstanding Term Loan and the maximum aggregate principal amount and tranches of such Term Loans (the “</w:t>
      </w:r>
      <w:r>
        <w:rPr>
          <w:rFonts w:ascii="Times New Roman" w:hAnsi="Times New Roman"/>
          <w:sz w:val="20"/>
          <w:u w:val="single"/>
        </w:rPr>
        <w:t>Offered Amount</w:t>
      </w:r>
      <w:r>
        <w:rPr>
          <w:rFonts w:ascii="Times New Roman" w:hAnsi="Times New Roman"/>
          <w:sz w:val="20"/>
        </w:rPr>
        <w:t xml:space="preserve">”)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 </w:t>
      </w:r>
    </w:p>
    <w:p>
      <w:pPr>
        <w:pStyle w:val="TextBody"/>
        <w:bidi w:val="0"/>
        <w:spacing w:before="120" w:after="0"/>
        <w:jc w:val="left"/>
        <w:rPr>
          <w:rFonts w:ascii="Times New Roman" w:hAnsi="Times New Roman"/>
          <w:sz w:val="20"/>
        </w:rPr>
      </w:pPr>
      <w:r>
        <w:rPr>
          <w:rFonts w:ascii="Times New Roman" w:hAnsi="Times New Roman"/>
          <w:sz w:val="20"/>
        </w:rPr>
        <w:t>(2) The Auction Agent shall promptly provide Holdings, any Intermediate Parent, Bidco or any of their respective Subsidiaries with a copy of all Solicited Discounted Prepayment Offers received on or before the Solicited Discounted Prepayment Response Date. Holdings, any Intermediate Parent, Bidco,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Bidco or any of their respective Subsidiaries (the “</w:t>
      </w:r>
      <w:r>
        <w:rPr>
          <w:rFonts w:ascii="Times New Roman" w:hAnsi="Times New Roman"/>
          <w:sz w:val="20"/>
          <w:u w:val="single"/>
        </w:rPr>
        <w:t>Acceptable Discount</w:t>
      </w:r>
      <w:r>
        <w:rPr>
          <w:rFonts w:ascii="Times New Roman" w:hAnsi="Times New Roman"/>
          <w:sz w:val="20"/>
        </w:rPr>
        <w:t xml:space="preserve">”), if any. If Holdings, any Intermediate Parent, Bidco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Bidco or any of their respective Subsidiaries from the Auction Agent of a copy of all Solicited Discounted Prepayment Offers pursuant to the first sentence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p>
    <w:p>
      <w:pPr>
        <w:pStyle w:val="TextBody"/>
        <w:bidi w:val="0"/>
        <w:spacing w:before="0" w:after="0"/>
        <w:jc w:val="left"/>
        <w:rPr>
          <w:rFonts w:ascii="Times New Roman" w:hAnsi="Times New Roman"/>
          <w:sz w:val="20"/>
        </w:rPr>
      </w:pPr>
      <w:r>
        <w:rPr>
          <w:rFonts w:ascii="Times New Roman" w:hAnsi="Times New Roman"/>
          <w:sz w:val="20"/>
        </w:rPr>
        <w:t>this subsection (2) (the “</w:t>
      </w:r>
      <w:r>
        <w:rPr>
          <w:rFonts w:ascii="Times New Roman" w:hAnsi="Times New Roman"/>
          <w:sz w:val="20"/>
          <w:u w:val="single"/>
        </w:rPr>
        <w:t>Acceptance Date</w:t>
      </w:r>
      <w:r>
        <w:rPr>
          <w:rFonts w:ascii="Times New Roman" w:hAnsi="Times New Roman"/>
          <w:sz w:val="20"/>
        </w:rPr>
        <w:t xml:space="preserve">”), Holdings, any Intermediate Parent, Bidco or any of their respective Subsidiaries shall submit an Acceptance and Prepayment Notice to the Auction Agent setting forth the Acceptable Discount. If the Auction Agent shall fail to receive an Acceptance and Prepayment Notice from Holdings, any Intermediate Parent, Bidco or any of their respective Subsidiaries by the Acceptance Date, Holdings, any Intermediate Parent, Bidco or any of their respective Subsidiaries shall be deemed to have rejected all Solicited Discounted Prepayment Offers. </w:t>
      </w:r>
    </w:p>
    <w:p>
      <w:pPr>
        <w:pStyle w:val="TextBody"/>
        <w:bidi w:val="0"/>
        <w:spacing w:before="120" w:after="0"/>
        <w:jc w:val="left"/>
        <w:rPr>
          <w:rFonts w:ascii="Times New Roman" w:hAnsi="Times New Roman"/>
          <w:sz w:val="20"/>
        </w:rPr>
      </w:pPr>
      <w:r>
        <w:rPr>
          <w:rFonts w:ascii="Times New Roman" w:hAnsi="Times New Roman"/>
          <w:sz w:val="20"/>
        </w:rPr>
        <w:t>(3) 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hAnsi="Times New Roman"/>
          <w:sz w:val="20"/>
          <w:u w:val="single"/>
        </w:rPr>
        <w:t>Discounted Prepayment Determination Date</w:t>
      </w:r>
      <w:r>
        <w:rPr>
          <w:rFonts w:ascii="Times New Roman" w:hAnsi="Times New Roman"/>
          <w:sz w:val="20"/>
        </w:rPr>
        <w:t>”), the Auction Agent will determine (in consultation with Holdings, any Intermediate Parent, Bidco or any of their respective Subsidiaries and subject to rounding requirements of the Auction Agent made in its sole reasonable discretion) the aggregate principal amount and the tranches of Term Loans (the “</w:t>
      </w:r>
      <w:r>
        <w:rPr>
          <w:rFonts w:ascii="Times New Roman" w:hAnsi="Times New Roman"/>
          <w:sz w:val="20"/>
          <w:u w:val="single"/>
        </w:rPr>
        <w:t>Acceptable Prepayment Amount</w:t>
      </w:r>
      <w:r>
        <w:rPr>
          <w:rFonts w:ascii="Times New Roman" w:hAnsi="Times New Roman"/>
          <w:sz w:val="20"/>
        </w:rPr>
        <w:t xml:space="preserve">”) to be prepaid by Holdings, any Intermediate Parent, Bidco or any of their respective Subsidiaries at the Acceptable Discount in accordance with this </w:t>
      </w:r>
      <w:r>
        <w:rPr>
          <w:rFonts w:ascii="Times New Roman" w:hAnsi="Times New Roman"/>
          <w:sz w:val="20"/>
          <w:u w:val="single"/>
        </w:rPr>
        <w:t>Section 2.10(a)(ii)(D)</w:t>
      </w:r>
      <w:r>
        <w:rPr>
          <w:rFonts w:ascii="Times New Roman" w:hAnsi="Times New Roman"/>
          <w:sz w:val="20"/>
        </w:rPr>
        <w:t>. If Holdings, any Intermediate Parent, Bidco or any of their respective Subsidiaries elects to accept any Acceptable Discount, then Holdings, any Intermediate Parent, Bidco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hAnsi="Times New Roman"/>
          <w:sz w:val="20"/>
          <w:u w:val="single"/>
        </w:rPr>
        <w:t>Qualifying Lender</w:t>
      </w:r>
      <w:r>
        <w:rPr>
          <w:rFonts w:ascii="Times New Roman" w:hAnsi="Times New Roman"/>
          <w:sz w:val="20"/>
        </w:rPr>
        <w:t xml:space="preserve">”). Holdings, any Intermediate Parent, Bidco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hAnsi="Times New Roman"/>
          <w:sz w:val="20"/>
          <w:u w:val="single"/>
        </w:rPr>
        <w:t>provided</w:t>
      </w:r>
      <w:r>
        <w:rPr>
          <w:rFonts w:ascii="Times New Roman" w:hAnsi="Times New Roman"/>
          <w:sz w:val="20"/>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hAnsi="Times New Roman"/>
          <w:sz w:val="20"/>
          <w:u w:val="single"/>
        </w:rPr>
        <w:t>Identified Qualifying Lenders</w:t>
      </w:r>
      <w:r>
        <w:rPr>
          <w:rFonts w:ascii="Times New Roman" w:hAnsi="Times New Roman"/>
          <w:sz w:val="20"/>
        </w:rPr>
        <w:t>”) shall be made pro-rata among the Identified Qualifying Lenders in accordance with the Offered Amount of each such Identified Qualifying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 w:hAnsi="Times New Roman"/>
          <w:sz w:val="20"/>
          <w:u w:val="single"/>
        </w:rPr>
        <w:t>Solicited Discount Proration</w:t>
      </w:r>
      <w:r>
        <w:rPr>
          <w:rFonts w:ascii="Times New Roman" w:hAnsi="Times New Roman"/>
          <w:sz w:val="20"/>
        </w:rPr>
        <w:t xml:space="preserve">”). On or prior to the Discounted Prepayment Determination Date, the Auction Agent shall promptly notify (I) Holdings, any Intermediate Parent, Bidco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p>
    <w:p>
      <w:pPr>
        <w:pStyle w:val="TextBody"/>
        <w:bidi w:val="0"/>
        <w:spacing w:before="0" w:after="0"/>
        <w:jc w:val="left"/>
        <w:rPr>
          <w:rFonts w:ascii="Times New Roman" w:hAnsi="Times New Roman"/>
          <w:sz w:val="20"/>
        </w:rPr>
      </w:pPr>
      <w:r>
        <w:rPr>
          <w:rFonts w:ascii="Times New Roman" w:hAnsi="Times New Roman"/>
          <w:sz w:val="20"/>
        </w:rPr>
        <w:t xml:space="preserve">and (IV) if applicable, each Identified Qualifying Lender of the Solicited Discount Proration. Each determination by the Auction Agent of the amounts stated in the foregoing notices to the Borrowers and Lenders shall be conclusive and binding for all purposes absent manifest error. The payment amount specified in such notice to the Borrowers shall be due and payable by the Borrowers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Discounted Term Loan Prepayment, Holdings, any Intermediate Parent, Bidco or any of its Subsidiaries and the Lenders acknowledge and agree that the Auction Agent may require as a condition to any Discounted Term Loan Prepayment, the payment of reasonable and customary fees and expenses from Holdings, any Intermediate Parent, the Borrowers or any of their respective Subsidiaries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(F) If any Term Loan is prepaid in accordance with paragraphs (B) through (D) above, Holdings, any Intermediate Parent, Bidco or any of their respective Subsidiaries shall prepay such Term Loans on the Discounted Prepayment Effective Date. Holdings, any Intermediate Parent, the Borrowers or any of their respective Subsidiaries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 w:hAnsi="Times New Roman"/>
          <w:sz w:val="20"/>
          <w:u w:val="single"/>
        </w:rPr>
        <w:t>Section 2.10(a)(ii)</w:t>
      </w:r>
      <w:r>
        <w:rPr>
          <w:rFonts w:ascii="Times New Roman" w:hAnsi="Times New Roman"/>
          <w:sz w:val="20"/>
        </w:rPr>
        <w:t xml:space="preserve">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w:t>
      </w:r>
    </w:p>
    <w:p>
      <w:pPr>
        <w:pStyle w:val="TextBody"/>
        <w:bidi w:val="0"/>
        <w:spacing w:before="120" w:after="0"/>
        <w:jc w:val="left"/>
        <w:rPr>
          <w:rFonts w:ascii="Times New Roman" w:hAnsi="Times New Roman"/>
          <w:sz w:val="20"/>
        </w:rPr>
      </w:pPr>
      <w:r>
        <w:rPr>
          <w:rFonts w:ascii="Times New Roman" w:hAnsi="Times New Roman"/>
          <w:sz w:val="20"/>
        </w:rPr>
        <w:t xml:space="preserve">(G) To the extent not expressly provided for herein, each Discounted Term Loan Prepayment shall be consummated pursuant to procedures consistent with the provisions in this </w:t>
      </w:r>
      <w:r>
        <w:rPr>
          <w:rFonts w:ascii="Times New Roman" w:hAnsi="Times New Roman"/>
          <w:sz w:val="20"/>
          <w:u w:val="single"/>
        </w:rPr>
        <w:t>Section 2.10(a)(ii)</w:t>
      </w:r>
      <w:r>
        <w:rPr>
          <w:rFonts w:ascii="Times New Roman" w:hAnsi="Times New Roman"/>
          <w:sz w:val="20"/>
        </w:rPr>
        <w:t xml:space="preserve">, established by the Auction Agent acting in its reasonable discretion and as reasonably agreed by Holdings, any Intermediate Parent, Bidco or any of their respective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in any Loan Document to the contrary, for purposes of this </w:t>
      </w:r>
      <w:r>
        <w:rPr>
          <w:rFonts w:ascii="Times New Roman" w:hAnsi="Times New Roman"/>
          <w:sz w:val="20"/>
          <w:u w:val="single"/>
        </w:rPr>
        <w:t>Section 2.10(a)(ii)</w:t>
      </w:r>
      <w:r>
        <w:rPr>
          <w:rFonts w:ascii="Times New Roman" w:hAnsi="Times New Roman"/>
          <w:sz w:val="20"/>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hAnsi="Times New Roman"/>
          <w:sz w:val="20"/>
          <w:u w:val="single"/>
        </w:rPr>
        <w:t>provided</w:t>
      </w:r>
      <w:r>
        <w:rPr>
          <w:rFonts w:ascii="Times New Roman" w:hAnsi="Times New Roman"/>
          <w:sz w:val="20"/>
        </w:rPr>
        <w:t xml:space="preserve"> that any notice or communication actually received outside of normal business hours shall be deemed to have been given as of the opening of business on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(I) Each of Holdings, any Intermediate Parent, Bidco or any of their respective Subsidiaries and the Lenders acknowledges and agrees that the Auction Agent may perform any and all of its duties under this </w:t>
      </w:r>
      <w:r>
        <w:rPr>
          <w:rFonts w:ascii="Times New Roman" w:hAnsi="Times New Roman"/>
          <w:sz w:val="20"/>
          <w:u w:val="single"/>
        </w:rPr>
        <w:t>Section 2.10(a)(ii)</w:t>
      </w:r>
      <w:r>
        <w:rPr>
          <w:rFonts w:ascii="Times New Roman" w:hAnsi="Times New Roman"/>
          <w:sz w:val="20"/>
        </w:rPr>
        <w:t xml:space="preserve"> by itself or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p>
    <w:p>
      <w:pPr>
        <w:pStyle w:val="TextBody"/>
        <w:bidi w:val="0"/>
        <w:spacing w:before="0" w:after="0"/>
        <w:jc w:val="left"/>
        <w:rPr>
          <w:rFonts w:ascii="Times New Roman" w:hAnsi="Times New Roman"/>
          <w:sz w:val="20"/>
        </w:rPr>
      </w:pPr>
      <w:r>
        <w:rPr>
          <w:rFonts w:ascii="Times New Roman" w:hAnsi="Times New Roman"/>
          <w:sz w:val="20"/>
        </w:rPr>
        <w:t xml:space="preserve">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hAnsi="Times New Roman"/>
          <w:sz w:val="20"/>
          <w:u w:val="single"/>
        </w:rPr>
        <w:t>Section 2.10(a)(ii)</w:t>
      </w:r>
      <w:r>
        <w:rPr>
          <w:rFonts w:ascii="Times New Roman" w:hAnsi="Times New Roman"/>
          <w:sz w:val="20"/>
        </w:rPr>
        <w:t xml:space="preserve"> as well as activities of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(J) Holdings, any Intermediate Parent, Bidco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Borrowers to make any prepayment to a Term Lender, as applicable, pursuant to this </w:t>
      </w:r>
      <w:r>
        <w:rPr>
          <w:rFonts w:ascii="Times New Roman" w:hAnsi="Times New Roman"/>
          <w:sz w:val="20"/>
          <w:u w:val="single"/>
        </w:rPr>
        <w:t>Section 2.10(a)(ii)</w:t>
      </w:r>
      <w:r>
        <w:rPr>
          <w:rFonts w:ascii="Times New Roman" w:hAnsi="Times New Roman"/>
          <w:sz w:val="20"/>
        </w:rPr>
        <w:t xml:space="preserve"> shall not constitute a Default or Event of Default under </w:t>
      </w:r>
      <w:r>
        <w:rPr>
          <w:rFonts w:ascii="Times New Roman" w:hAnsi="Times New Roman"/>
          <w:sz w:val="20"/>
          <w:u w:val="single"/>
        </w:rPr>
        <w:t>Section 7.01</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and on each occasion that (i) the aggregate Revolving Exposures of any Class exceed the aggregate Revolving Commitments of such Class, Bidco or the Revolving Borrowers shall prepay Revolving Borrowings or Swingline Loans of such Class (or, if no such Borrowings are outstanding, deposit cash collateral in an account with a depositary bank that is a Lender reasonably satisfactory to the Collateral Agent pursuant to </w:t>
      </w:r>
      <w:r>
        <w:rPr>
          <w:rFonts w:ascii="Times New Roman" w:hAnsi="Times New Roman"/>
          <w:sz w:val="20"/>
          <w:u w:val="single"/>
        </w:rPr>
        <w:t>Section 2.04(j)</w:t>
      </w:r>
      <w:r>
        <w:rPr>
          <w:rFonts w:ascii="Times New Roman" w:hAnsi="Times New Roman"/>
          <w:sz w:val="20"/>
        </w:rPr>
        <w:t xml:space="preserve">) in an aggregate amount necessary to eliminate such excess or (ii) any Net Proceeds are received by or on behalf of Bidco or any of the Restricted Subsidiaries in respect of any Prepayment Event described in clause (b) of the definition thereof, Bidco or the Term Borrowers shall, on the date of such Prepayment Event, prepay Term Loans in an aggregate amount equal to 100% of such Net Proceeds;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in the event that the Viasat Acquisition is consummated,</w:t>
      </w:r>
      <w:r>
        <w:rPr>
          <w:rFonts w:ascii="Times New Roman" w:hAnsi="Times New Roman"/>
          <w:sz w:val="20"/>
        </w:rPr>
        <w:t xml:space="preserve"> if the prepayment arising from such Prepayment Event occurs </w:t>
      </w:r>
      <w:r>
        <w:rPr>
          <w:rFonts w:ascii="Times New Roman" w:hAnsi="Times New Roman"/>
          <w:color w:val="0000FF"/>
          <w:sz w:val="20"/>
          <w:u w:val="single"/>
          <w:bdr w:val="double" w:sz="2" w:space="1" w:color="000000"/>
        </w:rPr>
        <w:t>after the Viasat Acquistion is consummated but</w:t>
      </w:r>
      <w:r>
        <w:rPr>
          <w:rFonts w:ascii="Times New Roman" w:hAnsi="Times New Roman"/>
          <w:sz w:val="20"/>
        </w:rPr>
        <w:t xml:space="preserve"> prior to the date that is six (6) months following the </w:t>
      </w:r>
      <w:r>
        <w:rPr>
          <w:rFonts w:ascii="Times New Roman" w:hAnsi="Times New Roman"/>
          <w:strike/>
          <w:color w:val="FF0000"/>
          <w:sz w:val="20"/>
        </w:rPr>
        <w:t>Amendment No. 1 Effective Date</w:t>
      </w:r>
      <w:r>
        <w:rPr>
          <w:rFonts w:ascii="Times New Roman" w:hAnsi="Times New Roman"/>
          <w:color w:val="0000FF"/>
          <w:sz w:val="20"/>
          <w:u w:val="single"/>
          <w:bdr w:val="double" w:sz="2" w:space="1" w:color="000000"/>
        </w:rPr>
        <w:t>consummation of the Viasat Acquisition</w:t>
      </w:r>
      <w:r>
        <w:rPr>
          <w:rFonts w:ascii="Times New Roman" w:hAnsi="Times New Roman"/>
          <w:sz w:val="20"/>
        </w:rPr>
        <w:t xml:space="preserve"> and is in connection with a Repricing Transaction, Bidco or the Term Borrowers shall pay to the Administrative Agent, for the ratable account of each of the applicable Term Lenders, a prepayment premium of 1.00% of the principal amount of the Amendment No. 1 Refinancing Term Loans being prepaid in connection with such Repricing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may use a portion of such Net Proceeds to prepay or repurchase any other Indebtedness that is secured by the Collateral on a pari passu basis with the Secured Obligations to the extent such other Indebtedness and the Liens securing the same are not prohibited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provisions of </w:t>
      </w:r>
      <w:r>
        <w:rPr>
          <w:rFonts w:ascii="Times New Roman" w:hAnsi="Times New Roman"/>
          <w:sz w:val="20"/>
          <w:u w:val="single"/>
        </w:rPr>
        <w:t>Section 6.04(b)</w:t>
      </w:r>
      <w:r>
        <w:rPr>
          <w:rFonts w:ascii="Times New Roman" w:hAnsi="Times New Roman"/>
          <w:sz w:val="20"/>
        </w:rPr>
        <w:t xml:space="preserve">, in the event and on each occasion that any Net Proceeds are received by or on behalf of Bidco or any of the Restricted Subsidiaries in respect of any Prepayment Event described in clause (a) of the definition thereof, Bidco or the Term Borrowers shall, within five (5) Business Days after such Net Proceeds are received, prepay Term Loans in an aggregate amount equal to 100% of such Net Proceeds; </w:t>
      </w:r>
      <w:r>
        <w:rPr>
          <w:rFonts w:ascii="Times New Roman" w:hAnsi="Times New Roman"/>
          <w:sz w:val="20"/>
          <w:u w:val="single"/>
        </w:rPr>
        <w:t>provided</w:t>
      </w:r>
      <w:r>
        <w:rPr>
          <w:rFonts w:ascii="Times New Roman" w:hAnsi="Times New Roman"/>
          <w:sz w:val="20"/>
        </w:rPr>
        <w:t xml:space="preserve"> that Bidco and the Borrowers may use a portion of such Net Proceeds to prepay or repurchase any other Indebtedness that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to the extent such other Indebtedness and the Liens securing the same are permitted hereunder and the documentation governing such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p>
    <w:p>
      <w:pPr>
        <w:pStyle w:val="TextBody"/>
        <w:bidi w:val="0"/>
        <w:spacing w:before="0" w:after="0"/>
        <w:jc w:val="left"/>
        <w:rPr>
          <w:rFonts w:ascii="Times New Roman" w:hAnsi="Times New Roman"/>
          <w:sz w:val="20"/>
        </w:rPr>
      </w:pPr>
      <w:r>
        <w:rPr>
          <w:rFonts w:ascii="Times New Roman" w:hAnsi="Times New Roman"/>
          <w:sz w:val="20"/>
        </w:rPr>
        <w:t xml:space="preserve">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end of each fiscal year of Bidco, commencing with the fiscal year ending December 31, 2020, Bidco or the Borrowers shall prepay Term Loans in an aggregate amount equal to the excess of (x) the ECF Percentage of Excess Cash Flow for such fiscal year over (y) the greater of (i) $75,000,000 and (ii) 10% of Consolidated EBITDA for the most recently ended Test Period as of such date, calculated on a Pro Forma Basis; </w:t>
      </w:r>
      <w:r>
        <w:rPr>
          <w:rFonts w:ascii="Times New Roman" w:hAnsi="Times New Roman"/>
          <w:sz w:val="20"/>
          <w:u w:val="single"/>
        </w:rPr>
        <w:t>provided</w:t>
      </w:r>
      <w:r>
        <w:rPr>
          <w:rFonts w:ascii="Times New Roman" w:hAnsi="Times New Roman"/>
          <w:sz w:val="20"/>
        </w:rPr>
        <w:t xml:space="preserve"> that such amount shall, at the option of Bidco, be reduced on a dollar-for-dollar basis for such fiscal year by: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prepayments and repurchases of (A) Term Loans (and to the extent the Revolving Commitments are reduced in a corresponding amount pursuant to </w:t>
      </w:r>
      <w:r>
        <w:rPr>
          <w:rFonts w:ascii="Times New Roman" w:hAnsi="Times New Roman"/>
          <w:sz w:val="20"/>
          <w:u w:val="single"/>
        </w:rPr>
        <w:t>Section 2.07</w:t>
      </w:r>
      <w:r>
        <w:rPr>
          <w:rFonts w:ascii="Times New Roman" w:hAnsi="Times New Roman"/>
          <w:sz w:val="20"/>
        </w:rPr>
        <w:t xml:space="preserve">, Revolving Loans) made pursuant to </w:t>
      </w:r>
      <w:r>
        <w:rPr>
          <w:rFonts w:ascii="Times New Roman" w:hAnsi="Times New Roman"/>
          <w:sz w:val="20"/>
          <w:u w:val="single"/>
        </w:rPr>
        <w:t>Section 2.10(a)</w:t>
      </w:r>
      <w:r>
        <w:rPr>
          <w:rFonts w:ascii="Times New Roman" w:hAnsi="Times New Roman"/>
          <w:sz w:val="20"/>
        </w:rPr>
        <w:t xml:space="preserve"> (or otherwise in a manner not prohibited by </w:t>
      </w:r>
      <w:r>
        <w:rPr>
          <w:rFonts w:ascii="Times New Roman" w:hAnsi="Times New Roman"/>
          <w:sz w:val="20"/>
          <w:u w:val="single"/>
        </w:rPr>
        <w:t>Section 9.04(g))</w:t>
      </w:r>
      <w:r>
        <w:rPr>
          <w:rFonts w:ascii="Times New Roman" w:hAnsi="Times New Roman"/>
          <w:sz w:val="20"/>
        </w:rPr>
        <w:t xml:space="preserve"> and (B) other Consolidated Senior Secured First Lien Indebtedness, in each case during such fiscal year (without duplication of amounts deducted pursuant to this clause (i) in prior fiscal years), or after such fiscal year and on or prior to the 90th day after the end of such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such reduction as a result of prepayments pursuant to </w:t>
      </w:r>
      <w:r>
        <w:rPr>
          <w:rFonts w:ascii="Times New Roman" w:hAnsi="Times New Roman"/>
          <w:sz w:val="20"/>
          <w:u w:val="single"/>
        </w:rPr>
        <w:t>Section 2.10(a)(ii)</w:t>
      </w:r>
      <w:r>
        <w:rPr>
          <w:rFonts w:ascii="Times New Roman" w:hAnsi="Times New Roman"/>
          <w:sz w:val="20"/>
        </w:rPr>
        <w:t xml:space="preserve"> or </w:t>
      </w:r>
      <w:r>
        <w:rPr>
          <w:rFonts w:ascii="Times New Roman" w:hAnsi="Times New Roman"/>
          <w:sz w:val="20"/>
          <w:u w:val="single"/>
        </w:rPr>
        <w:t>Section 9.04(g)</w:t>
      </w:r>
      <w:r>
        <w:rPr>
          <w:rFonts w:ascii="Times New Roman" w:hAnsi="Times New Roman"/>
          <w:sz w:val="20"/>
        </w:rPr>
        <w:t xml:space="preserve"> shall be limited to the actual amount of such cash prepayment, (2) in the case of the prepayment of any revolving commitments, there is a corresponding reduction in commitments and (3) such reduction shall exclude all such prepayments funded with the proceeds of other long-term Indebtedness (other than the Revolving Loans); and </w:t>
      </w:r>
    </w:p>
    <w:p>
      <w:pPr>
        <w:pStyle w:val="TextBody"/>
        <w:bidi w:val="0"/>
        <w:spacing w:before="120" w:after="0"/>
        <w:jc w:val="left"/>
        <w:rPr>
          <w:rFonts w:ascii="Times New Roman" w:hAnsi="Times New Roman"/>
          <w:sz w:val="20"/>
        </w:rPr>
      </w:pPr>
      <w:r>
        <w:rPr>
          <w:rFonts w:ascii="Times New Roman" w:hAnsi="Times New Roman"/>
          <w:sz w:val="20"/>
        </w:rPr>
        <w:t xml:space="preserve">(ii) in each case without duplication of any such reduction from the definition of “Excess Cash Flow” by such amounts, by the aggregate amount of clauses (b)(ii), (vi), (vii), (viii), (ix), (x), (xi), (xii), (xiii) and (xiv) of the definition of “Excess Cash Flow” for such fiscal year and on or prior to the 90th day after the end of such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reduction shall exclude all such payments funded with the proceeds of other long-term Indebtedness (other than the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foregoing to the contrary, at Bidco’s option, (1) the Senior Secured First Lien Net Leverage Ratio in the definition of “ECF Percentage” shall be recalculated to give Pro Forma Effect to any amount referred to in proviso clauses (i) and (ii) above that is paid or otherwise realized or accounted for after the end of the applicable fiscal year but prior to the making of the Excess Cash Flow payment required for such fiscal year and (2) any payments and cash uses under clauses (i) and (ii) above that have not been applied to reduce the payments which may be due from time to time pursuant to this </w:t>
      </w:r>
      <w:r>
        <w:rPr>
          <w:rFonts w:ascii="Times New Roman" w:hAnsi="Times New Roman"/>
          <w:sz w:val="20"/>
          <w:u w:val="single"/>
        </w:rPr>
        <w:t>Section 2.10(d)</w:t>
      </w:r>
      <w:r>
        <w:rPr>
          <w:rFonts w:ascii="Times New Roman" w:hAnsi="Times New Roman"/>
          <w:sz w:val="20"/>
        </w:rPr>
        <w:t xml:space="preserve"> shall be carried over to subsequent periods, and may reduce the payments due from time to time pursuant to this </w:t>
      </w:r>
      <w:r>
        <w:rPr>
          <w:rFonts w:ascii="Times New Roman" w:hAnsi="Times New Roman"/>
          <w:sz w:val="20"/>
          <w:u w:val="single"/>
        </w:rPr>
        <w:t>Section 2.10(d)</w:t>
      </w:r>
      <w:r>
        <w:rPr>
          <w:rFonts w:ascii="Times New Roman" w:hAnsi="Times New Roman"/>
          <w:sz w:val="20"/>
        </w:rPr>
        <w:t xml:space="preserve"> during such subsequent periods (until such time as such payments and cash uses are so applied to reduce such payments which may be due from time to time). Each prepayment pursuant to this </w:t>
      </w:r>
      <w:r>
        <w:rPr>
          <w:rFonts w:ascii="Times New Roman" w:hAnsi="Times New Roman"/>
          <w:sz w:val="20"/>
          <w:u w:val="single"/>
        </w:rPr>
        <w:t>Section 2.10(d)</w:t>
      </w:r>
      <w:r>
        <w:rPr>
          <w:rFonts w:ascii="Times New Roman" w:hAnsi="Times New Roman"/>
          <w:sz w:val="20"/>
        </w:rPr>
        <w:t xml:space="preserve"> shall be made on or before the date that is ten (10) days after the date on which financial statements are required to be delivered pursuant to </w:t>
      </w:r>
      <w:r>
        <w:rPr>
          <w:rFonts w:ascii="Times New Roman" w:hAnsi="Times New Roman"/>
          <w:sz w:val="20"/>
          <w:u w:val="single"/>
        </w:rPr>
        <w:t>Section 5.01</w:t>
      </w:r>
      <w:r>
        <w:rPr>
          <w:rFonts w:ascii="Times New Roman" w:hAnsi="Times New Roman"/>
          <w:sz w:val="20"/>
        </w:rPr>
        <w:t xml:space="preserve"> with respect to the fiscal year for which Excess Cash Flow is being calculated. </w:t>
      </w:r>
    </w:p>
    <w:p>
      <w:pPr>
        <w:pStyle w:val="TextBody"/>
        <w:bidi w:val="0"/>
        <w:spacing w:before="240" w:after="0"/>
        <w:jc w:val="left"/>
        <w:rPr>
          <w:rFonts w:ascii="Times New Roman" w:hAnsi="Times New Roman"/>
          <w:sz w:val="20"/>
        </w:rPr>
      </w:pPr>
      <w:r>
        <w:rPr>
          <w:rFonts w:ascii="Times New Roman" w:hAnsi="Times New Roman"/>
          <w:sz w:val="20"/>
        </w:rPr>
        <w:t xml:space="preserve">(e) Prior to any optional prepayment of Borrowings pursuant to </w:t>
      </w:r>
      <w:r>
        <w:rPr>
          <w:rFonts w:ascii="Times New Roman" w:hAnsi="Times New Roman"/>
          <w:sz w:val="20"/>
          <w:u w:val="single"/>
        </w:rPr>
        <w:t>Section 2.10(a)(i)</w:t>
      </w:r>
      <w:r>
        <w:rPr>
          <w:rFonts w:ascii="Times New Roman" w:hAnsi="Times New Roman"/>
          <w:sz w:val="20"/>
        </w:rPr>
        <w:t xml:space="preserve">, Bidco or the Borrowers shall select the Borrowing or Borrowings to be prepaid and shall specify such selection in the notice of such prepayment pursuant to paragraph (f) of this </w:t>
      </w:r>
      <w:r>
        <w:rPr>
          <w:rFonts w:ascii="Times New Roman" w:hAnsi="Times New Roman"/>
          <w:sz w:val="20"/>
          <w:u w:val="single"/>
        </w:rPr>
        <w:t>Section 2.10</w:t>
      </w:r>
      <w:r>
        <w:rPr>
          <w:rFonts w:ascii="Times New Roman" w:hAnsi="Times New Roman"/>
          <w:sz w:val="20"/>
        </w:rPr>
        <w:t xml:space="preserve">. In the event of any mandatory prepayment of Term Borrowings made at a time when Term Borrowings of more than one Class remain outstanding, Bidco or the Borrowers shall select Term Borrowings to be prepaid so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p>
    <w:p>
      <w:pPr>
        <w:pStyle w:val="TextBody"/>
        <w:bidi w:val="0"/>
        <w:spacing w:before="0" w:after="0"/>
        <w:jc w:val="left"/>
        <w:rPr>
          <w:rFonts w:ascii="Times New Roman" w:hAnsi="Times New Roman"/>
          <w:sz w:val="20"/>
        </w:rPr>
      </w:pPr>
      <w:r>
        <w:rPr>
          <w:rFonts w:ascii="Times New Roman" w:hAnsi="Times New Roman"/>
          <w:sz w:val="20"/>
        </w:rPr>
        <w:t xml:space="preserve">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Times New Roman" w:hAnsi="Times New Roman"/>
          <w:sz w:val="20"/>
          <w:u w:val="single"/>
        </w:rPr>
        <w:t>provided</w:t>
      </w:r>
      <w:r>
        <w:rPr>
          <w:rFonts w:ascii="Times New Roman" w:hAnsi="Times New Roman"/>
          <w:sz w:val="20"/>
        </w:rPr>
        <w:t xml:space="preserve"> that any Term Lender may elect, by notice to the Administrative Agent by facsimile at least two (2) Business Days (or in the case of prepayments of any Term Loans that are ABR Loans, one (1) Business Day) prior to the prepayment date, to decline all or any portion of any prepayment of its Term Loans of any such Class pursuant to this </w:t>
      </w:r>
      <w:r>
        <w:rPr>
          <w:rFonts w:ascii="Times New Roman" w:hAnsi="Times New Roman"/>
          <w:sz w:val="20"/>
          <w:u w:val="single"/>
        </w:rPr>
        <w:t>Section 2.10</w:t>
      </w:r>
      <w:r>
        <w:rPr>
          <w:rFonts w:ascii="Times New Roman" w:hAnsi="Times New Roman"/>
          <w:sz w:val="20"/>
        </w:rPr>
        <w:t xml:space="preserve"> (other than an optional prepayment pursuant to paragraph (a)(i) of this </w:t>
      </w:r>
      <w:r>
        <w:rPr>
          <w:rFonts w:ascii="Times New Roman" w:hAnsi="Times New Roman"/>
          <w:sz w:val="20"/>
          <w:u w:val="single"/>
        </w:rPr>
        <w:t>Section 2.10</w:t>
      </w:r>
      <w:r>
        <w:rPr>
          <w:rFonts w:ascii="Times New Roman" w:hAnsi="Times New Roman"/>
          <w:sz w:val="20"/>
        </w:rPr>
        <w:t xml:space="preserve"> or a mandatory prepayment as a result of the Prepayment Event set forth in clause (b) of the definition thereof, which may not be declined), in which case the aggregate amount of the prepayment that would have been applied to prepay Term Loans of any such Class but was so declined (and not used pursuant to the immediately following sentence) shall be retained by Bidco (such amounts, “</w:t>
      </w:r>
      <w:r>
        <w:rPr>
          <w:rFonts w:ascii="Times New Roman" w:hAnsi="Times New Roman"/>
          <w:sz w:val="20"/>
          <w:u w:val="single"/>
        </w:rPr>
        <w:t>Retained Declined Proceeds</w:t>
      </w:r>
      <w:r>
        <w:rPr>
          <w:rFonts w:ascii="Times New Roman" w:hAnsi="Times New Roman"/>
          <w:sz w:val="20"/>
        </w:rPr>
        <w:t xml:space="preserve">”). Optional prepayments of Term Borrowings shall be allocated among the Classes of Term Borrowings as directed by Bidco or the Borrowers. In the absence of a designation by Bidco or the Borrowers as described in the preceding provisions of this paragraph of the Type of Borrowing of any Class, the Administrative Agent shall make such designation in its reasonable discretion with a view, but no obligation, to minimize breakage costs owing under </w:t>
      </w:r>
      <w:r>
        <w:rPr>
          <w:rFonts w:ascii="Times New Roman" w:hAnsi="Times New Roman"/>
          <w:sz w:val="20"/>
          <w:u w:val="single"/>
        </w:rPr>
        <w:t>Section 2.15</w:t>
      </w:r>
      <w:r>
        <w:rPr>
          <w:rFonts w:ascii="Times New Roman" w:hAnsi="Times New Roman"/>
          <w:sz w:val="20"/>
        </w:rPr>
        <w:t xml:space="preserve"> and shall be applied in direct order of maturity; </w:t>
      </w:r>
      <w:r>
        <w:rPr>
          <w:rFonts w:ascii="Times New Roman" w:hAnsi="Times New Roman"/>
          <w:sz w:val="20"/>
          <w:u w:val="single"/>
        </w:rPr>
        <w:t>provided</w:t>
      </w:r>
      <w:r>
        <w:rPr>
          <w:rFonts w:ascii="Times New Roman" w:hAnsi="Times New Roman"/>
          <w:sz w:val="20"/>
        </w:rPr>
        <w:t xml:space="preserve"> that, in connection with any mandatory prepayments by Bidco or the Borrowers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such prepayments shall be applied on a pro rata basis to the then outstanding Term Loans being prepaid irrespective of whether such outstanding Term Loans are ABR Loans or Eurodollar Loans. </w:t>
      </w:r>
    </w:p>
    <w:p>
      <w:pPr>
        <w:pStyle w:val="TextBody"/>
        <w:bidi w:val="0"/>
        <w:spacing w:before="240" w:after="0"/>
        <w:jc w:val="left"/>
        <w:rPr>
          <w:rFonts w:ascii="Times New Roman" w:hAnsi="Times New Roman"/>
          <w:sz w:val="20"/>
        </w:rPr>
      </w:pPr>
      <w:r>
        <w:rPr>
          <w:rFonts w:ascii="Times New Roman" w:hAnsi="Times New Roman"/>
          <w:sz w:val="20"/>
        </w:rPr>
        <w:t xml:space="preserve">(f) Bidco or the Borrowers shall notify the Administrative Agent (and, in the case of prepayment of a Swingline Loan, the Swingline Lender) of any prepayment hereunder by hand delivery, facsimile or other electronic transmission of a written Prepayment Notice signed by Bidco or a Borrower substantially in the form of </w:t>
      </w:r>
      <w:r>
        <w:rPr>
          <w:rFonts w:ascii="Times New Roman" w:hAnsi="Times New Roman"/>
          <w:sz w:val="20"/>
          <w:u w:val="single"/>
        </w:rPr>
        <w:t>Exhibit X</w:t>
      </w:r>
      <w:r>
        <w:rPr>
          <w:rFonts w:ascii="Times New Roman" w:hAnsi="Times New Roman"/>
          <w:sz w:val="20"/>
        </w:rPr>
        <w:t xml:space="preserve"> (i) in the case of prepayment of a Eurodollar Borrowing, not later than 11:00 a.m., New York City time, three (3) Business Days before the date of prepayment (or, in the sole discretion of the Administrative Agent, one (1) Business Day) or (ii) in the case of prepayment of an ABR Borrowing, not later than 11:00 a.m., New York City time, one (1) 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hAnsi="Times New Roman"/>
          <w:sz w:val="20"/>
          <w:u w:val="single"/>
        </w:rPr>
        <w:t>provided</w:t>
      </w:r>
      <w:r>
        <w:rPr>
          <w:rFonts w:ascii="Times New Roman" w:hAnsi="Times New Roman"/>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extended by Bidco or the Borrowers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hAnsi="Times New Roman"/>
          <w:sz w:val="20"/>
          <w:u w:val="single"/>
        </w:rPr>
        <w:t>Section 2.02</w:t>
      </w:r>
      <w:r>
        <w:rPr>
          <w:rFonts w:ascii="Times New Roman" w:hAnsi="Times New Roman"/>
          <w:sz w:val="2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 w:hAnsi="Times New Roman"/>
          <w:sz w:val="20"/>
          <w:u w:val="single"/>
        </w:rPr>
        <w:t>Section 2.12</w:t>
      </w:r>
      <w:r>
        <w:rPr>
          <w:rFonts w:ascii="Times New Roman" w:hAnsi="Times New Roman"/>
          <w:sz w:val="20"/>
        </w:rPr>
        <w:t xml:space="preserve">, and subject to </w:t>
      </w:r>
      <w:r>
        <w:rPr>
          <w:rFonts w:ascii="Times New Roman" w:hAnsi="Times New Roman"/>
          <w:sz w:val="20"/>
          <w:u w:val="single"/>
        </w:rPr>
        <w:t>Section 2.10(a)(i)</w:t>
      </w:r>
      <w:r>
        <w:rPr>
          <w:rFonts w:ascii="Times New Roman" w:hAnsi="Times New Roman"/>
          <w:sz w:val="20"/>
        </w:rPr>
        <w:t xml:space="preserve">, shall be without premium or penalty. At Bidco’s or the Borrowers’ election in connection with any prepayment pursuant to this </w:t>
      </w:r>
      <w:r>
        <w:rPr>
          <w:rFonts w:ascii="Times New Roman" w:hAnsi="Times New Roman"/>
          <w:sz w:val="20"/>
          <w:u w:val="single"/>
        </w:rPr>
        <w:t>Section 2.10</w:t>
      </w:r>
      <w:r>
        <w:rPr>
          <w:rFonts w:ascii="Times New Roman" w:hAnsi="Times New Roman"/>
          <w:sz w:val="20"/>
        </w:rPr>
        <w:t xml:space="preserve">, such prepayment shall not be applied to any Term Loan or Revolving Loan of a Defaulting Lender (under any of subclauses (a), (b) or (c) of the definition of “Defaulting Lender”) and shall be allocated ratably among the relevant non-Defaulting Lenders.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 other provisions of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to the extent that any of or all the Net Proceeds of any Prepayment Event by or Excess Cash Flow of a Foreign Subsidiary of Bidco giving rise to a prepayment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(a “</w:t>
      </w:r>
      <w:r>
        <w:rPr>
          <w:rFonts w:ascii="Times New Roman" w:hAnsi="Times New Roman"/>
          <w:sz w:val="20"/>
          <w:u w:val="single"/>
        </w:rPr>
        <w:t>Foreign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p>
    <w:p>
      <w:pPr>
        <w:pStyle w:val="TextBody"/>
        <w:bidi w:val="0"/>
        <w:spacing w:before="0" w:after="0"/>
        <w:jc w:val="left"/>
        <w:rPr>
          <w:rFonts w:ascii="Times New Roman" w:hAnsi="Times New Roman"/>
          <w:sz w:val="20"/>
        </w:rPr>
      </w:pPr>
      <w:r>
        <w:rPr>
          <w:rFonts w:ascii="Times New Roman" w:hAnsi="Times New Roman"/>
          <w:sz w:val="20"/>
          <w:u w:val="single"/>
        </w:rPr>
        <w:t>Prepayment Event</w:t>
      </w:r>
      <w:r>
        <w:rPr>
          <w:rFonts w:ascii="Times New Roman" w:hAnsi="Times New Roman"/>
          <w:sz w:val="20"/>
        </w:rPr>
        <w:t xml:space="preserve">”) are prohibited or delayed by applicable local law from being repatriated to Bidco, the portion of such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as the case may be, and such amounts may be retained by such Subsidiary, and once Bidco has determined in good faith that such repatriation of any of such affected Net Proceeds or Excess Cash Flow is permitted under the applicable local law, then the amount of such Net Proceeds or Excess Cash Flow will be taken into account as soon as practicable in determining the amount to be applied (net of additional taxes payable or reserved if such amounts were repatriated) to the repayment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as applicable, (B) to the extent that and for so long as Bidco has determined in good faith that repatriation of any of or all the Net Proceeds of any Foreign Prepayment Event or Excess Cash Flow would have a material adverse tax or cost consequence with respect to such Net Proceeds or Excess Cash Flow, the amount of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the case may be, and such amounts may be retained by such Subsidiary; </w:t>
      </w:r>
      <w:r>
        <w:rPr>
          <w:rFonts w:ascii="Times New Roman" w:hAnsi="Times New Roman"/>
          <w:sz w:val="20"/>
          <w:u w:val="single"/>
        </w:rPr>
        <w:t>provided</w:t>
      </w:r>
      <w:r>
        <w:rPr>
          <w:rFonts w:ascii="Times New Roman" w:hAnsi="Times New Roman"/>
          <w:sz w:val="20"/>
        </w:rPr>
        <w:t xml:space="preserve"> that when Bidco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taken into account as soon as practicable in determining the amount to be applied (net of additional taxes payable or reserved against if such amounts were repatriated) to the repayment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applicable, and (C) to the extent that and for so long as Bidco has determined in good faith that repatriation of any of or all the Net Proceeds of any Foreign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the case may be, and such amounts may be retained by such Subsidiary. </w:t>
      </w:r>
    </w:p>
    <w:p>
      <w:pPr>
        <w:pStyle w:val="TextBody"/>
        <w:bidi w:val="0"/>
        <w:spacing w:before="36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agree to pay to the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agree to pay (i) 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p>
    <w:p>
      <w:pPr>
        <w:pStyle w:val="TextBody"/>
        <w:bidi w:val="0"/>
        <w:spacing w:before="0" w:after="0"/>
        <w:jc w:val="left"/>
        <w:rPr>
          <w:rFonts w:ascii="Times New Roman" w:hAnsi="Times New Roman"/>
          <w:sz w:val="20"/>
        </w:rPr>
      </w:pPr>
      <w:r>
        <w:rPr>
          <w:rFonts w:ascii="Times New Roman" w:hAnsi="Times New Roman"/>
          <w:sz w:val="20"/>
        </w:rPr>
        <w:t xml:space="preserve">fee, which shall accrue at (x) a rate equal to 0.125% per annum or (y) a lesser rate per annum agreed to by any Issuing Bank (with respect to any Letter of Credit issued by such Issuing Bank), in each case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(c) The Borrowers agree to pay to the Administrative Agent, for its own account, fees payable in the amounts and at the times separately agreed upon between the Borrowers and the Administrative Agent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Borrowers agree to pay to the Administrative Agent in dollars for the account of each Term Lender a ticking fee, which shall accrue at the rate of the Ticking Fee Percentage per annum, on an amount equal to the amount of the Initial Term Commitment of such Term Lender as of the Effective Date, during the period from and including the Allocation Date to but excluding the Effective Date. Accrued ticking fees shall be payable on the Effective Date. All ticking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and subject to </w:t>
      </w:r>
      <w:r>
        <w:rPr>
          <w:rFonts w:ascii="Times New Roman" w:hAnsi="Times New Roman"/>
          <w:sz w:val="20"/>
          <w:u w:val="single"/>
        </w:rPr>
        <w:t>Section 2.21</w:t>
      </w:r>
      <w:r>
        <w:rPr>
          <w:rFonts w:ascii="Times New Roman" w:hAnsi="Times New Roman"/>
          <w:sz w:val="20"/>
        </w:rPr>
        <w:t xml:space="preserve">, the Borrowers shall not be obligated to pay any amounts to any Defaulting Lender pursuant to this </w:t>
      </w:r>
      <w:r>
        <w:rPr>
          <w:rFonts w:ascii="Times New Roman" w:hAnsi="Times New Roman"/>
          <w:sz w:val="20"/>
          <w:u w:val="single"/>
        </w:rPr>
        <w:t>Section 2.11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comprising each ABR Borrowing (including each Swingline Loan) shall bear interest at the Alternate Base Rate plus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Eurodollar Borrowing shall bear interest at the Adjusted LIBO Rate for the Interest Period in effect for such Borrowing plus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if upon the occurrence and during the continuance of any Specified Event of Default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Times New Roman" w:hAnsi="Times New Roman"/>
          <w:sz w:val="20"/>
          <w:u w:val="single"/>
        </w:rPr>
        <w:t>Section 2.12</w:t>
      </w:r>
      <w:r>
        <w:rPr>
          <w:rFonts w:ascii="Times New Roman" w:hAnsi="Times New Roman"/>
          <w:sz w:val="20"/>
        </w:rPr>
        <w:t xml:space="preserve"> or (ii) in the case of any other amount, 2.00% per annum plus the rate applicable to ABR Revolving Loans as provided in paragraph (a) of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amount shall be payable pursuant to this </w:t>
      </w:r>
      <w:r>
        <w:rPr>
          <w:rFonts w:ascii="Times New Roman" w:hAnsi="Times New Roman"/>
          <w:sz w:val="20"/>
          <w:u w:val="single"/>
        </w:rPr>
        <w:t>Section 2.12(c)</w:t>
      </w:r>
      <w:r>
        <w:rPr>
          <w:rFonts w:ascii="Times New Roman" w:hAnsi="Times New Roman"/>
          <w:sz w:val="20"/>
        </w:rPr>
        <w:t xml:space="preserve"> to a Defaulting Lender so long as such Lender shall be a Defaulting Lender;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p>
    <w:p>
      <w:pPr>
        <w:pStyle w:val="TextBody"/>
        <w:bidi w:val="0"/>
        <w:spacing w:before="0" w:after="0"/>
        <w:jc w:val="left"/>
        <w:rPr>
          <w:rFonts w:ascii="Times New Roman" w:hAnsi="Times New Roman"/>
          <w:sz w:val="20"/>
        </w:rPr>
      </w:pPr>
      <w:r>
        <w:rPr>
          <w:rFonts w:ascii="Times New Roman" w:hAnsi="Times New Roman"/>
          <w:sz w:val="20"/>
          <w:u w:val="single"/>
        </w:rPr>
        <w:t>further</w:t>
      </w:r>
      <w:r>
        <w:rPr>
          <w:rFonts w:ascii="Times New Roman" w:hAnsi="Times New Roman"/>
          <w:sz w:val="20"/>
        </w:rPr>
        <w:t xml:space="preserve"> that no amounts shall accrue pursuant to this </w:t>
      </w:r>
      <w:r>
        <w:rPr>
          <w:rFonts w:ascii="Times New Roman" w:hAnsi="Times New Roman"/>
          <w:sz w:val="20"/>
          <w:u w:val="single"/>
        </w:rPr>
        <w:t>Section 2.12(c)</w:t>
      </w:r>
      <w:r>
        <w:rPr>
          <w:rFonts w:ascii="Times New Roman" w:hAnsi="Times New Roman"/>
          <w:sz w:val="20"/>
        </w:rPr>
        <w:t xml:space="preserve"> on any overdue amount, reimbursement obligation in respect of any LC Disbursement or other amount payable to a Defaulting Lender so long as such Lender shall be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(d) Accrued interest on each Loan shall be payable in arrears on each Interest Payment Date for such Loan, </w:t>
      </w:r>
      <w:r>
        <w:rPr>
          <w:rFonts w:ascii="Times New Roman" w:hAnsi="Times New Roman"/>
          <w:sz w:val="20"/>
          <w:u w:val="single"/>
        </w:rPr>
        <w:t>provided</w:t>
      </w:r>
      <w:r>
        <w:rPr>
          <w:rFonts w:ascii="Times New Roman" w:hAnsi="Times New Roman"/>
          <w:sz w:val="20"/>
        </w:rPr>
        <w:t xml:space="preserve"> that (i) interest accrued pursuant to paragraph (c) of this </w:t>
      </w:r>
      <w:r>
        <w:rPr>
          <w:rFonts w:ascii="Times New Roman" w:hAnsi="Times New Roman"/>
          <w:sz w:val="20"/>
          <w:u w:val="single"/>
        </w:rPr>
        <w:t>Section 2.12</w:t>
      </w:r>
      <w:r>
        <w:rPr>
          <w:rFonts w:ascii="Times New Roman" w:hAnsi="Times New Roman"/>
          <w:sz w:val="20"/>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(iii) in the event of any conversion of any Eurodollar Loan prior to the end of the current Interest Period therefor, accrued interest on such Loan shall be payable on the effective date of such conversion and (iv) upon the termination of the Revolving Commitments, accrued interest on the Revolving Loans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 </w:t>
      </w:r>
    </w:p>
    <w:p>
      <w:pPr>
        <w:pStyle w:val="TextBody"/>
        <w:bidi w:val="0"/>
        <w:spacing w:before="36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Alternate Rate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at least two (2) Business Days prior to the commencement of any Interest Period for a Eurodollar Borrowing: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that adequate and reasonable means do not exist for ascertaining the Adjusted LIBO Rate for such Interest Period; or </w:t>
      </w:r>
    </w:p>
    <w:p>
      <w:pPr>
        <w:pStyle w:val="TextBody"/>
        <w:bidi w:val="0"/>
        <w:spacing w:before="120" w:after="0"/>
        <w:jc w:val="left"/>
        <w:rPr>
          <w:rFonts w:ascii="Times New Roman" w:hAnsi="Times New Roman"/>
          <w:sz w:val="20"/>
        </w:rPr>
      </w:pPr>
      <w:r>
        <w:rPr>
          <w:rFonts w:ascii="Times New Roman" w:hAnsi="Times New Roman"/>
          <w:sz w:val="20"/>
        </w:rPr>
        <w:t>(ii) 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clause (ii) or clause (i) above, “</w:t>
      </w:r>
      <w:r>
        <w:rPr>
          <w:rFonts w:ascii="Times New Roman" w:hAnsi="Times New Roman"/>
          <w:sz w:val="20"/>
          <w:u w:val="single"/>
        </w:rPr>
        <w:t>Impacted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the circumstances giving rise to such notice no longer exist, (x) any Interest Election Request that requests the conversion of any Borrowing to, or continuation of any Borrowing as, a Eurodollar Borrowing shall be ineffective and (y) if any Borrowing Request requests a Eurodollar Borrowing, then such Borrowing shall be made as an ABR Borrowing;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the Borrowers may revoke any Borrowing Request that is pending when such notice is received.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if the Administrative Agent has made such determination described in clause (a)(i) of this </w:t>
      </w:r>
      <w:r>
        <w:rPr>
          <w:rFonts w:ascii="Times New Roman" w:hAnsi="Times New Roman"/>
          <w:sz w:val="20"/>
          <w:u w:val="single"/>
        </w:rPr>
        <w:t>Section 2.13</w:t>
      </w:r>
      <w:r>
        <w:rPr>
          <w:rFonts w:ascii="Times New Roman" w:hAnsi="Times New Roman"/>
          <w:sz w:val="20"/>
        </w:rPr>
        <w:t xml:space="preserve"> or is advised by the Required Lenders of their determination described in clause (a)(ii) of this </w:t>
      </w:r>
      <w:r>
        <w:rPr>
          <w:rFonts w:ascii="Times New Roman" w:hAnsi="Times New Roman"/>
          <w:sz w:val="20"/>
          <w:u w:val="single"/>
        </w:rPr>
        <w:t>Section 2.13</w:t>
      </w:r>
      <w:r>
        <w:rPr>
          <w:rFonts w:ascii="Times New Roman" w:hAnsi="Times New Roman"/>
          <w:sz w:val="20"/>
        </w:rPr>
        <w:t xml:space="preserve">, and in each case such circumstances are unlikely to be temporary, and the Borrowers shall so request, the Administrative Agent, the Required Lenders and the Borrowers shall negotiate in good faith to amend the definition of “LIBO Rate” and other applicable provisions to preserve the original intent thereof in light of such change; </w:t>
      </w:r>
      <w:r>
        <w:rPr>
          <w:rFonts w:ascii="Times New Roman" w:hAnsi="Times New Roman"/>
          <w:sz w:val="20"/>
          <w:u w:val="single"/>
        </w:rPr>
        <w:t>provided</w:t>
      </w:r>
      <w:r>
        <w:rPr>
          <w:rFonts w:ascii="Times New Roman" w:hAnsi="Times New Roman"/>
          <w:sz w:val="20"/>
        </w:rPr>
        <w:t xml:space="preserve"> that, until so amended, such Impacted Loans will be handled as otherwise provided pursuant to the terms of </w:t>
      </w:r>
      <w:r>
        <w:rPr>
          <w:rFonts w:ascii="Times New Roman" w:hAnsi="Times New Roman"/>
          <w:sz w:val="20"/>
          <w:u w:val="single"/>
        </w:rPr>
        <w:t>Section 2.13(a)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any Issuing Bank or the London interbank market any other condition, cost or expense (including Taxes, other than Excluded Taxes or Taxes indemnified under </w:t>
      </w:r>
      <w:r>
        <w:rPr>
          <w:rFonts w:ascii="Times New Roman" w:hAnsi="Times New Roman"/>
          <w:sz w:val="20"/>
          <w:u w:val="single"/>
        </w:rPr>
        <w:t>Section 2.16</w:t>
      </w:r>
      <w:r>
        <w:rPr>
          <w:rFonts w:ascii="Times New Roman" w:hAnsi="Times New Roman"/>
          <w:sz w:val="20"/>
        </w:rPr>
        <w:t xml:space="preserve">) affecting this Agreement or Eurodollar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Borrowers will pay to such Lender or Issuing Bank, as the case may be, such additional amount or amounts as will compensate such Lender or Issuing Bank, as the case may be, for such increased costs actually incurred or reduction actually suffered.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actually suffered. </w:t>
      </w:r>
    </w:p>
    <w:p>
      <w:pPr>
        <w:pStyle w:val="TextBody"/>
        <w:bidi w:val="0"/>
        <w:spacing w:before="240" w:after="0"/>
        <w:jc w:val="left"/>
        <w:rPr>
          <w:rFonts w:ascii="Times New Roman" w:hAnsi="Times New Roman"/>
          <w:sz w:val="20"/>
        </w:rPr>
      </w:pPr>
      <w:r>
        <w:rPr>
          <w:rFonts w:ascii="Times New Roman" w:hAnsi="Times New Roman"/>
          <w:sz w:val="20"/>
        </w:rPr>
        <w:t xml:space="preserve">(c) A certificate of a Lender or an Issuing Bank setting forth the amount or amounts necessary to compensate such Lender or Issuing Bank or its holding company in reasonable detail, as the case may be, as specified in paragraph (a) or (b) of this </w:t>
      </w:r>
      <w:r>
        <w:rPr>
          <w:rFonts w:ascii="Times New Roman" w:hAnsi="Times New Roman"/>
          <w:sz w:val="20"/>
          <w:u w:val="single"/>
        </w:rPr>
        <w:t>Section 2.14</w:t>
      </w:r>
      <w:r>
        <w:rPr>
          <w:rFonts w:ascii="Times New Roman" w:hAnsi="Times New Roman"/>
          <w:sz w:val="20"/>
        </w:rPr>
        <w:t xml:space="preserve"> delivered to the Borrowers shall be conclusive absent manifest error. The Borrowers shall pay such Lender or Issuing Bank, as the case may be, the amount shown as due on any such certificate within 15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Failure or delay on the part of any Lender or Issuing Bank to demand compensation pursuant to this </w:t>
      </w:r>
      <w:r>
        <w:rPr>
          <w:rFonts w:ascii="Times New Roman" w:hAnsi="Times New Roman"/>
          <w:sz w:val="20"/>
          <w:u w:val="single"/>
        </w:rPr>
        <w:t>Section 2.14</w:t>
      </w:r>
      <w:r>
        <w:rPr>
          <w:rFonts w:ascii="Times New Roman" w:hAnsi="Times New Roman"/>
          <w:sz w:val="20"/>
        </w:rPr>
        <w:t xml:space="preserve">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or Issuing Bank pursuant to this </w:t>
      </w:r>
      <w:r>
        <w:rPr>
          <w:rFonts w:ascii="Times New Roman" w:hAnsi="Times New Roman"/>
          <w:sz w:val="20"/>
          <w:u w:val="single"/>
        </w:rPr>
        <w:t>Section 2.14</w:t>
      </w:r>
      <w:r>
        <w:rPr>
          <w:rFonts w:ascii="Times New Roman" w:hAnsi="Times New Roman"/>
          <w:sz w:val="20"/>
        </w:rPr>
        <w:t xml:space="preserve"> for any increased costs incurred or reductions suffered more than 180 days prior to the date that such Lender or Issuing Bank, as the case may be, notifies the Borrowers of the Change in Law giving rise to such increased costs or reductions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p>
    <w:p>
      <w:pPr>
        <w:pStyle w:val="TextBody"/>
        <w:bidi w:val="0"/>
        <w:spacing w:before="0" w:after="0"/>
        <w:jc w:val="left"/>
        <w:rPr>
          <w:rFonts w:ascii="Times New Roman" w:hAnsi="Times New Roman"/>
          <w:sz w:val="20"/>
        </w:rPr>
      </w:pPr>
      <w:r>
        <w:rPr>
          <w:rFonts w:ascii="Times New Roman" w:hAnsi="Times New Roman"/>
          <w:sz w:val="20"/>
        </w:rPr>
        <w:t xml:space="preserve">of such Lender’s or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other provision of this </w:t>
      </w:r>
      <w:r>
        <w:rPr>
          <w:rFonts w:ascii="Times New Roman" w:hAnsi="Times New Roman"/>
          <w:sz w:val="20"/>
          <w:u w:val="single"/>
        </w:rPr>
        <w:t>Section 2.14</w:t>
      </w:r>
      <w:r>
        <w:rPr>
          <w:rFonts w:ascii="Times New Roman" w:hAnsi="Times New Roman"/>
          <w:sz w:val="20"/>
        </w:rPr>
        <w:t xml:space="preserve">, no Lender or Issuing Bank shall demand compensation for any increased cost or reduction pursuant to this </w:t>
      </w:r>
      <w:r>
        <w:rPr>
          <w:rFonts w:ascii="Times New Roman" w:hAnsi="Times New Roman"/>
          <w:sz w:val="20"/>
          <w:u w:val="single"/>
        </w:rPr>
        <w:t>Section 2.14</w:t>
      </w:r>
      <w:r>
        <w:rPr>
          <w:rFonts w:ascii="Times New Roman" w:hAnsi="Times New Roman"/>
          <w:sz w:val="20"/>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 </w:t>
      </w:r>
    </w:p>
    <w:p>
      <w:pPr>
        <w:pStyle w:val="TextBody"/>
        <w:bidi w:val="0"/>
        <w:spacing w:before="36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Revolving Loan or Term Loan on the date specified in any notice delivered pursuant hereto (regardless of whether such notice may be revoked under </w:t>
      </w:r>
      <w:r>
        <w:rPr>
          <w:rFonts w:ascii="Times New Roman" w:hAnsi="Times New Roman"/>
          <w:sz w:val="20"/>
          <w:u w:val="single"/>
        </w:rPr>
        <w:t>Section 2.10(f)</w:t>
      </w:r>
      <w:r>
        <w:rPr>
          <w:rFonts w:ascii="Times New Roman" w:hAnsi="Times New Roman"/>
          <w:sz w:val="20"/>
        </w:rPr>
        <w:t xml:space="preserve"> and is revoked in accordance therewith) or (d) the assignment of any Eurodollar Loan other than on the last day of the Interest Period applicable thereto as a result of a request by the Borrowers pursuant to </w:t>
      </w:r>
      <w:r>
        <w:rPr>
          <w:rFonts w:ascii="Times New Roman" w:hAnsi="Times New Roman"/>
          <w:sz w:val="20"/>
          <w:u w:val="single"/>
        </w:rPr>
        <w:t>Section 2.18</w:t>
      </w:r>
      <w:r>
        <w:rPr>
          <w:rFonts w:ascii="Times New Roman" w:hAnsi="Times New Roman"/>
          <w:sz w:val="20"/>
        </w:rPr>
        <w:t xml:space="preserve"> or </w:t>
      </w:r>
      <w:r>
        <w:rPr>
          <w:rFonts w:ascii="Times New Roman" w:hAnsi="Times New Roman"/>
          <w:sz w:val="20"/>
          <w:u w:val="single"/>
        </w:rPr>
        <w:t>Section 9.02(c)</w:t>
      </w:r>
      <w:r>
        <w:rPr>
          <w:rFonts w:ascii="Times New Roman" w:hAnsi="Times New Roman"/>
          <w:sz w:val="20"/>
        </w:rPr>
        <w:t>, then, in any such event, the Borrowers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Borrowers to the Lenders under this</w:t>
      </w:r>
      <w:r>
        <w:rPr>
          <w:rFonts w:ascii="Times New Roman" w:hAnsi="Times New Roman"/>
          <w:sz w:val="20"/>
          <w:u w:val="single"/>
        </w:rPr>
        <w:t xml:space="preserve"> Section 2.15</w:t>
      </w:r>
      <w:r>
        <w:rPr>
          <w:rFonts w:ascii="Times New Roman" w:hAnsi="Times New Roman"/>
          <w:sz w:val="20"/>
        </w:rPr>
        <w:t xml:space="preserve">, each Lender shall be deemed to have funded each Eurodollar Loan made by it at the Adjusted LIBO Rate for such Loan by a matching deposit or other borrowing in the applicable interbank eurodollar market for a comparable amount and for a comparable period, whether or not such Eurodollar Loan was in fact so funded. A certificate of any Lender setting forth in reasonable detail any amount or amounts that such Lender is entitled to receive pursuant to this </w:t>
      </w:r>
      <w:r>
        <w:rPr>
          <w:rFonts w:ascii="Times New Roman" w:hAnsi="Times New Roman"/>
          <w:sz w:val="20"/>
          <w:u w:val="single"/>
        </w:rPr>
        <w:t>Section 2.15</w:t>
      </w:r>
      <w:r>
        <w:rPr>
          <w:rFonts w:ascii="Times New Roman" w:hAnsi="Times New Roman"/>
          <w:sz w:val="20"/>
        </w:rPr>
        <w:t xml:space="preserve"> and the reasons therefor delivered to the Borrowers shall be prima facie evidence of such amounts. The Borrowers shall pay such Lender the amount shown as due on any such certificate within 15 days after receipt of such demand. Notwithstanding the foregoing, this </w:t>
      </w:r>
      <w:r>
        <w:rPr>
          <w:rFonts w:ascii="Times New Roman" w:hAnsi="Times New Roman"/>
          <w:sz w:val="20"/>
          <w:u w:val="single"/>
        </w:rPr>
        <w:t>Section 2.15</w:t>
      </w:r>
      <w:r>
        <w:rPr>
          <w:rFonts w:ascii="Times New Roman" w:hAnsi="Times New Roman"/>
          <w:sz w:val="20"/>
        </w:rPr>
        <w:t xml:space="preserve"> will not apply to losses, costs or expenses resulting from Taxes. Notwithstanding the foregoing, no Lender shall demand compensation pursuant to this </w:t>
      </w:r>
      <w:r>
        <w:rPr>
          <w:rFonts w:ascii="Times New Roman" w:hAnsi="Times New Roman"/>
          <w:sz w:val="20"/>
          <w:u w:val="single"/>
        </w:rPr>
        <w:t>Section 2.15</w:t>
      </w:r>
      <w:r>
        <w:rPr>
          <w:rFonts w:ascii="Times New Roman" w:hAnsi="Times New Roman"/>
          <w:sz w:val="20"/>
        </w:rPr>
        <w:t xml:space="preserve"> if it shall not at the time be the general policy or practice of such Lender to demand such compensation in similar circumstances under comparable provisions of other credit agreements. Each Lender hereby waives the right to receive compensation under this </w:t>
      </w:r>
      <w:r>
        <w:rPr>
          <w:rFonts w:ascii="Times New Roman" w:hAnsi="Times New Roman"/>
          <w:sz w:val="20"/>
          <w:u w:val="single"/>
        </w:rPr>
        <w:t>Section 2.15</w:t>
      </w:r>
      <w:r>
        <w:rPr>
          <w:rFonts w:ascii="Times New Roman" w:hAnsi="Times New Roman"/>
          <w:sz w:val="20"/>
        </w:rPr>
        <w:t xml:space="preserve"> for any loss, cost or expense incurred as a result of a Repricing Transaction. </w:t>
      </w:r>
    </w:p>
    <w:p>
      <w:pPr>
        <w:pStyle w:val="TextBody"/>
        <w:bidi w:val="0"/>
        <w:spacing w:before="36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Any and all payments by or on account of any obligation of any Loan Party under any Loan Document shall be made free and clear of and without deduction for any Taxes, except as required by applicable Requirements of Law. If the applicable withholding agent (which may include a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 “</w:t>
      </w:r>
      <w:r>
        <w:rPr>
          <w:rFonts w:ascii="Times New Roman" w:hAnsi="Times New Roman"/>
          <w:sz w:val="20"/>
          <w:u w:val="single"/>
        </w:rPr>
        <w:t>Tax Withholding</w:t>
      </w:r>
      <w:r>
        <w:rPr>
          <w:rFonts w:ascii="Times New Roman" w:hAnsi="Times New Roman"/>
          <w:sz w:val="20"/>
        </w:rPr>
        <w:t xml:space="preserve">”), and if such Taxes are Indemnified Taxes or Other Taxes, then the amount payable by the applicable Loan Party shall be increased as necessary so that after all such required deductions have been made (including such deductions applicable to additional amounts payable under this </w:t>
      </w:r>
      <w:r>
        <w:rPr>
          <w:rFonts w:ascii="Times New Roman" w:hAnsi="Times New Roman"/>
          <w:sz w:val="20"/>
          <w:u w:val="single"/>
        </w:rPr>
        <w:t>Section 2.16)</w:t>
      </w:r>
      <w:r>
        <w:rPr>
          <w:rFonts w:ascii="Times New Roman" w:hAnsi="Times New Roman"/>
          <w:sz w:val="20"/>
        </w:rPr>
        <w:t xml:space="preserv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p>
    <w:p>
      <w:pPr>
        <w:pStyle w:val="TextBody"/>
        <w:bidi w:val="0"/>
        <w:spacing w:before="0" w:after="0"/>
        <w:jc w:val="left"/>
        <w:rPr>
          <w:rFonts w:ascii="Times New Roman" w:hAnsi="Times New Roman"/>
          <w:sz w:val="20"/>
        </w:rPr>
      </w:pPr>
      <w:r>
        <w:rPr>
          <w:rFonts w:ascii="Times New Roman" w:hAnsi="Times New Roman"/>
          <w:sz w:val="20"/>
        </w:rPr>
        <w:t xml:space="preserve">Lender (or, in the case of a payment made to the Administrative Agent for its own account, the Administrative Agent) receives an amount equal to the sum it would have received had no such deductions been made.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provisions of paragraph (a) above, the Borrowers shall timely pay to the relevant Governmental Authority in accordance with Requirements of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Without duplication of amounts payable pursuant to clauses (a) and (b), the Borrowers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 Lender, as the case may be (including Indemnified Taxes or Other Taxes imposed or asserted on or attributable to amounts payable under this </w:t>
      </w:r>
      <w:r>
        <w:rPr>
          <w:rFonts w:ascii="Times New Roman" w:hAnsi="Times New Roman"/>
          <w:sz w:val="20"/>
          <w:u w:val="single"/>
        </w:rPr>
        <w:t>Section 2.16</w:t>
      </w:r>
      <w:r>
        <w:rPr>
          <w:rFonts w:ascii="Times New Roman" w:hAnsi="Times New Roman"/>
          <w:sz w:val="20"/>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Borrowers by a Lender,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after any payment of any Taxes by a Loan Party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(i) Each Lender shall, at such times as are reasonably requested by the Borrowers or the Administrative Agent, provide the Borrowers and the Administrative Agent with any properly completed and executed documentation prescribed by any Requirement of Law, or reasonably requested by the Borrowers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Times New Roman" w:hAnsi="Times New Roman"/>
          <w:sz w:val="20"/>
          <w:u w:val="single"/>
        </w:rPr>
        <w:t>Section 2.16(e)</w:t>
      </w:r>
      <w:r>
        <w:rPr>
          <w:rFonts w:ascii="Times New Roman" w:hAnsi="Times New Roman"/>
          <w:sz w:val="20"/>
        </w:rPr>
        <w:t xml:space="preserve">), deliver promptly to the Borrowers and the Administrative Agent updated or other appropriate documentation (including any new documentation reasonably requested by the applicable withholding agent) or promptly notify the Borrowers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Tax at a rate reduced by an applicable tax treaty, the Borrowers, the Administrative Agent or other applicable withholding agent shall withhold amounts required to be withheld by applicable law from such payments at the applicable statutory rate.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Lender that is a United States person (as defined in Section 7701(a)(30) of the Code) shall deliver to the Borrowers and the Administrative Agent on or before the date on which it becomes a party to this Agreement two properly completed and duly signed copies of Internal Revenue Service Form W-9 (or any successor form) certifying that such Lender is exempt from U.S. federal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p>
    <w:p>
      <w:pPr>
        <w:pStyle w:val="TextBody"/>
        <w:bidi w:val="0"/>
        <w:spacing w:before="0" w:after="0"/>
        <w:jc w:val="left"/>
        <w:rPr>
          <w:rFonts w:ascii="Times New Roman" w:hAnsi="Times New Roman"/>
          <w:sz w:val="20"/>
        </w:rPr>
      </w:pPr>
      <w:r>
        <w:rPr>
          <w:rFonts w:ascii="Times New Roman" w:hAnsi="Times New Roman"/>
          <w:sz w:val="20"/>
        </w:rPr>
        <w:t xml:space="preserve">(B) Each Foreign Lender shall deliver to the Borrowers and the Administrative Agent on or before the date on which it becomes a party to this Agreement (and from time to time thereafter upon the reasonable request of the Borrowers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two properly completed and duly signed copies of Internal Revenue Service Form W-8BEN or W-8BEN-E, as applicable (or any successor forms) claiming eligibility for benefits of an income tax treaty to which the United States of America is a party, </w:t>
      </w:r>
    </w:p>
    <w:p>
      <w:pPr>
        <w:pStyle w:val="TextBody"/>
        <w:bidi w:val="0"/>
        <w:spacing w:before="120" w:after="0"/>
        <w:jc w:val="left"/>
        <w:rPr>
          <w:rFonts w:ascii="Times New Roman" w:hAnsi="Times New Roman"/>
          <w:sz w:val="20"/>
        </w:rPr>
      </w:pPr>
      <w:r>
        <w:rPr>
          <w:rFonts w:ascii="Times New Roman" w:hAnsi="Times New Roman"/>
          <w:sz w:val="20"/>
        </w:rPr>
        <w:t xml:space="preserve">(2) two properly completed and duly signed copies of Internal Revenue Service Form W-8ECI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871(h) or Section 881(c) of the Code, (x) two properly completed and duly signed certificates, substantially in the form of </w:t>
      </w:r>
      <w:r>
        <w:rPr>
          <w:rFonts w:ascii="Times New Roman" w:hAnsi="Times New Roman"/>
          <w:sz w:val="20"/>
          <w:u w:val="single"/>
        </w:rPr>
        <w:t>Exhibit Q</w:t>
      </w:r>
      <w:r>
        <w:rPr>
          <w:rFonts w:ascii="Times New Roman" w:hAnsi="Times New Roman"/>
          <w:sz w:val="20"/>
        </w:rPr>
        <w:t xml:space="preserve"> (any such certificate a “</w:t>
      </w:r>
      <w:r>
        <w:rPr>
          <w:rFonts w:ascii="Times New Roman" w:hAnsi="Times New Roman"/>
          <w:sz w:val="20"/>
          <w:u w:val="single"/>
        </w:rPr>
        <w:t>United States Tax Compliance Certificate</w:t>
      </w:r>
      <w:r>
        <w:rPr>
          <w:rFonts w:ascii="Times New Roman" w:hAnsi="Times New Roman"/>
          <w:sz w:val="20"/>
        </w:rPr>
        <w:t xml:space="preserve">”), as applicable, and (y) two properly completed and duly signed copies of Internal Revenue Service Form W- 8BEN or W-8BEN-E, as applicable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applicable United States Tax Compliance Certificate, Form W-9, Form W-8IMY (or other successor forms) or any other required information from each beneficial owner that would be required under this </w:t>
      </w:r>
      <w:r>
        <w:rPr>
          <w:rFonts w:ascii="Times New Roman" w:hAnsi="Times New Roman"/>
          <w:sz w:val="20"/>
          <w:u w:val="single"/>
        </w:rPr>
        <w:t>Section 2.16</w:t>
      </w:r>
      <w:r>
        <w:rPr>
          <w:rFonts w:ascii="Times New Roman" w:hAnsi="Times New Roman"/>
          <w:sz w:val="20"/>
        </w:rPr>
        <w:t xml:space="preserve"> if such beneficial owner were a Lender, as applicable (</w:t>
      </w:r>
      <w:r>
        <w:rPr>
          <w:rFonts w:ascii="Times New Roman" w:hAnsi="Times New Roman"/>
          <w:sz w:val="20"/>
          <w:u w:val="single"/>
        </w:rPr>
        <w:t>provided</w:t>
      </w:r>
      <w:r>
        <w:rPr>
          <w:rFonts w:ascii="Times New Roman" w:hAnsi="Times New Roman"/>
          <w:sz w:val="20"/>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 </w:t>
      </w:r>
    </w:p>
    <w:p>
      <w:pPr>
        <w:pStyle w:val="TextBody"/>
        <w:bidi w:val="0"/>
        <w:spacing w:before="120" w:after="0"/>
        <w:jc w:val="left"/>
        <w:rPr>
          <w:rFonts w:ascii="Times New Roman" w:hAnsi="Times New Roman"/>
          <w:sz w:val="20"/>
        </w:rPr>
      </w:pPr>
      <w:r>
        <w:rPr>
          <w:rFonts w:ascii="Times New Roman" w:hAnsi="Times New Roman"/>
          <w:sz w:val="20"/>
        </w:rPr>
        <w:t xml:space="preserve">(5)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Borrowers and the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(C)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p>
    <w:p>
      <w:pPr>
        <w:pStyle w:val="TextBody"/>
        <w:bidi w:val="0"/>
        <w:spacing w:before="0" w:after="0"/>
        <w:jc w:val="left"/>
        <w:rPr>
          <w:rFonts w:ascii="Times New Roman" w:hAnsi="Times New Roman"/>
          <w:sz w:val="20"/>
        </w:rPr>
      </w:pPr>
      <w:r>
        <w:rPr>
          <w:rFonts w:ascii="Times New Roman" w:hAnsi="Times New Roman"/>
          <w:sz w:val="20"/>
        </w:rPr>
        <w:t xml:space="preserve">for the Borrowers and the Administrative Agent to comply with their obligations under FATCA, to determine whether such Lender has or has not complied with such Lender’s obligations under FATCA and, if necessary, to determine the amount to deduct and withhold from such payment. Solely for purposes of this clause (ii),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Each Lender that is a U.K. Non-Bank Lender (excluding for the purposes of this </w:t>
      </w:r>
      <w:r>
        <w:rPr>
          <w:rFonts w:ascii="Times New Roman" w:hAnsi="Times New Roman"/>
          <w:sz w:val="20"/>
          <w:u w:val="single"/>
        </w:rPr>
        <w:t>Section 2.16(e)</w:t>
      </w:r>
      <w:r>
        <w:rPr>
          <w:rFonts w:ascii="Times New Roman" w:hAnsi="Times New Roman"/>
          <w:sz w:val="20"/>
        </w:rPr>
        <w:t xml:space="preserve"> only, clause (b) of the definition of U.K. Non-Bank Lender) shall, on the date on which it becomes a Lender to any U.K. Borrower, provide to that U.K. Borrower a Tax Confirmation. A U.K. Non-Bank Lender which is a Lender to a U.K. Borrower on the date of this Agreement gives a Tax Confirmation to that U.K. Borrower by entering into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and, with respect to any Tax Withholdings in respect of Tax in the U.K.: </w:t>
      </w:r>
    </w:p>
    <w:p>
      <w:pPr>
        <w:pStyle w:val="TextBody"/>
        <w:bidi w:val="0"/>
        <w:spacing w:before="120" w:after="0"/>
        <w:jc w:val="left"/>
        <w:rPr>
          <w:rFonts w:ascii="Times New Roman" w:hAnsi="Times New Roman"/>
          <w:sz w:val="20"/>
        </w:rPr>
      </w:pPr>
      <w:r>
        <w:rPr>
          <w:rFonts w:ascii="Times New Roman" w:hAnsi="Times New Roman"/>
          <w:sz w:val="20"/>
        </w:rPr>
        <w:t xml:space="preserve">(E) a Loan Party shall promptly upon becoming aware that it must make such a Tax Withholding (or that there is any change in the rate or the basis of a Tax Withholding) notify the Administrative Agent accordingly. Similarly, a Lender shall notify the relevant Borrower and the Administrative Agent on becoming so aware in respect of a payment payable to that Lender. If the Administrative Agent or the relevant Borrower receives such notification from a Lender it shall notify the relevant Loan Party; </w:t>
      </w:r>
    </w:p>
    <w:p>
      <w:pPr>
        <w:pStyle w:val="TextBody"/>
        <w:bidi w:val="0"/>
        <w:spacing w:before="120" w:after="0"/>
        <w:jc w:val="left"/>
        <w:rPr>
          <w:rFonts w:ascii="Times New Roman" w:hAnsi="Times New Roman"/>
          <w:sz w:val="20"/>
        </w:rPr>
      </w:pPr>
      <w:r>
        <w:rPr>
          <w:rFonts w:ascii="Times New Roman" w:hAnsi="Times New Roman"/>
          <w:sz w:val="20"/>
        </w:rPr>
        <w:t xml:space="preserve">(F) subject to sub-clause (G) below, the relevant Lender and each relevant Loan Party shall co-operate in completing any procedural formalities necessary for such Loan Party to make payments to such Lender without such a Tax Withholding; </w:t>
      </w:r>
    </w:p>
    <w:p>
      <w:pPr>
        <w:pStyle w:val="TextBody"/>
        <w:bidi w:val="0"/>
        <w:spacing w:before="120" w:after="0"/>
        <w:jc w:val="left"/>
        <w:rPr>
          <w:rFonts w:ascii="Times New Roman" w:hAnsi="Times New Roman"/>
          <w:sz w:val="20"/>
        </w:rPr>
      </w:pPr>
      <w:r>
        <w:rPr>
          <w:rFonts w:ascii="Times New Roman" w:hAnsi="Times New Roman"/>
          <w:sz w:val="20"/>
        </w:rPr>
        <w:t xml:space="preserve">(G) each Lender to a U.K. Borrower that holds a passport under the HMRC DT Treaty Passport scheme and which wishes that scheme to apply in relation to this Agreement shall confirm to the relevant U.K. Borrower and the Administrative Agent, on the date on which it becomes a Lender, its scheme reference number and jurisdiction of tax residence and having done so, to the extent such passport is and remains valid, such Lender shall have no further obligations pursuant to sub-clause (F) above or, with respect to any Tax Witholdings in respect of tax in the U.K., </w:t>
      </w:r>
      <w:r>
        <w:rPr>
          <w:rFonts w:ascii="Times New Roman" w:hAnsi="Times New Roman"/>
          <w:sz w:val="20"/>
          <w:u w:val="single"/>
        </w:rPr>
        <w:t>Section 2.16(e)(i)</w:t>
      </w:r>
      <w:r>
        <w:rPr>
          <w:rFonts w:ascii="Times New Roman" w:hAnsi="Times New Roman"/>
          <w:sz w:val="20"/>
        </w:rPr>
        <w:t xml:space="preserve"> in each case with respect to the relevant U.K. Borrower; and </w:t>
      </w:r>
    </w:p>
    <w:p>
      <w:pPr>
        <w:pStyle w:val="TextBody"/>
        <w:bidi w:val="0"/>
        <w:spacing w:before="120" w:after="0"/>
        <w:jc w:val="left"/>
        <w:rPr>
          <w:rFonts w:ascii="Times New Roman" w:hAnsi="Times New Roman"/>
          <w:sz w:val="20"/>
        </w:rPr>
      </w:pPr>
      <w:r>
        <w:rPr>
          <w:rFonts w:ascii="Times New Roman" w:hAnsi="Times New Roman"/>
          <w:sz w:val="20"/>
        </w:rPr>
        <w:t xml:space="preserve">(H) where a Lender has provided a confirmation pursuant to sub-clause (G) of its scheme reference number and jurisdiction of tax residence, any U.K. Borrower, and any other Loan Party from whom payments under a Loan Document would be subject to a Tax Withholding in respect of Tax in the U.K., shall file a duly completed HMRC Form DTTP2 in respect of this Agreement within 30 days of receipt of such details or, if later, within 30 days of becoming a Borrower or Loan Party pursuant to this Agreement and promptly deliver a copy of that filed Form DTTP2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 other provision of this </w:t>
      </w:r>
      <w:r>
        <w:rPr>
          <w:rFonts w:ascii="Times New Roman" w:hAnsi="Times New Roman"/>
          <w:sz w:val="20"/>
          <w:u w:val="single"/>
        </w:rPr>
        <w:t>Section 2.16(e)</w:t>
      </w:r>
      <w:r>
        <w:rPr>
          <w:rFonts w:ascii="Times New Roman" w:hAnsi="Times New Roman"/>
          <w:sz w:val="20"/>
        </w:rPr>
        <w:t xml:space="preserve">, a Lender shall not be required to deliver any form or certification that such Lender is not legally eligible to deliver. </w:t>
      </w:r>
    </w:p>
    <w:p>
      <w:pPr>
        <w:pStyle w:val="TextBody"/>
        <w:bidi w:val="0"/>
        <w:spacing w:before="120" w:after="0"/>
        <w:jc w:val="left"/>
        <w:rPr>
          <w:rFonts w:ascii="Times New Roman" w:hAnsi="Times New Roman"/>
          <w:sz w:val="20"/>
        </w:rPr>
      </w:pPr>
      <w:r>
        <w:rPr>
          <w:rFonts w:ascii="Times New Roman" w:hAnsi="Times New Roman"/>
          <w:sz w:val="20"/>
        </w:rPr>
        <w:t xml:space="preserve">(iv) 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sz w:val="20"/>
          <w:u w:val="single"/>
        </w:rPr>
        <w:t>Section 2.16(e)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p>
    <w:p>
      <w:pPr>
        <w:pStyle w:val="TextBody"/>
        <w:bidi w:val="0"/>
        <w:spacing w:before="0" w:after="0"/>
        <w:jc w:val="left"/>
        <w:rPr>
          <w:rFonts w:ascii="Times New Roman" w:hAnsi="Times New Roman"/>
          <w:sz w:val="20"/>
        </w:rPr>
      </w:pPr>
      <w:r>
        <w:rPr>
          <w:rFonts w:ascii="Times New Roman" w:hAnsi="Times New Roman"/>
          <w:sz w:val="20"/>
        </w:rPr>
        <w:t xml:space="preserve">(f) If the Borrowers determine in good faith that a reasonable basis exists for contesting any Taxes for which indemnification has been demanded hereunder, the Administrative Agent or the relevant Lender, as applicable, shall use commercially reasonable efforts to cooperate with the Borrowers in a reasonable challenge of such Taxes if so requested by the Borrowers, </w:t>
      </w:r>
      <w:r>
        <w:rPr>
          <w:rFonts w:ascii="Times New Roman" w:hAnsi="Times New Roman"/>
          <w:sz w:val="20"/>
          <w:u w:val="single"/>
        </w:rPr>
        <w:t>provided</w:t>
      </w:r>
      <w:r>
        <w:rPr>
          <w:rFonts w:ascii="Times New Roman" w:hAnsi="Times New Roman"/>
          <w:sz w:val="20"/>
        </w:rPr>
        <w:t xml:space="preserve"> that (a) the Administrative Agent or such Lender determines in its reasonable discretion that it would not be subject to any unreimbursed third party cost or expense or otherwise be prejudiced by cooperating in such challenge, (b) the Borrowers pay all related expenses of the Administrative Agent or such Lender, as applicable and (c) the Borrowers indemnify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Borrowers or with respect to which the Borrowers have paid additional amounts pursuant to this </w:t>
      </w:r>
      <w:r>
        <w:rPr>
          <w:rFonts w:ascii="Times New Roman" w:hAnsi="Times New Roman"/>
          <w:sz w:val="20"/>
          <w:u w:val="single"/>
        </w:rPr>
        <w:t>Section 2.16</w:t>
      </w:r>
      <w:r>
        <w:rPr>
          <w:rFonts w:ascii="Times New Roman" w:hAnsi="Times New Roman"/>
          <w:sz w:val="20"/>
        </w:rPr>
        <w:t xml:space="preserve">, it shall pay over such refund to the Borrowers (but only to the extent of indemnity payments made, or additional amounts paid, by the Borrowers under this </w:t>
      </w:r>
      <w:r>
        <w:rPr>
          <w:rFonts w:ascii="Times New Roman" w:hAnsi="Times New Roman"/>
          <w:sz w:val="20"/>
          <w:u w:val="single"/>
        </w:rPr>
        <w:t>Section 2.16</w:t>
      </w:r>
      <w:r>
        <w:rPr>
          <w:rFonts w:ascii="Times New Roman" w:hAnsi="Times New Roman"/>
          <w:sz w:val="20"/>
        </w:rPr>
        <w:t xml:space="preserve">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Borrowers, upon the request of the Administrative Agent or such Lender, agree promptly to repay the amount paid over to the Borrowers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Borrowers with a copy of any notice of assessment or other evidence of the requirement to repay such refund received from the relevant Governmental Authority (</w:t>
      </w:r>
      <w:r>
        <w:rPr>
          <w:rFonts w:ascii="Times New Roman" w:hAnsi="Times New Roman"/>
          <w:sz w:val="20"/>
          <w:u w:val="single"/>
        </w:rPr>
        <w:t>provided</w:t>
      </w:r>
      <w:r>
        <w:rPr>
          <w:rFonts w:ascii="Times New Roman" w:hAnsi="Times New Roman"/>
          <w:sz w:val="20"/>
        </w:rPr>
        <w:t xml:space="preserve"> that the Administrative Agent or such Lender may delete any information therein that the Administrative Agent or such Lender deems confidential). Notwithstanding anything to the contrary, this </w:t>
      </w:r>
      <w:r>
        <w:rPr>
          <w:rFonts w:ascii="Times New Roman" w:hAnsi="Times New Roman"/>
          <w:sz w:val="20"/>
          <w:u w:val="single"/>
        </w:rPr>
        <w:t>Section 2.16(f)</w:t>
      </w:r>
      <w:r>
        <w:rPr>
          <w:rFonts w:ascii="Times New Roman" w:hAnsi="Times New Roman"/>
          <w:sz w:val="20"/>
        </w:rPr>
        <w:t xml:space="preserve"> shall not be construed to require the Administrative Agent or any Lender to make available its Tax returns (or any other information relating to Taxes which it deems confidential) to any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The agreements in this </w:t>
      </w:r>
      <w:r>
        <w:rPr>
          <w:rFonts w:ascii="Times New Roman" w:hAnsi="Times New Roman"/>
          <w:sz w:val="20"/>
          <w:u w:val="single"/>
        </w:rPr>
        <w:t>Section 2.16</w:t>
      </w:r>
      <w:r>
        <w:rPr>
          <w:rFonts w:ascii="Times New Roman" w:hAnsi="Times New Roman"/>
          <w:sz w:val="20"/>
        </w:rPr>
        <w:t xml:space="preserve"> shall survive the resignation or replacement of the Administrative Agent or any assignment of rights by, or the replacement of, a Lender, the termination of this Agreement and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w:t>
      </w:r>
      <w:r>
        <w:rPr>
          <w:rFonts w:ascii="Times New Roman" w:hAnsi="Times New Roman"/>
          <w:sz w:val="20"/>
          <w:u w:val="single"/>
        </w:rPr>
        <w:t>Section 2.16</w:t>
      </w:r>
      <w:r>
        <w:rPr>
          <w:rFonts w:ascii="Times New Roman" w:hAnsi="Times New Roman"/>
          <w:sz w:val="20"/>
        </w:rPr>
        <w:t xml:space="preserve">, the term “Lender” shall include any Participant, any Issuing Bank and the Swingline Lender. </w:t>
      </w:r>
    </w:p>
    <w:p>
      <w:pPr>
        <w:pStyle w:val="TextBody"/>
        <w:bidi w:val="0"/>
        <w:spacing w:before="36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amounts expressed to be payable under a Loan Document by any party to a Lender which (in whole or in part) constitute the consideration for a supply or supplies for VAT purposes shall be deemed to be exclusive of any VAT which is chargeable on such supply or supplies and accordingly, subject to paragraph (i) below if VAT is or becomes chargeable on any supply or supplies made by any Lender to any party in connection with a Loan Document, and such Lender is required to account to the relevant tax authority for the VAT, that party shall pay to the Lender (in addition to and at the same time as paying the consideration for that supply or supplies) an amount equal to the amount of the VAT upon such Lender providing an appropriate VAT invoice to such party. </w:t>
      </w:r>
    </w:p>
    <w:p>
      <w:pPr>
        <w:pStyle w:val="TextBody"/>
        <w:bidi w:val="0"/>
        <w:spacing w:before="120" w:after="0"/>
        <w:jc w:val="left"/>
        <w:rPr>
          <w:rFonts w:ascii="Times New Roman" w:hAnsi="Times New Roman"/>
          <w:sz w:val="20"/>
        </w:rPr>
      </w:pPr>
      <w:r>
        <w:rPr>
          <w:rFonts w:ascii="Times New Roman" w:hAnsi="Times New Roman"/>
          <w:sz w:val="20"/>
        </w:rPr>
        <w:t>(ii) If VAT is or becomes chargeable on any supply made by any Lender (the “</w:t>
      </w:r>
      <w:r>
        <w:rPr>
          <w:rFonts w:ascii="Times New Roman" w:hAnsi="Times New Roman"/>
          <w:sz w:val="20"/>
          <w:u w:val="single"/>
        </w:rPr>
        <w:t>Supplier</w:t>
      </w:r>
      <w:r>
        <w:rPr>
          <w:rFonts w:ascii="Times New Roman" w:hAnsi="Times New Roman"/>
          <w:sz w:val="20"/>
        </w:rPr>
        <w:t>”) to any other Lender (the “</w:t>
      </w:r>
      <w:r>
        <w:rPr>
          <w:rFonts w:ascii="Times New Roman" w:hAnsi="Times New Roman"/>
          <w:sz w:val="20"/>
          <w:u w:val="single"/>
        </w:rPr>
        <w:t>VAT Recipient</w:t>
      </w:r>
      <w:r>
        <w:rPr>
          <w:rFonts w:ascii="Times New Roman" w:hAnsi="Times New Roman"/>
          <w:sz w:val="20"/>
        </w:rPr>
        <w:t>”) under a Loan Document, and any party other than the VAT Recipient (the “</w:t>
      </w:r>
      <w:r>
        <w:rPr>
          <w:rFonts w:ascii="Times New Roman" w:hAnsi="Times New Roman"/>
          <w:sz w:val="20"/>
          <w:u w:val="single"/>
        </w:rPr>
        <w:t>Relevant Party</w:t>
      </w:r>
      <w:r>
        <w:rPr>
          <w:rFonts w:ascii="Times New Roman" w:hAnsi="Times New Roman"/>
          <w:sz w:val="20"/>
        </w:rPr>
        <w:t xml:space="preserve">”) is required by the terms of any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p>
    <w:p>
      <w:pPr>
        <w:pStyle w:val="TextBody"/>
        <w:bidi w:val="0"/>
        <w:spacing w:before="0" w:after="0"/>
        <w:jc w:val="left"/>
        <w:rPr>
          <w:rFonts w:ascii="Times New Roman" w:hAnsi="Times New Roman"/>
          <w:sz w:val="20"/>
        </w:rPr>
      </w:pPr>
      <w:r>
        <w:rPr>
          <w:rFonts w:ascii="Times New Roman" w:hAnsi="Times New Roman"/>
          <w:sz w:val="20"/>
        </w:rPr>
        <w:t xml:space="preserve">Document to pay an amount equal to the consideration for that supply to the Supplier (rather than being required to reimburse or indemnify the VAT Recipient in respect of that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 (where the Supplier is the person required to account to the relevant tax authority for the VAT) the Lender must also pay to the Supplier (at the same time as paying that amount) an additional amount equal to the amount of the VAT. The VAT Recipient must (where this paragraph applies) promptly pay to the Relevant Party an amount equal to any credit or repayment the VAT Recipient receives from the relevant tax authority which the VAT Recipient reasonably determines relates to the VAT chargeable on that supply; and </w:t>
      </w:r>
    </w:p>
    <w:p>
      <w:pPr>
        <w:pStyle w:val="TextBody"/>
        <w:bidi w:val="0"/>
        <w:spacing w:before="120" w:after="0"/>
        <w:jc w:val="left"/>
        <w:rPr>
          <w:rFonts w:ascii="Times New Roman" w:hAnsi="Times New Roman"/>
          <w:sz w:val="20"/>
        </w:rPr>
      </w:pPr>
      <w:r>
        <w:rPr>
          <w:rFonts w:ascii="Times New Roman" w:hAnsi="Times New Roman"/>
          <w:sz w:val="20"/>
        </w:rPr>
        <w:t xml:space="preserve">(B) (where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 </w:t>
      </w:r>
    </w:p>
    <w:p>
      <w:pPr>
        <w:pStyle w:val="TextBody"/>
        <w:bidi w:val="0"/>
        <w:spacing w:before="120" w:after="0"/>
        <w:jc w:val="left"/>
        <w:rPr>
          <w:rFonts w:ascii="Times New Roman" w:hAnsi="Times New Roman"/>
          <w:sz w:val="20"/>
        </w:rPr>
      </w:pPr>
      <w:r>
        <w:rPr>
          <w:rFonts w:ascii="Times New Roman" w:hAnsi="Times New Roman"/>
          <w:sz w:val="20"/>
        </w:rPr>
        <w:t xml:space="preserve">(iii) Where a Loan Document requires any party to reimburse or indemnify a Lender for any costs or expenses, that party shall reimburse or indemnify (as the case may be) the Lender against any VAT incurred by the Lender in respect of the costs or expenses, to the extent that the Lender reasonably determines that neither it nor any group of which it is a member for VAT purposes is entitled to credit or receive repayment in respect of the VAT from the relevant tax authority. </w:t>
      </w:r>
    </w:p>
    <w:p>
      <w:pPr>
        <w:pStyle w:val="TextBody"/>
        <w:bidi w:val="0"/>
        <w:spacing w:before="120" w:after="0"/>
        <w:jc w:val="left"/>
        <w:rPr>
          <w:rFonts w:ascii="Times New Roman" w:hAnsi="Times New Roman"/>
          <w:sz w:val="20"/>
        </w:rPr>
      </w:pPr>
      <w:r>
        <w:rPr>
          <w:rFonts w:ascii="Times New Roman" w:hAnsi="Times New Roman"/>
          <w:sz w:val="20"/>
        </w:rPr>
        <w:t xml:space="preserve">(iv) Any reference in this </w:t>
      </w:r>
      <w:r>
        <w:rPr>
          <w:rFonts w:ascii="Times New Roman" w:hAnsi="Times New Roman"/>
          <w:sz w:val="20"/>
          <w:u w:val="single"/>
        </w:rPr>
        <w:t>Section 2.16</w:t>
      </w:r>
      <w:r>
        <w:rPr>
          <w:rFonts w:ascii="Times New Roman" w:hAnsi="Times New Roman"/>
          <w:sz w:val="20"/>
        </w:rPr>
        <w:t xml:space="preserve"> to any party shall, at any time when such party is treated as a member of a group or unity (or fiscal unity) for VAT purposes, include (where appropriate and unless the context otherwise requires) a reference to the person who is treated a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or is a former member state of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(v) In relation to any supply made by a Lender to any party under a Loan Document, if reasonably requested by such Lender, that party must promptly provide such Lender with details of that formation as is reasonably requested in connection with such porting requirements in relation to such supply. </w:t>
      </w:r>
    </w:p>
    <w:p>
      <w:pPr>
        <w:pStyle w:val="TextBody"/>
        <w:bidi w:val="0"/>
        <w:spacing w:before="36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make each payment required to be made by it under any Loan Document (whether of principal, interest, fees or reimbursement of LC Disbursements, or of amounts payable under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or </w:t>
      </w:r>
      <w:r>
        <w:rPr>
          <w:rFonts w:ascii="Times New Roman" w:hAnsi="Times New Roman"/>
          <w:sz w:val="20"/>
          <w:u w:val="single"/>
        </w:rPr>
        <w:t>2.16</w:t>
      </w:r>
      <w:r>
        <w:rPr>
          <w:rFonts w:ascii="Times New Roman" w:hAnsi="Times New Roman"/>
          <w:sz w:val="20"/>
        </w:rPr>
        <w:t xml:space="preserve">,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shall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p>
    <w:p>
      <w:pPr>
        <w:pStyle w:val="TextBody"/>
        <w:bidi w:val="0"/>
        <w:spacing w:before="0" w:after="0"/>
        <w:jc w:val="left"/>
        <w:rPr>
          <w:rFonts w:ascii="Times New Roman" w:hAnsi="Times New Roman"/>
          <w:sz w:val="20"/>
        </w:rPr>
      </w:pPr>
      <w:r>
        <w:rPr>
          <w:rFonts w:ascii="Times New Roman" w:hAnsi="Times New Roman"/>
          <w:sz w:val="20"/>
        </w:rPr>
        <w:t xml:space="preserve">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All payments by the Borrowers hereunder with respect to principal of and interest on Loans denominated in an Alternative Currency shall be made in such Alternative Currency to such account as may be specified by the Administrative Agent. Except as otherwise provided herein, if any payment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(b) If at any time insufficient funds are received by and available to the Administrative Agent to pay fully all amounts of principal, unreimbursed LC Disbursements, interest and fees then due hereunder, such funds shall be applied (i) </w:t>
      </w:r>
      <w:r>
        <w:rPr>
          <w:rFonts w:ascii="Times New Roman" w:hAnsi="Times New Roman"/>
          <w:sz w:val="20"/>
          <w:u w:val="single"/>
        </w:rPr>
        <w:t>first</w:t>
      </w:r>
      <w:r>
        <w:rPr>
          <w:rFonts w:ascii="Times New Roman" w:hAnsi="Times New Roman"/>
          <w:sz w:val="20"/>
        </w:rPr>
        <w:t>, towards payment of interest and fees then due hereunder, ratably among the parties entitled thereto in accordance with the amounts of interest and fees then due to such parties, and (ii) </w:t>
      </w:r>
      <w:r>
        <w:rPr>
          <w:rFonts w:ascii="Times New Roman" w:hAnsi="Times New Roman"/>
          <w:sz w:val="20"/>
          <w:u w:val="single"/>
        </w:rPr>
        <w:t>second</w:t>
      </w:r>
      <w:r>
        <w:rPr>
          <w:rFonts w:ascii="Times New Roman" w:hAnsi="Times New Roman"/>
          <w:sz w:val="20"/>
        </w:rPr>
        <w:t xml:space="preserve">, towards payment of principal and unreimbursed LC Disbursements then due hereunder, ratably among the parties entitled thereto in accordance with the amounts of principal and unreimbursed LC Disbursements then due to such parties.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Borrowers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shall have received notice from the Borrowers prior to the date on which any payment is due to the Administrative Agent for the account of the Lenders or the Issuing Banks hereunder that the Borrowers will not make such payment,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p>
    <w:p>
      <w:pPr>
        <w:pStyle w:val="TextBody"/>
        <w:bidi w:val="0"/>
        <w:spacing w:before="0" w:after="0"/>
        <w:jc w:val="left"/>
        <w:rPr>
          <w:rFonts w:ascii="Times New Roman" w:hAnsi="Times New Roman"/>
          <w:sz w:val="20"/>
        </w:rPr>
      </w:pPr>
      <w:r>
        <w:rPr>
          <w:rFonts w:ascii="Times New Roman" w:hAnsi="Times New Roman"/>
          <w:sz w:val="20"/>
        </w:rPr>
        <w:t xml:space="preserve">may assume that the Borrowers have made such payment on such date in accordance herewith and may, in reliance upon such assumption and in its sole discretion, distribute to the Lenders or Issuing Banks, as the case may be, the amount due. In such event, if the Borrowers have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(e) If any Lender shall fail to make any payment required to be made by it pursuant to </w:t>
      </w:r>
      <w:r>
        <w:rPr>
          <w:rFonts w:ascii="Times New Roman" w:hAnsi="Times New Roman"/>
          <w:sz w:val="20"/>
          <w:u w:val="single"/>
        </w:rPr>
        <w:t>Section 2.04(e)</w:t>
      </w:r>
      <w:r>
        <w:rPr>
          <w:rFonts w:ascii="Times New Roman" w:hAnsi="Times New Roman"/>
          <w:sz w:val="20"/>
        </w:rPr>
        <w:t xml:space="preserve"> or </w:t>
      </w:r>
      <w:r>
        <w:rPr>
          <w:rFonts w:ascii="Times New Roman" w:hAnsi="Times New Roman"/>
          <w:sz w:val="20"/>
          <w:u w:val="single"/>
        </w:rPr>
        <w:t>Section 2.04(f)</w:t>
      </w:r>
      <w:r>
        <w:rPr>
          <w:rFonts w:ascii="Times New Roman" w:hAnsi="Times New Roman"/>
          <w:sz w:val="20"/>
        </w:rPr>
        <w:t xml:space="preserve">, </w:t>
      </w:r>
      <w:r>
        <w:rPr>
          <w:rFonts w:ascii="Times New Roman" w:hAnsi="Times New Roman"/>
          <w:sz w:val="20"/>
          <w:u w:val="single"/>
        </w:rPr>
        <w:t>Section 2.05(a)</w:t>
      </w:r>
      <w:r>
        <w:rPr>
          <w:rFonts w:ascii="Times New Roman" w:hAnsi="Times New Roman"/>
          <w:sz w:val="20"/>
        </w:rPr>
        <w:t xml:space="preserve"> or </w:t>
      </w:r>
      <w:r>
        <w:rPr>
          <w:rFonts w:ascii="Times New Roman" w:hAnsi="Times New Roman"/>
          <w:sz w:val="20"/>
          <w:u w:val="single"/>
        </w:rPr>
        <w:t>Section 2.05(b)</w:t>
      </w:r>
      <w:r>
        <w:rPr>
          <w:rFonts w:ascii="Times New Roman" w:hAnsi="Times New Roman"/>
          <w:sz w:val="20"/>
        </w:rPr>
        <w:t xml:space="preserve">, </w:t>
      </w:r>
      <w:r>
        <w:rPr>
          <w:rFonts w:ascii="Times New Roman" w:hAnsi="Times New Roman"/>
          <w:sz w:val="20"/>
          <w:u w:val="single"/>
        </w:rPr>
        <w:t>Section 2.17(d)</w:t>
      </w:r>
      <w:r>
        <w:rPr>
          <w:rFonts w:ascii="Times New Roman" w:hAnsi="Times New Roman"/>
          <w:sz w:val="20"/>
        </w:rPr>
        <w:t xml:space="preserve">, </w:t>
      </w:r>
      <w:r>
        <w:rPr>
          <w:rFonts w:ascii="Times New Roman" w:hAnsi="Times New Roman"/>
          <w:sz w:val="20"/>
          <w:u w:val="single"/>
        </w:rPr>
        <w:t>Section 9.03(c)</w:t>
      </w:r>
      <w:r>
        <w:rPr>
          <w:rFonts w:ascii="Times New Roman" w:hAnsi="Times New Roman"/>
          <w:sz w:val="20"/>
        </w:rPr>
        <w:t xml:space="preserve"> or </w:t>
      </w:r>
      <w:r>
        <w:rPr>
          <w:rFonts w:ascii="Times New Roman" w:hAnsi="Times New Roman"/>
          <w:sz w:val="20"/>
          <w:u w:val="single"/>
        </w:rPr>
        <w:t>Section 9.03(d)</w:t>
      </w:r>
      <w:r>
        <w:rPr>
          <w:rFonts w:ascii="Times New Roman" w:hAnsi="Times New Roman"/>
          <w:sz w:val="20"/>
        </w:rPr>
        <w:t xml:space="preserve">,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 </w:t>
      </w:r>
    </w:p>
    <w:p>
      <w:pPr>
        <w:pStyle w:val="TextBody"/>
        <w:bidi w:val="0"/>
        <w:spacing w:before="36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w:t>
      </w:r>
      <w:r>
        <w:rPr>
          <w:rFonts w:ascii="Times New Roman" w:hAnsi="Times New Roman"/>
          <w:sz w:val="20"/>
          <w:u w:val="single"/>
        </w:rPr>
        <w:t>Section 2.14</w:t>
      </w:r>
      <w:r>
        <w:rPr>
          <w:rFonts w:ascii="Times New Roman" w:hAnsi="Times New Roman"/>
          <w:sz w:val="20"/>
        </w:rPr>
        <w:t xml:space="preserve">, or if a Borrower is required to pay any additional amount or any indemnity or compensatory amount to any Lender or any Governmental Authority for the account of any Lender pursuant to </w:t>
      </w:r>
      <w:r>
        <w:rPr>
          <w:rFonts w:ascii="Times New Roman" w:hAnsi="Times New Roman"/>
          <w:sz w:val="20"/>
          <w:u w:val="single"/>
        </w:rPr>
        <w:t>Section 2.16</w:t>
      </w:r>
      <w:r>
        <w:rPr>
          <w:rFonts w:ascii="Times New Roman" w:hAnsi="Times New Roman"/>
          <w:sz w:val="20"/>
        </w:rPr>
        <w:t xml:space="preserve"> or any event gives rise to the operation of </w:t>
      </w:r>
      <w:r>
        <w:rPr>
          <w:rFonts w:ascii="Times New Roman" w:hAnsi="Times New Roman"/>
          <w:sz w:val="20"/>
          <w:u w:val="single"/>
        </w:rPr>
        <w:t>Section 2.22</w:t>
      </w:r>
      <w:r>
        <w:rPr>
          <w:rFonts w:ascii="Times New Roman" w:hAnsi="Times New Roman"/>
          <w:sz w:val="20"/>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2.16</w:t>
      </w:r>
      <w:r>
        <w:rPr>
          <w:rFonts w:ascii="Times New Roman" w:hAnsi="Times New Roman"/>
          <w:sz w:val="20"/>
        </w:rPr>
        <w:t xml:space="preserve"> or mitigate the applicability of </w:t>
      </w:r>
      <w:r>
        <w:rPr>
          <w:rFonts w:ascii="Times New Roman" w:hAnsi="Times New Roman"/>
          <w:sz w:val="20"/>
          <w:u w:val="single"/>
        </w:rPr>
        <w:t>Section 2.22</w:t>
      </w:r>
      <w:r>
        <w:rPr>
          <w:rFonts w:ascii="Times New Roman" w:hAnsi="Times New Roman"/>
          <w:sz w:val="20"/>
        </w:rPr>
        <w:t xml:space="preserve">,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w:t>
      </w:r>
      <w:r>
        <w:rPr>
          <w:rFonts w:ascii="Times New Roman" w:hAnsi="Times New Roman"/>
          <w:sz w:val="20"/>
          <w:u w:val="single"/>
        </w:rPr>
        <w:t>Section 2.14</w:t>
      </w:r>
      <w:r>
        <w:rPr>
          <w:rFonts w:ascii="Times New Roman" w:hAnsi="Times New Roman"/>
          <w:sz w:val="20"/>
        </w:rPr>
        <w:t xml:space="preserve"> or gives notice under </w:t>
      </w:r>
      <w:r>
        <w:rPr>
          <w:rFonts w:ascii="Times New Roman" w:hAnsi="Times New Roman"/>
          <w:sz w:val="20"/>
          <w:u w:val="single"/>
        </w:rPr>
        <w:t>Section 2.22</w:t>
      </w:r>
      <w:r>
        <w:rPr>
          <w:rFonts w:ascii="Times New Roman" w:hAnsi="Times New Roman"/>
          <w:sz w:val="20"/>
        </w:rPr>
        <w:t xml:space="preserve">, (ii) a Borrower is required to pay any additional amount or any indemnity or compensatory amount to any Lender or to any Governmental Authority for the account of any Lender pursuant to </w:t>
      </w:r>
      <w:r>
        <w:rPr>
          <w:rFonts w:ascii="Times New Roman" w:hAnsi="Times New Roman"/>
          <w:sz w:val="20"/>
          <w:u w:val="single"/>
        </w:rPr>
        <w:t>Section 2.16</w:t>
      </w:r>
      <w:r>
        <w:rPr>
          <w:rFonts w:ascii="Times New Roman" w:hAnsi="Times New Roman"/>
          <w:sz w:val="20"/>
        </w:rPr>
        <w:t xml:space="preserve">, (iii) any Lender is a Disqualified Lender or (iv) any Lender is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and the other Loan Documents to an Eligible Assignee that shall assume such obligations (which assignee may be another Lender, if a Lender accepts such assignment and delegation); </w:t>
      </w:r>
      <w:r>
        <w:rPr>
          <w:rFonts w:ascii="Times New Roman" w:hAnsi="Times New Roman"/>
          <w:sz w:val="20"/>
          <w:u w:val="single"/>
        </w:rPr>
        <w:t>provided</w:t>
      </w:r>
      <w:r>
        <w:rPr>
          <w:rFonts w:ascii="Times New Roman" w:hAnsi="Times New Roman"/>
          <w:sz w:val="20"/>
        </w:rPr>
        <w:t xml:space="preserve"> that (A) the Borrowers shall have received the prior written consent of the Administrative Agent to the extent such consent would be required under </w:t>
      </w:r>
      <w:r>
        <w:rPr>
          <w:rFonts w:ascii="Times New Roman" w:hAnsi="Times New Roman"/>
          <w:sz w:val="20"/>
          <w:u w:val="single"/>
        </w:rPr>
        <w:t>Section 9.04(b)</w:t>
      </w:r>
      <w:r>
        <w:rPr>
          <w:rFonts w:ascii="Times New Roman" w:hAnsi="Times New Roman"/>
          <w:sz w:val="20"/>
        </w:rPr>
        <w:t xml:space="preserve">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Borrowers (in the case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p>
    <w:p>
      <w:pPr>
        <w:pStyle w:val="TextBody"/>
        <w:bidi w:val="0"/>
        <w:spacing w:before="0" w:after="0"/>
        <w:jc w:val="left"/>
        <w:rPr>
          <w:rFonts w:ascii="Times New Roman" w:hAnsi="Times New Roman"/>
          <w:sz w:val="20"/>
        </w:rPr>
      </w:pPr>
      <w:r>
        <w:rPr>
          <w:rFonts w:ascii="Times New Roman" w:hAnsi="Times New Roman"/>
          <w:sz w:val="20"/>
        </w:rPr>
        <w:t xml:space="preserve">other amounts), (C) the Borrowers or such assignee shall have paid (unless waived) to the Administrative Agent the processing and recordation fee specified in </w:t>
      </w:r>
      <w:r>
        <w:rPr>
          <w:rFonts w:ascii="Times New Roman" w:hAnsi="Times New Roman"/>
          <w:sz w:val="20"/>
          <w:u w:val="single"/>
        </w:rPr>
        <w:t>Section 9.04(b)(ii)</w:t>
      </w:r>
      <w:r>
        <w:rPr>
          <w:rFonts w:ascii="Times New Roman" w:hAnsi="Times New Roman"/>
          <w:sz w:val="20"/>
        </w:rPr>
        <w:t xml:space="preserve"> and (D) in the case of any such assignment resulting from a claim for compensation under </w:t>
      </w:r>
      <w:r>
        <w:rPr>
          <w:rFonts w:ascii="Times New Roman" w:hAnsi="Times New Roman"/>
          <w:sz w:val="20"/>
          <w:u w:val="single"/>
        </w:rPr>
        <w:t>Section 2.14</w:t>
      </w:r>
      <w:r>
        <w:rPr>
          <w:rFonts w:ascii="Times New Roman" w:hAnsi="Times New Roman"/>
          <w:sz w:val="20"/>
        </w:rPr>
        <w:t xml:space="preserve">, or payments required to be made pursuant to </w:t>
      </w:r>
      <w:r>
        <w:rPr>
          <w:rFonts w:ascii="Times New Roman" w:hAnsi="Times New Roman"/>
          <w:sz w:val="20"/>
          <w:u w:val="single"/>
        </w:rPr>
        <w:t>Section 2.16</w:t>
      </w:r>
      <w:r>
        <w:rPr>
          <w:rFonts w:ascii="Times New Roman" w:hAnsi="Times New Roman"/>
          <w:sz w:val="20"/>
        </w:rPr>
        <w:t xml:space="preserve"> or a notice given under </w:t>
      </w:r>
      <w:r>
        <w:rPr>
          <w:rFonts w:ascii="Times New Roman" w:hAnsi="Times New Roman"/>
          <w:sz w:val="20"/>
          <w:u w:val="single"/>
        </w:rPr>
        <w:t>Section 2.22</w:t>
      </w:r>
      <w:r>
        <w:rPr>
          <w:rFonts w:ascii="Times New Roman" w:hAnsi="Times New Roman"/>
          <w:sz w:val="20"/>
        </w:rPr>
        <w:t xml:space="preserve">,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Borrowers to require such assignment and delegation cease to apply. Each party hereto agrees that an assignment required pursuant to this paragraph may be effected pursuant to an Assignment and Assumption executed by the Borrowers, the Administrative Agent and the assignee and that the Lender required to make such assignment need not be a party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Incremental Credit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Borrowers may at any time or from time to time on one or more occasions after the Effective Date request (i) one or more additional Classes of term loans (each, an “</w:t>
      </w:r>
      <w:r>
        <w:rPr>
          <w:rFonts w:ascii="Times New Roman" w:hAnsi="Times New Roman"/>
          <w:sz w:val="20"/>
          <w:u w:val="single"/>
        </w:rPr>
        <w:t>Incremental Term Facility</w:t>
      </w:r>
      <w:r>
        <w:rPr>
          <w:rFonts w:ascii="Times New Roman" w:hAnsi="Times New Roman"/>
          <w:sz w:val="20"/>
        </w:rPr>
        <w:t>”), (ii) one or more additional term loans of the same Class of any existing Class of term loans (each, an “</w:t>
      </w:r>
      <w:r>
        <w:rPr>
          <w:rFonts w:ascii="Times New Roman" w:hAnsi="Times New Roman"/>
          <w:sz w:val="20"/>
          <w:u w:val="single"/>
        </w:rPr>
        <w:t>Incremental Term Increase</w:t>
      </w:r>
      <w:r>
        <w:rPr>
          <w:rFonts w:ascii="Times New Roman" w:hAnsi="Times New Roman"/>
          <w:sz w:val="20"/>
        </w:rPr>
        <w:t>”), (iii) one or more increases in the amount of the Revolving Commitments of any Class (each such increase, an “</w:t>
      </w:r>
      <w:r>
        <w:rPr>
          <w:rFonts w:ascii="Times New Roman" w:hAnsi="Times New Roman"/>
          <w:sz w:val="20"/>
          <w:u w:val="single"/>
        </w:rPr>
        <w:t>Incremental Revolving Commitment Increase</w:t>
      </w:r>
      <w:r>
        <w:rPr>
          <w:rFonts w:ascii="Times New Roman" w:hAnsi="Times New Roman"/>
          <w:sz w:val="20"/>
        </w:rPr>
        <w:t>”) and/or (iv) one or more additional Classes of Revolving Commitments (the “</w:t>
      </w:r>
      <w:r>
        <w:rPr>
          <w:rFonts w:ascii="Times New Roman" w:hAnsi="Times New Roman"/>
          <w:sz w:val="20"/>
          <w:u w:val="single"/>
        </w:rPr>
        <w:t>Additional/Replacement Revolving Commitments</w:t>
      </w:r>
      <w:r>
        <w:rPr>
          <w:rFonts w:ascii="Times New Roman" w:hAnsi="Times New Roman"/>
          <w:sz w:val="20"/>
        </w:rPr>
        <w:t>,” and, together with any Incremental Term Facility, Incremental Term Increase and the Incremental Revolving Commitment Increases, the “</w:t>
      </w:r>
      <w:r>
        <w:rPr>
          <w:rFonts w:ascii="Times New Roman" w:hAnsi="Times New Roman"/>
          <w:sz w:val="20"/>
          <w:u w:val="single"/>
        </w:rPr>
        <w:t>Incremental Facilities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after giving effect to any Incremental Facility Amendment referred to below and at the time that any such Incremental Facility is made or effected, no Event of Default (or, in the case of the incurrence or provision of any Incremental Facility in connection with a Limited Condition Transaction, no Specified Event of Default) shall have occurred and be continuing and (y) in no event shall it be a condition to the effectiveness of, or borrowing under, any Incremental Facility that any representation or warranty of any Loan Party set forth herein be true and correct, except and solely to the extent required by the Additional Lenders providing such Incremental Facility. Notwithstanding anything to the contrary herein, the aggregate principal amount of the Incremental Facilities that can be incurred at any time shall not exceed the Incremental Cap at such time. Each Incremental Facility shall be in a minimum principal amount of $5,000,000 and integral multiples of $1,000,000 in excess thereof (unless the Borrowers and the Administrative Agent otherwise agree); </w:t>
      </w:r>
      <w:r>
        <w:rPr>
          <w:rFonts w:ascii="Times New Roman" w:hAnsi="Times New Roman"/>
          <w:sz w:val="20"/>
          <w:u w:val="single"/>
        </w:rPr>
        <w:t>provided</w:t>
      </w:r>
      <w:r>
        <w:rPr>
          <w:rFonts w:ascii="Times New Roman" w:hAnsi="Times New Roman"/>
          <w:sz w:val="20"/>
        </w:rPr>
        <w:t xml:space="preserve"> that such amount may be less than $5,000,000 if such amount represents all the remaining availability under the aggregate principal amount of Incremental Facilities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(b) (i) The Incremental Term Facilities (a) shall (i) rank equal or junior in right of payment with the Amendment No. 1 Refinancing Term Loans, (ii) if secured, be secured only by the Collateral securing the Secured Obligations (except in the case of any Designated Alternative Security Debt) and (iii) only be guaranteed by the Loan Parties (except in the case of any Designated Alternative Security Debt), (b) except in the case of any Designated Earlier Maturing Debt, shall not mature earlier than the Term Maturity Date, (c) except in the case of any Designated Earlier Maturing Debt, shall not have a shorter Weighted Average Life to Maturity than the remaining Amendment No. 1 Refinancing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and prepayment terms and premiums and other terms and conditions as determined by the applicable Borrower and the Additional Term Lenders thereunder; </w:t>
      </w:r>
      <w:r>
        <w:rPr>
          <w:rFonts w:ascii="Times New Roman" w:hAnsi="Times New Roman"/>
          <w:sz w:val="20"/>
          <w:u w:val="single"/>
        </w:rPr>
        <w:t>provided</w:t>
      </w:r>
      <w:r>
        <w:rPr>
          <w:rFonts w:ascii="Times New Roman" w:hAnsi="Times New Roman"/>
          <w:sz w:val="20"/>
        </w:rPr>
        <w:t xml:space="preserve"> that, for any Incremental Term Facility that (x) is broadly syndicated to banks and other institutional investors, (y) is a term loan that ranks equal in right of payment with the Amendment No. 1 Refinancing Term Loans and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and (z) is denominated in dollars,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p>
    <w:p>
      <w:pPr>
        <w:pStyle w:val="TextBody"/>
        <w:bidi w:val="0"/>
        <w:spacing w:before="0" w:after="0"/>
        <w:jc w:val="left"/>
        <w:rPr>
          <w:rFonts w:ascii="Times New Roman" w:hAnsi="Times New Roman"/>
          <w:sz w:val="20"/>
        </w:rPr>
      </w:pPr>
      <w:r>
        <w:rPr>
          <w:rFonts w:ascii="Times New Roman" w:hAnsi="Times New Roman"/>
          <w:sz w:val="20"/>
        </w:rPr>
        <w:t>the event that the Effective Yield for any such Incremental Term Facility is greater than the Effective Yield for the Amendment No. 1 Refinancing Term Loans by more than 0.50% per annum, then the Effective Yield for the Amendment No. 1 Refinancing Term Loans shall be increased to the extent necessary so that the Effective Yield for the Amendment No. 1 Refinancing Term Loans is equal to the Effective Yield for such Incremental Term Facility minus 0.50% per annum (</w:t>
      </w:r>
      <w:r>
        <w:rPr>
          <w:rFonts w:ascii="Times New Roman" w:hAnsi="Times New Roman"/>
          <w:sz w:val="20"/>
          <w:u w:val="single"/>
        </w:rPr>
        <w:t>provided</w:t>
      </w:r>
      <w:r>
        <w:rPr>
          <w:rFonts w:ascii="Times New Roman" w:hAnsi="Times New Roman"/>
          <w:sz w:val="20"/>
        </w:rPr>
        <w:t xml:space="preserve"> that the “LIBOR floor” applicable to the outstanding Amendment No. 1 Refinancing Term Loans shall be increased to an amount not to exceed the “LIBOR floor” applicable to such Incremental Term Facility prior to any increase in the Applicable Rate applicable to such Amendment No. 1 Refinancing Term Loans then outstanding) and (e) may otherwise have terms and conditions as agreed between the applicable Borrower and the Additional Term Lenders providing any such Incremental Term Facility. </w:t>
      </w:r>
    </w:p>
    <w:p>
      <w:pPr>
        <w:pStyle w:val="TextBody"/>
        <w:bidi w:val="0"/>
        <w:spacing w:before="120" w:after="0"/>
        <w:jc w:val="left"/>
        <w:rPr>
          <w:rFonts w:ascii="Times New Roman" w:hAnsi="Times New Roman"/>
          <w:sz w:val="20"/>
        </w:rPr>
      </w:pPr>
      <w:r>
        <w:rPr>
          <w:rFonts w:ascii="Times New Roman" w:hAnsi="Times New Roman"/>
          <w:sz w:val="20"/>
        </w:rPr>
        <w:t xml:space="preserve">(ii) The Incremental Term Increases shall be treated the same as the Class of Term Loans being increased (including with respect to maturity date thereof), shall be considered to be part of the Class of Term Loans being increased and shall be on the same terms applicable to such Term Loans (excluding upfront fees and customary arranger fees); </w:t>
      </w:r>
      <w:r>
        <w:rPr>
          <w:rFonts w:ascii="Times New Roman" w:hAnsi="Times New Roman"/>
          <w:sz w:val="20"/>
          <w:u w:val="single"/>
        </w:rPr>
        <w:t>provided</w:t>
      </w:r>
      <w:r>
        <w:rPr>
          <w:rFonts w:ascii="Times New Roman" w:hAnsi="Times New Roman"/>
          <w:sz w:val="20"/>
        </w:rPr>
        <w:t xml:space="preserve"> that (i) the pricing, interest rate margins, “most favored nation” (if any) provisions and rate floors on the Class of Term Loans being increased may be increased and additional upfront or similar fees may be payable to the lenders providing the Incremental Term Increase (without any requirement to pay such fees to any existing Term Lenders) and (ii) such Incremental Term Increase shall be subject to the “most favored nation” pricing adjustment (if applicable) set forth in the proviso to </w:t>
      </w:r>
      <w:r>
        <w:rPr>
          <w:rFonts w:ascii="Times New Roman" w:hAnsi="Times New Roman"/>
          <w:sz w:val="20"/>
          <w:u w:val="single"/>
        </w:rPr>
        <w:t>Section 2.19(b)(i)</w:t>
      </w:r>
      <w:r>
        <w:rPr>
          <w:rFonts w:ascii="Times New Roman" w:hAnsi="Times New Roman"/>
          <w:sz w:val="20"/>
        </w:rPr>
        <w:t xml:space="preserve"> as if such Incremental Term Increase was an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Times New Roman" w:hAnsi="Times New Roman"/>
          <w:sz w:val="20"/>
          <w:u w:val="single"/>
        </w:rPr>
        <w:t>provided</w:t>
      </w:r>
      <w:r>
        <w:rPr>
          <w:rFonts w:ascii="Times New Roman" w:hAnsi="Times New Roman"/>
          <w:sz w:val="20"/>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(iv) The Additional/Replacement Revolving Commitments (a) shall (i) rank equal or junior in right of payment with the Revolving Loans, (ii) if secured, be secured only by the Collateral securing the Secured Obligations (except in the case of any Designated Alternative Security Debt) and (iii) only be guaranteed by the Loan Parties (except in the case of any Designated Alternative Security Debt),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applicable Borrower and Additional Revolving Lenders providing such commitments and (d) may otherwise have terms and conditions as agreed between the applicable Borrower and Additional Revolving Lenders providing any such Additional/Replacement Revolving Commitments. </w:t>
      </w:r>
    </w:p>
    <w:p>
      <w:pPr>
        <w:pStyle w:val="TextBody"/>
        <w:bidi w:val="0"/>
        <w:spacing w:before="240" w:after="0"/>
        <w:jc w:val="left"/>
        <w:rPr>
          <w:rFonts w:ascii="Times New Roman" w:hAnsi="Times New Roman"/>
          <w:sz w:val="20"/>
        </w:rPr>
      </w:pPr>
      <w:r>
        <w:rPr>
          <w:rFonts w:ascii="Times New Roman" w:hAnsi="Times New Roman"/>
          <w:sz w:val="20"/>
        </w:rPr>
        <w:t>(c) Incremental Facilities shall become Commitments and Loans, as applicable, under this Agreement pursuant to an amendment (an “</w:t>
      </w:r>
      <w:r>
        <w:rPr>
          <w:rFonts w:ascii="Times New Roman" w:hAnsi="Times New Roman"/>
          <w:sz w:val="20"/>
          <w:u w:val="single"/>
        </w:rPr>
        <w:t>Incremental Facility Amendment</w:t>
      </w:r>
      <w:r>
        <w:rPr>
          <w:rFonts w:ascii="Times New Roman" w:hAnsi="Times New Roman"/>
          <w:sz w:val="20"/>
        </w:rPr>
        <w:t xml:space="preserve">”) to this Agreement and, as appropriate, the other Loan Documents, executed by the Borrower Representative, each Lender agreeing to provide such Commitment or Loan, if any, each Additional Lender, if 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Any Incremental Facility Amendment may provide for the issuance of Letters of Credit for the account of the Revolving Borrowers,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hAnsi="Times New Roman"/>
          <w:sz w:val="20"/>
          <w:u w:val="single"/>
        </w:rPr>
        <w:t>provided</w:t>
      </w:r>
      <w:r>
        <w:rPr>
          <w:rFonts w:ascii="Times New Roman" w:hAnsi="Times New Roman"/>
          <w:sz w:val="20"/>
        </w:rPr>
        <w:t xml:space="preserve"> that no Issuing Bank shall be required to act as “issuing bank” and no Swingline Lender shall be required to act as “swingline lender” under any such Incremental Facility Amendment without its written consent. An Incremental Facility may be provided, subject to the prior written consent of the Borrower Representative (not to be unreasonably withheld), by any existing Lender (it being understood that no existing Lender shall have the right to participate in any Incremental Facility or, unless it agrees, be obligated to provide any Incremental Facilities) or by any Additional Lender. Any loan under an Incremental Facility shall be a “Loan” for all purposes of this Agreement and the other Loan Documents. The Incremental Facility Amendment may, subject to </w:t>
      </w:r>
      <w:r>
        <w:rPr>
          <w:rFonts w:ascii="Times New Roman" w:hAnsi="Times New Roman"/>
          <w:sz w:val="20"/>
          <w:u w:val="single"/>
        </w:rPr>
        <w:t>Section 2.19(b)</w:t>
      </w:r>
      <w:r>
        <w:rPr>
          <w:rFonts w:ascii="Times New Roman" w:hAnsi="Times New Roman"/>
          <w:sz w:val="20"/>
        </w:rPr>
        <w:t xml:space="preserve">, without the consent of any other Lenders, effect such amendments to this Agreement and the other Loan Documents as may be necessary, in the reasonable opinion of the Administrative Agent and the Borrower Representative, to effect the provisions of this </w:t>
      </w:r>
      <w:r>
        <w:rPr>
          <w:rFonts w:ascii="Times New Roman" w:hAnsi="Times New Roman"/>
          <w:sz w:val="20"/>
          <w:u w:val="single"/>
        </w:rPr>
        <w:t>Section 2.19</w:t>
      </w:r>
      <w:r>
        <w:rPr>
          <w:rFonts w:ascii="Times New Roman" w:hAnsi="Times New Roman"/>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w:t>
      </w:r>
      <w:r>
        <w:rPr>
          <w:rFonts w:ascii="Times New Roman" w:hAnsi="Times New Roman"/>
          <w:sz w:val="20"/>
          <w:u w:val="single"/>
        </w:rPr>
        <w:t>Section 2.19</w:t>
      </w:r>
      <w:r>
        <w:rPr>
          <w:rFonts w:ascii="Times New Roman" w:hAnsi="Times New Roman"/>
          <w:sz w:val="20"/>
        </w:rPr>
        <w:t xml:space="preserve">. The Borrowers will use the proceeds of the Incremental Term Loans, Incremental Revolving Commitment Increases and Additional/Replacement Revolving Commitments for any purpose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this </w:t>
      </w:r>
      <w:r>
        <w:rPr>
          <w:rFonts w:ascii="Times New Roman" w:hAnsi="Times New Roman"/>
          <w:sz w:val="20"/>
          <w:u w:val="single"/>
        </w:rPr>
        <w:t>Section 2.19</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after the Effective Date, the Borrowers may obtain, from any Lender or any Additional Lender, Credit Agreement Refinancing Indebtedness in respect of (i) all or any portion of the Term Loans then outstanding under this Agreement (which for purposes of this clause (i) will be deemed to include any then outstanding Other Term Loans), (ii) all or any portion of the Revolving Loans (or unused Revolving Commitments) under this Agreement (which for purposes of this clause (ii) will be deemed to include any then outstanding Other Revolving Loans and Other Revolving Commitments) and (iii) all or any portion of Incremental Equivalent Debt, in the form of (x) Other Term Loans or Other Term Commitments or (y) Other Revolving Loans or Other Revolving Commitments, as the case may be, in each case pursuant to a Refinancing Amendment; </w:t>
      </w:r>
      <w:r>
        <w:rPr>
          <w:rFonts w:ascii="Times New Roman" w:hAnsi="Times New Roman"/>
          <w:sz w:val="20"/>
          <w:u w:val="single"/>
        </w:rPr>
        <w:t>provided</w:t>
      </w:r>
      <w:r>
        <w:rPr>
          <w:rFonts w:ascii="Times New Roman" w:hAnsi="Times New Roman"/>
          <w:sz w:val="20"/>
        </w:rPr>
        <w:t xml:space="preserve"> that such Credit Agreement Refinancing Indebtedness (i) will be unsecured or will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(and if secured, subject to the terms of a Customary Intercreditor Agreement), (ii) will have such pricing and optional prepayment terms as may be agreed by the Borrowers and the Lenders thereof, and (iii) the Net Proceeds of such Credit Agreement Refinancing Indebtedness shall be applied, substantially concurrently with the incurrence thereof, to the prepayment of outstanding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p>
    <w:p>
      <w:pPr>
        <w:pStyle w:val="TextBody"/>
        <w:bidi w:val="0"/>
        <w:spacing w:before="0" w:after="0"/>
        <w:jc w:val="left"/>
        <w:rPr>
          <w:rFonts w:ascii="Times New Roman" w:hAnsi="Times New Roman"/>
          <w:sz w:val="20"/>
        </w:rPr>
      </w:pPr>
      <w:r>
        <w:rPr>
          <w:rFonts w:ascii="Times New Roman" w:hAnsi="Times New Roman"/>
          <w:sz w:val="20"/>
        </w:rPr>
        <w:t xml:space="preserve">Loans, reduction of Revolving Commitments being so refinanced or the prepayment, satisfaction and discharge or redemption of outstanding Incremental Equivalent Debt, as the case may be. The effectiveness of any Refinancing Amendment shall be subject to the satisfaction on the date thereof of the conditions as agreed between the lenders providing such Credit Agreement Refinancing Indebtedness and the Borrowers and, to the extent reasonably requested by the Administrative Agent, receipt by the Administrative Agent of legal opinions, board resolutions, officers’ certificates and/or reaffirmation agreements consistent with those delivered on the Effective Date under </w:t>
      </w:r>
      <w:r>
        <w:rPr>
          <w:rFonts w:ascii="Times New Roman" w:hAnsi="Times New Roman"/>
          <w:sz w:val="20"/>
          <w:u w:val="single"/>
        </w:rPr>
        <w:t>Section 4.01</w:t>
      </w:r>
      <w:r>
        <w:rPr>
          <w:rFonts w:ascii="Times New Roman" w:hAnsi="Times New Roman"/>
          <w:sz w:val="20"/>
        </w:rPr>
        <w:t xml:space="preserve"> (other than changes to such legal opinions resulting from a change in law, change in fact or change to counsel’s form of opinion reasonably satisfactory to the Administrative Agent). Each Class of Credit Agreement Refinancing Indebtedness incurred under this </w:t>
      </w:r>
      <w:r>
        <w:rPr>
          <w:rFonts w:ascii="Times New Roman" w:hAnsi="Times New Roman"/>
          <w:sz w:val="20"/>
          <w:u w:val="single"/>
        </w:rPr>
        <w:t>Section 2.20</w:t>
      </w:r>
      <w:r>
        <w:rPr>
          <w:rFonts w:ascii="Times New Roman" w:hAnsi="Times New Roman"/>
          <w:sz w:val="20"/>
        </w:rPr>
        <w:t xml:space="preserve"> shall be in an aggregate principal amount that is not less than $5,000,000 and an integral multiple of $1,000,000 in excess thereof (in each case unless the Borrowers and the Administrative Agent otherwise agree). Any Refinancing Amendment may provide for the issuance of Letters of Credit for the account of the Revolving Borrowers, or the provision to the Revolving Borrowers of Swingline Loans, pursuant to any Other Revolving Commitments established thereby, in each case on terms substantially equivalent to the terms applicable to Letters of Credit and Swingline Loans under the Revolving Commitments; </w:t>
      </w:r>
      <w:r>
        <w:rPr>
          <w:rFonts w:ascii="Times New Roman" w:hAnsi="Times New Roman"/>
          <w:sz w:val="20"/>
          <w:u w:val="single"/>
        </w:rPr>
        <w:t>provided</w:t>
      </w:r>
      <w:r>
        <w:rPr>
          <w:rFonts w:ascii="Times New Roman" w:hAnsi="Times New Roman"/>
          <w:sz w:val="20"/>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Borrowers, to effect the provisions of this </w:t>
      </w:r>
      <w:r>
        <w:rPr>
          <w:rFonts w:ascii="Times New Roman" w:hAnsi="Times New Roman"/>
          <w:sz w:val="20"/>
          <w:u w:val="single"/>
        </w:rPr>
        <w:t>Section 2.20</w:t>
      </w:r>
      <w:r>
        <w:rPr>
          <w:rFonts w:ascii="Times New Roman" w:hAnsi="Times New Roman"/>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2.20</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w:t>
      </w:r>
      <w:r>
        <w:rPr>
          <w:rFonts w:ascii="Times New Roman" w:hAnsi="Times New Roman"/>
          <w:sz w:val="20"/>
          <w:u w:val="single"/>
        </w:rPr>
        <w:t>Section 9.02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Subject to the last sentence of </w:t>
      </w:r>
      <w:r>
        <w:rPr>
          <w:rFonts w:ascii="Times New Roman" w:hAnsi="Times New Roman"/>
          <w:sz w:val="20"/>
          <w:u w:val="single"/>
        </w:rPr>
        <w:t>Section 2.10(f)</w:t>
      </w:r>
      <w:r>
        <w:rPr>
          <w:rFonts w:ascii="Times New Roman" w:hAnsi="Times New Roman"/>
          <w:sz w:val="20"/>
        </w:rPr>
        <w:t>, any payment of principal, interest, fees or other amounts received by the Administrative Agent for the account of that Defaulting Lender (whether voluntary or mandatory, at maturity, pursuant to</w:t>
      </w:r>
      <w:r>
        <w:rPr>
          <w:rFonts w:ascii="Times New Roman" w:hAnsi="Times New Roman"/>
          <w:sz w:val="20"/>
          <w:u w:val="single"/>
        </w:rPr>
        <w:t xml:space="preserve"> Article VII</w:t>
      </w:r>
      <w:r>
        <w:rPr>
          <w:rFonts w:ascii="Times New Roman" w:hAnsi="Times New Roman"/>
          <w:sz w:val="20"/>
        </w:rPr>
        <w:t xml:space="preserve"> or otherwise, and including any amounts made available to the Administrative Agent by that Defaulting Lender pursuant to </w:t>
      </w:r>
      <w:r>
        <w:rPr>
          <w:rFonts w:ascii="Times New Roman" w:hAnsi="Times New Roman"/>
          <w:sz w:val="20"/>
          <w:u w:val="single"/>
        </w:rPr>
        <w:t>Section 9.08</w:t>
      </w:r>
      <w:r>
        <w:rPr>
          <w:rFonts w:ascii="Times New Roman" w:hAnsi="Times New Roman"/>
          <w:sz w:val="20"/>
        </w:rPr>
        <w:t xml:space="preserv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that Defaulting Lender to the Administrative Agent hereunder; </w:t>
      </w:r>
      <w:r>
        <w:rPr>
          <w:rFonts w:ascii="Times New Roman" w:hAnsi="Times New Roman"/>
          <w:sz w:val="20"/>
          <w:u w:val="single"/>
        </w:rPr>
        <w:t>second</w:t>
      </w:r>
      <w:r>
        <w:rPr>
          <w:rFonts w:ascii="Times New Roman" w:hAnsi="Times New Roman"/>
          <w:sz w:val="20"/>
        </w:rPr>
        <w:t xml:space="preserve">, in the case of a Revolving Lender, to the payment on a pro rata basis of any amounts owing by that Defaulting Lender to each Issuing Bank and the Swingline Lender hereunder; </w:t>
      </w:r>
      <w:r>
        <w:rPr>
          <w:rFonts w:ascii="Times New Roman" w:hAnsi="Times New Roman"/>
          <w:sz w:val="20"/>
          <w:u w:val="single"/>
        </w:rPr>
        <w:t>third</w:t>
      </w:r>
      <w:r>
        <w:rPr>
          <w:rFonts w:ascii="Times New Roman" w:hAnsi="Times New Roman"/>
          <w:sz w:val="20"/>
        </w:rPr>
        <w:t xml:space="preserve">, as the Borrowers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sz w:val="20"/>
          <w:u w:val="single"/>
        </w:rPr>
        <w:t>fourth</w:t>
      </w:r>
      <w:r>
        <w:rPr>
          <w:rFonts w:ascii="Times New Roman" w:hAnsi="Times New Roman"/>
          <w:sz w:val="20"/>
        </w:rPr>
        <w:t xml:space="preserve">, in the case of a Revolving Lender, if so determined by the Administrative Agent and the Borrowers, to be held in a non-interest bearing deposit account and released in order to satisfy obligations of that Defaulting Lender to fund Loans under this Agreement; </w:t>
      </w:r>
      <w:r>
        <w:rPr>
          <w:rFonts w:ascii="Times New Roman" w:hAnsi="Times New Roman"/>
          <w:sz w:val="20"/>
          <w:u w:val="single"/>
        </w:rPr>
        <w:t>fifth</w:t>
      </w:r>
      <w:r>
        <w:rPr>
          <w:rFonts w:ascii="Times New Roman" w:hAnsi="Times New Roman"/>
          <w:sz w:val="20"/>
        </w:rPr>
        <w:t>, to the payment of any amounts owing to the Lenders or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w:t>
      </w:r>
      <w:r>
        <w:rPr>
          <w:rFonts w:ascii="Times New Roman" w:hAnsi="Times New Roman"/>
          <w:sz w:val="20"/>
          <w:u w:val="single"/>
        </w:rPr>
        <w:t xml:space="preserve"> sixth</w:t>
      </w:r>
      <w:r>
        <w:rPr>
          <w:rFonts w:ascii="Times New Roman" w:hAnsi="Times New Roman"/>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hAnsi="Times New Roman"/>
          <w:sz w:val="20"/>
          <w:u w:val="single"/>
        </w:rPr>
        <w:t>seventh</w:t>
      </w:r>
      <w:r>
        <w:rPr>
          <w:rFonts w:ascii="Times New Roman" w:hAnsi="Times New Roman"/>
          <w:sz w:val="20"/>
        </w:rPr>
        <w:t xml:space="preserve">, to that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Times New Roman" w:hAnsi="Times New Roman"/>
          <w:sz w:val="20"/>
          <w:u w:val="single"/>
        </w:rPr>
        <w:t>Section 2.04(j)</w:t>
      </w:r>
      <w:r>
        <w:rPr>
          <w:rFonts w:ascii="Times New Roman" w:hAnsi="Times New Roman"/>
          <w:sz w:val="20"/>
        </w:rPr>
        <w:t xml:space="preserve"> or this </w:t>
      </w:r>
      <w:r>
        <w:rPr>
          <w:rFonts w:ascii="Times New Roman" w:hAnsi="Times New Roman"/>
          <w:sz w:val="20"/>
          <w:u w:val="single"/>
        </w:rPr>
        <w:t>Section 2.21(a)(ii)</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w:t>
      </w:r>
      <w:r>
        <w:rPr>
          <w:rFonts w:ascii="Times New Roman" w:hAnsi="Times New Roman"/>
          <w:sz w:val="20"/>
          <w:u w:val="single"/>
        </w:rPr>
        <w:t>Section 2.04(j)</w:t>
      </w:r>
      <w:r>
        <w:rPr>
          <w:rFonts w:ascii="Times New Roman" w:hAnsi="Times New Roman"/>
          <w:sz w:val="20"/>
        </w:rPr>
        <w:t xml:space="preserve"> shall be deemed paid to and redirected by that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(x) shall not be entitled to receive or accrue any commitment fee pursuant to </w:t>
      </w:r>
      <w:r>
        <w:rPr>
          <w:rFonts w:ascii="Times New Roman" w:hAnsi="Times New Roman"/>
          <w:sz w:val="20"/>
          <w:u w:val="single"/>
        </w:rPr>
        <w:t>Section 2.11(a)</w:t>
      </w:r>
      <w:r>
        <w:rPr>
          <w:rFonts w:ascii="Times New Roman" w:hAnsi="Times New Roman"/>
          <w:sz w:val="20"/>
        </w:rPr>
        <w:t xml:space="preserve"> 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Applicable Percentages to Reduce Fronting Exposure</w:t>
      </w:r>
      <w:r>
        <w:rPr>
          <w:rFonts w:ascii="Times New Roman" w:hAnsi="Times New Roman"/>
          <w:sz w:val="20"/>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Times New Roman" w:hAnsi="Times New Roman"/>
          <w:sz w:val="20"/>
          <w:u w:val="single"/>
        </w:rPr>
        <w:t>Section 2.04</w:t>
      </w:r>
      <w:r>
        <w:rPr>
          <w:rFonts w:ascii="Times New Roman" w:hAnsi="Times New Roman"/>
          <w:sz w:val="20"/>
        </w:rPr>
        <w:t xml:space="preserve">, respectively, and the payments of participation fees pursuant to </w:t>
      </w:r>
      <w:r>
        <w:rPr>
          <w:rFonts w:ascii="Times New Roman" w:hAnsi="Times New Roman"/>
          <w:sz w:val="20"/>
          <w:u w:val="single"/>
        </w:rPr>
        <w:t>Section 2.11(b)</w:t>
      </w:r>
      <w:r>
        <w:rPr>
          <w:rFonts w:ascii="Times New Roman" w:hAnsi="Times New Roman"/>
          <w:sz w:val="20"/>
        </w:rPr>
        <w:t xml:space="preserve">, the “Applicable Percentage” of each non- Defaulting Lender shall be computed without giving effect to the Revolving Commitment of that Defaulting Lender; </w:t>
      </w:r>
      <w:r>
        <w:rPr>
          <w:rFonts w:ascii="Times New Roman" w:hAnsi="Times New Roman"/>
          <w:sz w:val="20"/>
          <w:u w:val="single"/>
        </w:rPr>
        <w:t>provided</w:t>
      </w:r>
      <w:r>
        <w:rPr>
          <w:rFonts w:ascii="Times New Roman" w:hAnsi="Times New Roman"/>
          <w:sz w:val="20"/>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hAnsi="Times New Roman"/>
          <w:sz w:val="20"/>
          <w:u w:val="single"/>
        </w:rPr>
        <w:t>minus</w:t>
      </w:r>
      <w:r>
        <w:rPr>
          <w:rFonts w:ascii="Times New Roman" w:hAnsi="Times New Roman"/>
          <w:sz w:val="20"/>
        </w:rPr>
        <w:t xml:space="preserve"> (2) the aggregate principal amount of the Revolving Loans of that non-Defaulting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Cash Collateral; Repayment of Swingline Loans</w:t>
      </w:r>
      <w:r>
        <w:rPr>
          <w:rFonts w:ascii="Times New Roman" w:hAnsi="Times New Roman"/>
          <w:sz w:val="20"/>
        </w:rPr>
        <w:t xml:space="preserve">. If the reallocation described in clause (iv) above cannot, or can only partially, be effected, the Borrowers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w:t>
      </w:r>
      <w:r>
        <w:rPr>
          <w:rFonts w:ascii="Times New Roman" w:hAnsi="Times New Roman"/>
          <w:sz w:val="20"/>
          <w:u w:val="single"/>
        </w:rPr>
        <w:t>Section 2.04(j)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Borrowers, the Administrative Agent,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w:t>
      </w:r>
      <w:r>
        <w:rPr>
          <w:rFonts w:ascii="Times New Roman" w:hAnsi="Times New Roman"/>
          <w:sz w:val="20"/>
          <w:u w:val="single"/>
        </w:rPr>
        <w:t>Section 2.21(a)(iv)</w:t>
      </w:r>
      <w:r>
        <w:rPr>
          <w:rFonts w:ascii="Times New Roman" w:hAnsi="Times New Roman"/>
          <w:sz w:val="20"/>
        </w:rPr>
        <w:t xml:space="preserve"> or the proviso to the definition thereof), whereupon that Lender will cease to be a Defaulting Lender with respect to such Class;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Borrowers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Illegality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Borrowers through the Administrative Agent, (i) any obligation of such Lender to make or continue Eurodollar Loans or to convert ABR Loans to Eurodollar Loans shall be suspended, and (ii)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Borrowers that the circumstances giving rise to such determination no longer exist. Upon receipt of such notice, (x) the Borrowers shall, upon three Business Days’ notice from such Lender (with a copy to the Administrative Agent), prepay or, if applicable, convert all Eurodollar Loans denominated in dollars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Borrowers in writing promptly upon becoming aware that it is no longer illegal for such Lender to determine or charge interest rates based upon the Adjusted LIBO Rate. Upon any such prepayment or conversion, the Borrowers shall also pay accrued interest on the amount so prepaid or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p>
    <w:p>
      <w:pPr>
        <w:pStyle w:val="TextBody"/>
        <w:bidi w:val="0"/>
        <w:spacing w:before="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Loan Modification Offers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any time after the Effective Date, the Borrowers may on one or more occasions, by written notice to the Administrative Agent, make one or more offers (each, a “</w:t>
      </w:r>
      <w:r>
        <w:rPr>
          <w:rFonts w:ascii="Times New Roman" w:hAnsi="Times New Roman"/>
          <w:sz w:val="20"/>
          <w:u w:val="single"/>
        </w:rPr>
        <w:t>Loan Modification Offer</w:t>
      </w:r>
      <w:r>
        <w:rPr>
          <w:rFonts w:ascii="Times New Roman" w:hAnsi="Times New Roman"/>
          <w:sz w:val="20"/>
        </w:rPr>
        <w:t>”) to all the Lenders of one or more Classes (each Class subject to such a Loan Modification Offer, an “</w:t>
      </w:r>
      <w:r>
        <w:rPr>
          <w:rFonts w:ascii="Times New Roman" w:hAnsi="Times New Roman"/>
          <w:sz w:val="20"/>
          <w:u w:val="single"/>
        </w:rPr>
        <w:t>Affected Class</w:t>
      </w:r>
      <w:r>
        <w:rPr>
          <w:rFonts w:ascii="Times New Roman" w:hAnsi="Times New Roman"/>
          <w:sz w:val="20"/>
        </w:rPr>
        <w:t>”) to effect one or more Permitted Amendments relating to such Affected Class pursuant to procedures reasonably specified by the Administrative Agent and reasonably acceptable to the Borrowers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hAnsi="Times New Roman"/>
          <w:sz w:val="20"/>
          <w:u w:val="single"/>
        </w:rPr>
        <w:t>Accepting Lenders</w:t>
      </w:r>
      <w:r>
        <w:rPr>
          <w:rFonts w:ascii="Times New Roman" w:hAnsi="Times New Roman"/>
          <w:sz w:val="20"/>
        </w:rPr>
        <w:t xml:space="preserve">”) and, in the case of any Accepting Lender, only with respect to such Lender’s Loans and Commitments of such Affected Class as to which such Lender’s acceptance has been made. </w:t>
      </w:r>
    </w:p>
    <w:p>
      <w:pPr>
        <w:pStyle w:val="TextBody"/>
        <w:bidi w:val="0"/>
        <w:spacing w:before="240" w:after="0"/>
        <w:jc w:val="left"/>
        <w:rPr>
          <w:rFonts w:ascii="Times New Roman" w:hAnsi="Times New Roman"/>
          <w:sz w:val="20"/>
        </w:rPr>
      </w:pPr>
      <w:r>
        <w:rPr>
          <w:rFonts w:ascii="Times New Roman" w:hAnsi="Times New Roman"/>
          <w:sz w:val="20"/>
        </w:rPr>
        <w:t xml:space="preserve">(b) A Permitted Amendment shall be effected pursuant to a Loan Modification Agreement executed and delivered by Holdings, the Borrowers, each applicable Accepting Lender and the Administrative Agent; </w:t>
      </w:r>
      <w:r>
        <w:rPr>
          <w:rFonts w:ascii="Times New Roman" w:hAnsi="Times New Roman"/>
          <w:sz w:val="20"/>
          <w:u w:val="single"/>
        </w:rPr>
        <w:t>provided</w:t>
      </w:r>
      <w:r>
        <w:rPr>
          <w:rFonts w:ascii="Times New Roman" w:hAnsi="Times New Roman"/>
          <w:sz w:val="20"/>
        </w:rPr>
        <w:t xml:space="preserve"> that no Permitted Amendment shall become effective unless Holdings and the Borrowers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 w:hAnsi="Times New Roman"/>
          <w:sz w:val="20"/>
          <w:u w:val="single"/>
        </w:rPr>
        <w:t>Section 2.23</w:t>
      </w:r>
      <w:r>
        <w:rPr>
          <w:rFonts w:ascii="Times New Roman" w:hAnsi="Times New Roman"/>
          <w:sz w:val="20"/>
        </w:rPr>
        <w:t xml:space="preserve">, including any amendments necessary to treat the applicable Loans and/or Commitments of the Accepting Lenders as a new “Class” of loans and/or commitments hereunder. </w:t>
      </w:r>
    </w:p>
    <w:p>
      <w:pPr>
        <w:pStyle w:val="TextBody"/>
        <w:bidi w:val="0"/>
        <w:spacing w:before="240" w:after="0"/>
        <w:jc w:val="left"/>
        <w:rPr>
          <w:rFonts w:ascii="Times New Roman" w:hAnsi="Times New Roman"/>
          <w:sz w:val="20"/>
        </w:rPr>
      </w:pPr>
      <w:r>
        <w:rPr>
          <w:rFonts w:ascii="Times New Roman" w:hAnsi="Times New Roman"/>
          <w:sz w:val="20"/>
        </w:rPr>
        <w:t>(c) If, in connection with any proposed Loan Modification Offer, any Lender declines to consent to such Loan Modification Offer on the terms and by the deadline set forth in such Loan Modification Offer (each such Lender, a “</w:t>
      </w:r>
      <w:r>
        <w:rPr>
          <w:rFonts w:ascii="Times New Roman" w:hAnsi="Times New Roman"/>
          <w:sz w:val="20"/>
          <w:u w:val="single"/>
        </w:rPr>
        <w:t>Non-Accepting Lender</w:t>
      </w:r>
      <w:r>
        <w:rPr>
          <w:rFonts w:ascii="Times New Roman" w:hAnsi="Times New Roman"/>
          <w:sz w:val="20"/>
        </w:rPr>
        <w:t xml:space="preserve">”) then the Borrowers may, on notice to the Administrative Agent and the Non-Accepting Lender, (i) replace such Non-Accepting Lender in whole or in part by causing such Lender to (and such Lender shall be obligated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Borrowers to find a replacement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Times New Roman" w:hAnsi="Times New Roman"/>
          <w:sz w:val="20"/>
          <w:u w:val="single"/>
        </w:rPr>
        <w:t>Section 2.23(c)</w:t>
      </w:r>
      <w:r>
        <w:rPr>
          <w:rFonts w:ascii="Times New Roman" w:hAnsi="Times New Roman"/>
          <w:sz w:val="20"/>
        </w:rPr>
        <w:t xml:space="preserve">, accrued interest thereon, accrued fees and all other amounts (including any amounts under </w:t>
      </w:r>
      <w:r>
        <w:rPr>
          <w:rFonts w:ascii="Times New Roman" w:hAnsi="Times New Roman"/>
          <w:sz w:val="20"/>
          <w:u w:val="single"/>
        </w:rPr>
        <w:t>Section 2.10(a)(i)</w:t>
      </w:r>
      <w:r>
        <w:rPr>
          <w:rFonts w:ascii="Times New Roman" w:hAnsi="Times New Roman"/>
          <w:sz w:val="20"/>
        </w:rPr>
        <w:t xml:space="preserve">) payable to it hereunder from the Eligible Assignee (to the extent of such outstanding principal and accrued interest and fees) and (c) unless waived, the Borrowers or such Eligible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this </w:t>
      </w:r>
      <w:r>
        <w:rPr>
          <w:rFonts w:ascii="Times New Roman" w:hAnsi="Times New Roman"/>
          <w:sz w:val="20"/>
          <w:u w:val="single"/>
        </w:rPr>
        <w:t>Section 2.23</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(including </w:t>
      </w:r>
      <w:r>
        <w:rPr>
          <w:rFonts w:ascii="Times New Roman" w:hAnsi="Times New Roman"/>
          <w:sz w:val="20"/>
          <w:u w:val="single"/>
        </w:rPr>
        <w:t>Section 2.21</w:t>
      </w:r>
      <w:r>
        <w:rPr>
          <w:rFonts w:ascii="Times New Roman" w:hAnsi="Times New Roman"/>
          <w:sz w:val="20"/>
        </w:rPr>
        <w:t xml:space="preserve">)), in reliance upon the agreements of the other Lenders set forth in this </w:t>
      </w:r>
      <w:r>
        <w:rPr>
          <w:rFonts w:ascii="Times New Roman" w:hAnsi="Times New Roman"/>
          <w:sz w:val="20"/>
          <w:u w:val="single"/>
        </w:rPr>
        <w:t>Section 2.24</w:t>
      </w:r>
      <w:r>
        <w:rPr>
          <w:rFonts w:ascii="Times New Roman" w:hAnsi="Times New Roman"/>
          <w:sz w:val="20"/>
        </w:rPr>
        <w:t xml:space="preserve">, the Swingline Lender agrees to make Swingline Loans to the Revolving Borrowers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Revolving Borrowers may borrow, prepay and re-borrow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(b) To request a Swingline Loan, a Revolving Borrower shall notify the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a Revolving Borrower maintained with the Swingline Lender because such Revolving Borrower is unable to maintain a general deposit account with the Swingline Lender under applicable Requirements of Law, the location and number of such Revolving Borrower’s account to which funds are to be disbursed, which shall comply with </w:t>
      </w:r>
      <w:r>
        <w:rPr>
          <w:rFonts w:ascii="Times New Roman" w:hAnsi="Times New Roman"/>
          <w:sz w:val="20"/>
          <w:u w:val="single"/>
        </w:rPr>
        <w:t>Section 2.05</w:t>
      </w:r>
      <w:r>
        <w:rPr>
          <w:rFonts w:ascii="Times New Roman" w:hAnsi="Times New Roman"/>
          <w:sz w:val="20"/>
        </w:rPr>
        <w:t xml:space="preserve">, or (y) in the case of any ABR Revolving Borrowing or Swingline Loan requested to finance the reimbursement of an LC Disbursement as provided in </w:t>
      </w:r>
      <w:r>
        <w:rPr>
          <w:rFonts w:ascii="Times New Roman" w:hAnsi="Times New Roman"/>
          <w:sz w:val="20"/>
          <w:u w:val="single"/>
        </w:rPr>
        <w:t>Section 2.04(f)</w:t>
      </w:r>
      <w:r>
        <w:rPr>
          <w:rFonts w:ascii="Times New Roman" w:hAnsi="Times New Roman"/>
          <w:sz w:val="20"/>
        </w:rPr>
        <w:t xml:space="preserve">, the identity of the Issuing Bank that made such LC Disbursement. The Swingline Lender shall make each Swingline Loan available to such Revolving Borrower by means of a credit to the general deposit accounts of such Revolving Borrower maintained with the Swingline Lender for the applicable Swingline Loan (or, in the case of a Swingline Loan made to finance the reimbursement of an LC Disbursement as provided in </w:t>
      </w:r>
      <w:r>
        <w:rPr>
          <w:rFonts w:ascii="Times New Roman" w:hAnsi="Times New Roman"/>
          <w:sz w:val="20"/>
          <w:u w:val="single"/>
        </w:rPr>
        <w:t>Section 2.04(f)</w:t>
      </w:r>
      <w:r>
        <w:rPr>
          <w:rFonts w:ascii="Times New Roman" w:hAnsi="Times New Roman"/>
          <w:sz w:val="20"/>
        </w:rPr>
        <w:t xml:space="preserve">, by remittance to the applicable Issuing Bank) by 3:00 p.m., New York City time, on the requested date of such Swingline Loan. No Swingline Lender shall be under any obligation to make a Swingline Loan if any Lender is at that time a Defaulting Lender, if after giving effect to </w:t>
      </w:r>
      <w:r>
        <w:rPr>
          <w:rFonts w:ascii="Times New Roman" w:hAnsi="Times New Roman"/>
          <w:sz w:val="20"/>
          <w:u w:val="single"/>
        </w:rPr>
        <w:t>Section 2.21(a)(iv)</w:t>
      </w:r>
      <w:r>
        <w:rPr>
          <w:rFonts w:ascii="Times New Roman" w:hAnsi="Times New Roman"/>
          <w:sz w:val="20"/>
        </w:rPr>
        <w:t xml:space="preserve">, any Defaulting Lender Fronting Exposure remains outstanding. </w:t>
      </w:r>
    </w:p>
    <w:p>
      <w:pPr>
        <w:pStyle w:val="TextBody"/>
        <w:bidi w:val="0"/>
        <w:spacing w:before="240" w:after="0"/>
        <w:jc w:val="left"/>
        <w:rPr>
          <w:rFonts w:ascii="Times New Roman" w:hAnsi="Times New Roman"/>
          <w:sz w:val="20"/>
        </w:rPr>
      </w:pPr>
      <w:r>
        <w:rPr>
          <w:rFonts w:ascii="Times New Roman" w:hAnsi="Times New Roman"/>
          <w:sz w:val="20"/>
        </w:rPr>
        <w:t xml:space="preserve">(c) The Swingline Lender may by written notice given to the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p>
    <w:p>
      <w:pPr>
        <w:pStyle w:val="TextBody"/>
        <w:bidi w:val="0"/>
        <w:spacing w:before="0" w:after="0"/>
        <w:jc w:val="left"/>
        <w:rPr>
          <w:rFonts w:ascii="Times New Roman" w:hAnsi="Times New Roman"/>
          <w:sz w:val="20"/>
        </w:rPr>
      </w:pPr>
      <w:r>
        <w:rPr>
          <w:rFonts w:ascii="Times New Roman" w:hAnsi="Times New Roman"/>
          <w:sz w:val="20"/>
        </w:rPr>
        <w:t xml:space="preserve">provided in </w:t>
      </w:r>
      <w:r>
        <w:rPr>
          <w:rFonts w:ascii="Times New Roman" w:hAnsi="Times New Roman"/>
          <w:sz w:val="20"/>
          <w:u w:val="single"/>
        </w:rPr>
        <w:t>Section 2.05</w:t>
      </w:r>
      <w:r>
        <w:rPr>
          <w:rFonts w:ascii="Times New Roman" w:hAnsi="Times New Roman"/>
          <w:sz w:val="20"/>
        </w:rPr>
        <w:t xml:space="preserve"> with respect to Loans made by such Lender (with references to 12:00 noon, New York City time, in such Section being deemed to be references to 3:00 p.m., New York City time) (and </w:t>
      </w:r>
      <w:r>
        <w:rPr>
          <w:rFonts w:ascii="Times New Roman" w:hAnsi="Times New Roman"/>
          <w:sz w:val="20"/>
          <w:u w:val="single"/>
        </w:rPr>
        <w:t>Section 2.05</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to the payment obligations of the Revolving Lenders pursuant to this paragraph), and the Administrative Agent shall promptly remit to the Swingline Lender the amounts so received by it from the Revolving Lenders. The Administrative Agent shall notify the Revolving Borrowers of any participations in any Swingline Loan acquired pursuant to this paragraph, and thereafter payments in respect of such Swingline Loan shall be made to the Administrative Agent and not to the Swingline Lender. Any amounts received by the Swingline Lender from a Revolving Borrower (or other Person on behalf of such Revolving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w:t>
      </w:r>
      <w:r>
        <w:rPr>
          <w:rFonts w:ascii="Times New Roman" w:hAnsi="Times New Roman"/>
          <w:sz w:val="20"/>
          <w:u w:val="single"/>
        </w:rPr>
        <w:t xml:space="preserve"> provided</w:t>
      </w:r>
      <w:r>
        <w:rPr>
          <w:rFonts w:ascii="Times New Roman" w:hAnsi="Times New Roman"/>
          <w:sz w:val="20"/>
        </w:rPr>
        <w:t xml:space="preserve"> that any such payment so remitted shall be repaid to the Swingline Lender or the Administrative Agent, as the case may be, and thereafter to such Revolving Borrower, if and to the extent such payment is required to be refunded to such Revolving Borrower for any reason. The purchase of participations in a Swingline Loan pursuant to this paragraph shall not relieve the Revolving Borrowers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(d) The Revolving Borrowers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and the Borrower Representative, executed by the Borrower Representative,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Revolving Borrowers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p>
    <w:p>
      <w:pPr>
        <w:pStyle w:val="TextBody"/>
        <w:bidi w:val="0"/>
        <w:spacing w:before="0" w:after="0"/>
        <w:jc w:val="center"/>
        <w:rPr>
          <w:rFonts w:ascii="Times New Roman" w:hAnsi="Times New Roman"/>
          <w:sz w:val="20"/>
        </w:rPr>
      </w:pPr>
      <w:r>
        <w:rPr>
          <w:rFonts w:ascii="Times New Roman" w:hAnsi="Times New Roman"/>
          <w:sz w:val="20"/>
        </w:rPr>
        <w:t>ARTICLE III</w:t>
      </w:r>
      <w:r>
        <w:rPr>
          <w:rFonts w:ascii="Times New Roman" w:hAnsi="Times New Roman"/>
          <w:sz w:val="20"/>
          <w:u w:val="single"/>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Holdings and Bidco represents and warrants to the Lenders (</w:t>
      </w:r>
      <w:r>
        <w:rPr>
          <w:rFonts w:ascii="Times New Roman" w:hAnsi="Times New Roman"/>
          <w:sz w:val="20"/>
          <w:u w:val="single"/>
        </w:rPr>
        <w:t>provided</w:t>
      </w:r>
      <w:r>
        <w:rPr>
          <w:rFonts w:ascii="Times New Roman" w:hAnsi="Times New Roman"/>
          <w:sz w:val="20"/>
        </w:rPr>
        <w:t xml:space="preserve"> that (x) Holdings’ representations and warranties shall be limited to the Major Representations and (y) in the case of Non-U.S. Loan Parties and Non-U.S. Restricted Subsidiaries, each representation and warranty shall be subject to the Legal Reservations and the Agreed Security Principles) that: </w:t>
      </w:r>
    </w:p>
    <w:p>
      <w:pPr>
        <w:pStyle w:val="TextBody"/>
        <w:bidi w:val="0"/>
        <w:spacing w:before="36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any Intermediate Parent, Bidco and the Restricted Subsidiaries is (a) duly organized or incorporated, validly existing and in good standing (to the extent such concept exists in the relevant jurisdictions)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each case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has been duly authorized, executed and delivered by each of Holdings, Bidco and the Borrowers, and constitutes, and each other Loan Document to which any Loan Party is to be a party, when executed and delivered by such Loan Party, will constitute, a legal, valid and binding obligation of Holdings, Bidco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36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on </w:t>
      </w:r>
      <w:r>
        <w:rPr>
          <w:rFonts w:ascii="Times New Roman" w:hAnsi="Times New Roman"/>
          <w:sz w:val="20"/>
          <w:u w:val="single"/>
        </w:rPr>
        <w:t>Schedule 3.03</w:t>
      </w:r>
      <w:r>
        <w:rPr>
          <w:rFonts w:ascii="Times New Roman" w:hAnsi="Times New Roman"/>
          <w:sz w:val="20"/>
        </w:rPr>
        <w:t xml:space="preserve">, the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or (ii) any Requirements of Law applicable to, Holdings, any Intermediate Parent, Bidco or any Restricted Subsidiary, (c) will not violate or result in a default under any indenture or other agreement or instrument binding upon Holdings, any Intermediate Parent, Bidco or any Restricted Subsidiary or their respective assets, or give rise to a right thereunder to require any payment, repurchase or redemption to be made by Holdings, any Intermediate Parent, Bidco or any Restricted Subsidiary, or give rise to a right of, or result in, termination, cancellation or acceleration of any obligation thereunder and (d) will not result in the creation or imposition of any Lien on any asset of Holdings, any Intermediate Parent, Bidco or any Restricted Subsidiary, except Liens created under the Loan Documents or permitted by </w:t>
      </w:r>
      <w:r>
        <w:rPr>
          <w:rFonts w:ascii="Times New Roman" w:hAnsi="Times New Roman"/>
          <w:sz w:val="20"/>
          <w:u w:val="single"/>
        </w:rPr>
        <w:t>Section 6.02</w:t>
      </w:r>
      <w:r>
        <w:rPr>
          <w:rFonts w:ascii="Times New Roman" w:hAnsi="Times New Roman"/>
          <w:sz w:val="20"/>
        </w:rPr>
        <w:t xml:space="preserve">, except to the extent that the failure to obtain or make such consent, approval, registration, filing or action, or such violation, default or right, or imposition of a Lien, as the case may be, individually or in the aggregate, would not reasonably be expected to have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Since the Effective Date, there has been no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Holdings, Bidco and the Restricted Subsidiaries has good fee simple, or the equivalent in foreign jurisdictions, title to, or valid leasehold (or license or similar) interests in or other limited property interests in, all its real and personal property material to its business, if any, (i) free and clear of all Liens except for Liens permitted by </w:t>
      </w:r>
      <w:r>
        <w:rPr>
          <w:rFonts w:ascii="Times New Roman" w:hAnsi="Times New Roman"/>
          <w:sz w:val="20"/>
          <w:u w:val="single"/>
        </w:rPr>
        <w:t>Section 6.02</w:t>
      </w:r>
      <w:r>
        <w:rPr>
          <w:rFonts w:ascii="Times New Roman" w:hAnsi="Times New Roman"/>
          <w:sz w:val="20"/>
        </w:rPr>
        <w:t xml:space="preserve">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p>
    <w:p>
      <w:pPr>
        <w:pStyle w:val="TextBody"/>
        <w:bidi w:val="0"/>
        <w:spacing w:before="0" w:after="0"/>
        <w:jc w:val="left"/>
        <w:rPr>
          <w:rFonts w:ascii="Times New Roman" w:hAnsi="Times New Roman"/>
          <w:sz w:val="20"/>
        </w:rPr>
      </w:pPr>
      <w:r>
        <w:rPr>
          <w:rFonts w:ascii="Times New Roman" w:hAnsi="Times New Roman"/>
          <w:sz w:val="20"/>
        </w:rPr>
        <w:t xml:space="preserve">(b) Each of Holdings, Bidco and the Restricted Subsidiaries has all applicable licenses, consents, approvals, registrations, filings and other governmental authorizations needed to (i) operate any Loan Party’s terrestrial facilities, (ii) launch and operate each satellite network of Bidco and the Restricted Subsidiaries, and (iii) transmit signals to and from its satellite network, in each case, except where the failure to do so would not reasonably be expected to have,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3.06</w:t>
      </w:r>
      <w:r>
        <w:rPr>
          <w:rFonts w:ascii="Times New Roman" w:hAnsi="Times New Roman"/>
          <w:sz w:val="20"/>
        </w:rPr>
        <w:t xml:space="preserve">, there are no actions, suits or proceedings by or before any arbitrator or Governmental Authority pending against or, to the knowledge of Holdings or Bidco, threatened in writing against or affecting Holdings, Bidco or any Restricted Subsidiary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Schedule 3.06</w:t>
      </w:r>
      <w:r>
        <w:rPr>
          <w:rFonts w:ascii="Times New Roman" w:hAnsi="Times New Roman"/>
          <w:sz w:val="20"/>
        </w:rPr>
        <w:t xml:space="preserve">, and except with respect to any other matters that, individually or in the aggregate, would not reasonably be expected to result in a Material Adverse Effect, none of Holdings, any Intermediate Parent, Bidco or any Restricted Subsidiary or their respective facilities or operations (i) is not in compliance with any Environmental Law or any permit, license or other approval required under any Environmental Law, or does not possess all permits, licenses or other approvals required under any Environmental Law, (ii) has, to the knowledge of Holdings or Bidco, become subject to any Environmental Liability or (iii) has received written notice of any claim with respect to any Environmental Liability. </w:t>
      </w:r>
    </w:p>
    <w:p>
      <w:pPr>
        <w:pStyle w:val="TextBody"/>
        <w:bidi w:val="0"/>
        <w:spacing w:before="36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Bidco and the Restricted Subsidiaries is in compliance with all Requirements of Law applicable to it or its property, except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the Loan Parties is required to register as an “investment company” under the Investment Company Act of 1940, as amended from time to time. </w:t>
      </w:r>
    </w:p>
    <w:p>
      <w:pPr>
        <w:pStyle w:val="TextBody"/>
        <w:bidi w:val="0"/>
        <w:spacing w:before="36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individually or in the aggregate, reasonably be expected to have a Material Adverse Effect, Holdings, Bidco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hAnsi="Times New Roman"/>
          <w:sz w:val="20"/>
          <w:u w:val="single"/>
        </w:rPr>
        <w:t>provided</w:t>
      </w:r>
      <w:r>
        <w:rPr>
          <w:rFonts w:ascii="Times New Roman" w:hAnsi="Times New Roman"/>
          <w:sz w:val="20"/>
        </w:rPr>
        <w:t xml:space="preserve"> that Holdings, Bidco or such Subsidiary, as the case may be, has set aside on its books adequate reserves therefor in accordance with IFRS and applicable local standards. There is no proposed Tax assessment, deficiency or other claim against Holdings, Bidco or any Restricted Subsidiary that would reasonably be expected to,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p>
    <w:p>
      <w:pPr>
        <w:pStyle w:val="TextBody"/>
        <w:bidi w:val="0"/>
        <w:spacing w:before="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Material Adverse Effect, each Plan sponsored by a Loan Party is in compliance with the applicable provisions of ERISA, the Code and other federal or state laws.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result in a Material Adverse Effect, (i) with respect to any Multiemployer Plan with respect to which a Loan Party is directly obligated to contribute or Plan sponsored by a Loan Party, no ERISA Event has occurred during the six year period prior to the date on which this representation is made or deemed made or is reasonably expected to occur, (ii) with respect to any Multiemployer Plan with respect to which any ERISA Affiliate (other than a Loan Party) is directly obligated to contribute or any Plan (other than any Plan sponsored by a Loan Party), to the knowledge of Holdings and Bidco no ERISA Event has occurred during the six year period prior to the date on which this representation is made or deemed made or is reasonably expected to occur, and (iii) neither any Loan Party nor, to the knowledge of Holdings and Bidco, any ERISA Affiliate has engaged in a transaction that would reasonably be expected to be subject to Section 4069 or 4212(c) of ERISA.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or an application for such a letter is currently being processed by the Internal Revenue Service, (ii) to the knowledge of Holdings and Bidco, no fact or event has occurred that could reasonably be expected to adversely affect the qualified status of any such employee benefit plan, and (iii) there are no pending or, to the knowledge of Holdings and Bidco, threatened (in writing) claims, actions or lawsuits, or action by any Governmental Authority, with respect to any such plan. </w:t>
      </w:r>
    </w:p>
    <w:p>
      <w:pPr>
        <w:pStyle w:val="TextBody"/>
        <w:bidi w:val="0"/>
        <w:spacing w:before="36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(to Bidco’s knowledge), all written factual information and written factual data (other than projections and information of a general economic or industry specific nature) furnished by or on behalf of any of Holdings, Bidco and its Restricted Subsidiaries to the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hAnsi="Times New Roman"/>
          <w:sz w:val="20"/>
          <w:u w:val="single"/>
        </w:rPr>
        <w:t>provided</w:t>
      </w:r>
      <w:r>
        <w:rPr>
          <w:rFonts w:ascii="Times New Roman" w:hAnsi="Times New Roman"/>
          <w:sz w:val="20"/>
        </w:rPr>
        <w:t xml:space="preserve"> that, with respect to the projections, Holdings and Bidco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Bidco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w:t>
      </w:r>
      <w:r>
        <w:rPr>
          <w:rFonts w:ascii="Times New Roman" w:hAnsi="Times New Roman"/>
          <w:sz w:val="20"/>
          <w:u w:val="single"/>
        </w:rPr>
        <w:t>Schedule 3.12</w:t>
      </w:r>
      <w:r>
        <w:rPr>
          <w:rFonts w:ascii="Times New Roman" w:hAnsi="Times New Roman"/>
          <w:sz w:val="20"/>
        </w:rPr>
        <w:t xml:space="preserve"> sets forth the name of, and the ownership interest of Holdings and each of its subsidiaries in, each subsidiary of Holdings. </w:t>
      </w:r>
    </w:p>
    <w:p>
      <w:pPr>
        <w:pStyle w:val="TextBody"/>
        <w:bidi w:val="0"/>
        <w:spacing w:before="36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Intellectual Property; Licenses,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reasonably be expected to have a Material Adverse Effect, each of Holdings, any Intermediate Parent, Bidco and the Restricted Subsidiaries owns, licenses or possesses the right to use all Intellectual Property that is reasonably necessary for the operation of its business substantially as currently conducted. To the knowledge of Holdings and Bidco, no Intellectual Property used by Holdings, any Intermediate Parent, Bidco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Bidco, threatened in writing against Holdings, any Intermediate Parent, Bidco or any Restricted Subsidiary, which, individually or in the aggregate, would reasonably be expected to have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Solvency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consummation of each of the Transactions to occur on the Effective Date, after taking into account all applicable rights of indemnity and contribution, (a) the sum of the debt (including contingent liabilities) of Bidco and the Subsidiaries, on a consolidated basis, does not exceed the present fair saleable value of the present assets of Bidco and the Subsidiaries, on a consolidated basis, (b) the capital of Bidco and the Subsidiaries, on a consolidated basis, is not unreasonably small in relation to their business as contemplated on the Effective Date, (c) Bidco and the Subsidiaries, on a consolidated basis, have not incurred and do not intend to incur, or believe that they will incur, debts including current obligations, beyond their ability to pay such debts as they become due (whether at maturity or otherwise) and (d) Bidco and the Subsidiaries, on a consolidated basis, are “solvent” within the meaning given to that term and similar terms under applicable laws relating to fraudulent transfers and conveyances. For purposes of this </w:t>
      </w:r>
      <w:r>
        <w:rPr>
          <w:rFonts w:ascii="Times New Roman" w:hAnsi="Times New Roman"/>
          <w:sz w:val="20"/>
          <w:u w:val="single"/>
        </w:rPr>
        <w:t>Section 3.14</w:t>
      </w:r>
      <w:r>
        <w:rPr>
          <w:rFonts w:ascii="Times New Roman" w:hAnsi="Times New Roman"/>
          <w:sz w:val="20"/>
        </w:rPr>
        <w:t xml:space="preserve">,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pursuant to IAS 37). </w:t>
      </w:r>
    </w:p>
    <w:p>
      <w:pPr>
        <w:pStyle w:val="TextBody"/>
        <w:bidi w:val="0"/>
        <w:spacing w:before="36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Senior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Document Obligations constitute “Senior Indebtedness” (or any comparable term) under and as defined in the documentation governing any other Subordinated Indebtedness. </w:t>
      </w:r>
    </w:p>
    <w:p>
      <w:pPr>
        <w:pStyle w:val="TextBody"/>
        <w:bidi w:val="0"/>
        <w:spacing w:before="36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Federal Reserve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Holdings, Bidco, any Borrower or any other Restricted Subsidiary is engaged or will engage, principally or as one of its important activities, in the business of purchasing or carrying margin stock (within the meaning of Regulation U of the Board of Governors), or in extending credit for the purpose of purchasing or carrying margin stock. No part of the proceeds of the Loans will be used, directly or indirectly, for any purpose that violates the provisions of Regulations U or X of the Board of Governors.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p>
    <w:p>
      <w:pPr>
        <w:pStyle w:val="TextBody"/>
        <w:bidi w:val="0"/>
        <w:spacing w:before="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Borrowers will use the proceeds of: </w:t>
      </w:r>
    </w:p>
    <w:p>
      <w:pPr>
        <w:pStyle w:val="TextBody"/>
        <w:bidi w:val="0"/>
        <w:spacing w:before="240" w:after="0"/>
        <w:jc w:val="left"/>
        <w:rPr>
          <w:rFonts w:ascii="Times New Roman" w:hAnsi="Times New Roman"/>
          <w:sz w:val="20"/>
        </w:rPr>
      </w:pPr>
      <w:r>
        <w:rPr>
          <w:rFonts w:ascii="Times New Roman" w:hAnsi="Times New Roman"/>
          <w:sz w:val="20"/>
        </w:rPr>
        <w:t xml:space="preserve">(a) (i) the Initial Term Loans made on the Effective Date to directly or indirectly finance the Transactions and (ii) the Initial Term Loans made as a Certain Funds Utilization on or after the Effective Date until the Initial Term Commitment Expiration to directly or indirectly finance the Refinancing; </w:t>
      </w:r>
    </w:p>
    <w:p>
      <w:pPr>
        <w:pStyle w:val="TextBody"/>
        <w:bidi w:val="0"/>
        <w:spacing w:before="240" w:after="0"/>
        <w:jc w:val="left"/>
        <w:rPr>
          <w:rFonts w:ascii="Times New Roman" w:hAnsi="Times New Roman"/>
          <w:sz w:val="20"/>
        </w:rPr>
      </w:pPr>
      <w:r>
        <w:rPr>
          <w:rFonts w:ascii="Times New Roman" w:hAnsi="Times New Roman"/>
          <w:sz w:val="20"/>
        </w:rPr>
        <w:t xml:space="preserve">(b) the Revolving Loans and Swingline Loans made, and the Letters of Credit issued, on the Effective Date to (i) fund the Acquisition, the Refinancing, the other transactions contemplated by the Acquisition Documents and the Transaction Costs, (ii) cash collateralize, backstop, replace or provide credit support for any existing letters of credit for the account of the Company and its subsidiaries and (iii) fund any working capital needs; </w:t>
      </w:r>
      <w:r>
        <w:rPr>
          <w:rFonts w:ascii="Times New Roman" w:hAnsi="Times New Roman"/>
          <w:sz w:val="20"/>
          <w:u w:val="single"/>
        </w:rPr>
        <w:t>provided</w:t>
      </w:r>
      <w:r>
        <w:rPr>
          <w:rFonts w:ascii="Times New Roman" w:hAnsi="Times New Roman"/>
          <w:sz w:val="20"/>
        </w:rPr>
        <w:t xml:space="preserve"> that the principal amount of Revolving Loans made on the Effective Date for the purposes described in clause (b)(i) above shall not exceed $50,000,000; and </w:t>
      </w:r>
    </w:p>
    <w:p>
      <w:pPr>
        <w:pStyle w:val="TextBody"/>
        <w:bidi w:val="0"/>
        <w:spacing w:before="240" w:after="0"/>
        <w:jc w:val="left"/>
        <w:rPr>
          <w:rFonts w:ascii="Times New Roman" w:hAnsi="Times New Roman"/>
          <w:sz w:val="20"/>
        </w:rPr>
      </w:pPr>
      <w:r>
        <w:rPr>
          <w:rFonts w:ascii="Times New Roman" w:hAnsi="Times New Roman"/>
          <w:sz w:val="20"/>
        </w:rPr>
        <w:t xml:space="preserve">(c) the Revolving Loans and Swingline Loans, and Letters of Credit issued, after the Effective Date for working capital and other general corporate purposes (including for capital expenditures, Permitted Acquisitions, Permitted Investments, Restricted Payments and any other transactions not prohibited by the Loan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(d) the Amendment No. 1 Refinancing Term Loans to refinance in full the Initial Term Loans outstanding immediately prior to the Amendment No. 1 Effective Date. </w:t>
      </w:r>
    </w:p>
    <w:p>
      <w:pPr>
        <w:pStyle w:val="TextBody"/>
        <w:bidi w:val="0"/>
        <w:spacing w:before="36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Anti-Corruption Laws; Sanctions; 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Holdings, Bidco and the Restricted Subsidiaries is in compliance in all material respects with (i) applicable Sanctions, (ii) Title III of the USA Patriot Act, and (iii) the United States Foreign Corrupt Practices Act of 1977, as amended, the UK Bribery Act or any law or regulation implementing the OECD Convention on Combatting Bribery of Foreign Public Officials (collectively, “</w:t>
      </w:r>
      <w:r>
        <w:rPr>
          <w:rFonts w:ascii="Times New Roman" w:hAnsi="Times New Roman"/>
          <w:sz w:val="20"/>
          <w:u w:val="single"/>
        </w:rPr>
        <w:t>Anti-Corruption Laws</w:t>
      </w:r>
      <w:r>
        <w:rPr>
          <w:rFonts w:ascii="Times New Roman" w:hAnsi="Times New Roman"/>
          <w:sz w:val="20"/>
        </w:rPr>
        <w:t xml:space="preserve">”), in each of (i) through (iii), to the extent applicable to the relevant entity in a jurisdiction in which such entity operates. </w:t>
      </w:r>
    </w:p>
    <w:p>
      <w:pPr>
        <w:pStyle w:val="TextBody"/>
        <w:bidi w:val="0"/>
        <w:spacing w:before="240" w:after="0"/>
        <w:jc w:val="left"/>
        <w:rPr>
          <w:rFonts w:ascii="Times New Roman" w:hAnsi="Times New Roman"/>
          <w:sz w:val="20"/>
        </w:rPr>
      </w:pPr>
      <w:r>
        <w:rPr>
          <w:rFonts w:ascii="Times New Roman" w:hAnsi="Times New Roman"/>
          <w:sz w:val="20"/>
        </w:rPr>
        <w:t xml:space="preserve">(b) None of Holdings, any Intermediate Parent, Bidco, any of the Restricted Subsidiaries or, any director or officer thereof, or to the knowledge of Bidco, any employee thereof, is an individual or entity with whom dealings are prohibited by any Sanctions, nor is Holdings, any Intermediate Parent, Bidco or any Restricted Subsidiary located, organized or resident in a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p>
    <w:p>
      <w:pPr>
        <w:pStyle w:val="TextBody"/>
        <w:bidi w:val="0"/>
        <w:spacing w:before="0" w:after="0"/>
        <w:jc w:val="center"/>
        <w:rPr>
          <w:rFonts w:ascii="Times New Roman" w:hAnsi="Times New Roman"/>
          <w:sz w:val="20"/>
        </w:rPr>
      </w:pPr>
      <w:r>
        <w:rPr>
          <w:rFonts w:ascii="Times New Roman" w:hAnsi="Times New Roman"/>
          <w:sz w:val="20"/>
        </w:rPr>
        <w:t>ARTICLE IV</w:t>
      </w:r>
      <w:r>
        <w:rPr>
          <w:rFonts w:ascii="Times New Roman" w:hAnsi="Times New Roman"/>
          <w:sz w:val="20"/>
          <w:u w:val="single"/>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 and Certain Funds Utilization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each Lender (x) to make Loans and the obligations of each Issuing Bank to issue Letters of Credit hereunder on the Effective Date and (y) to make any Certain Funds Utilization on or following the Effective Date shall be subject to satisfaction of the following conditions (or waiver thereof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its counsel) shall have received from each Certain Funds Loan Party either (i) a counterpart of this Agreement signed on behalf of such party or (ii) otherwise, written evidence satisfactory to the Administrative Agent (which may include facsimile or other electronic transmission of a signed counterpart of this Agreement) that such party has signed a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have received a written opinion (addressed to the Administrative Agent, the Lenders and the Issuing Banks and dated the Effective Date) of (i) Carey Olsen (Guernsey) LLP, as Guernsey law counsel to the Administrative Agent, (ii) Ogier, as Luxembourg law counsel to the Finco Borrower, (iii) Kirkland &amp; Ellis, LLP, as New York law counsel to each Certain Funds Loan Party, (iv) Nauta-Dutilh Avocats Luxembourg S.à r.l., as Luxembourg law counsel to the Administrative Agent and (v) Milbank LLP, as English law counsel to the Administrative Agent, in each case in form and substance reasonably satisfactory to the Administrative Agent. Each applicable party hereby requests such counsel deliver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have received a certificate of each Certain Funds Loan Party, dated the Effective Date, in form and substance reasonably satisfactory to the Administrative Agent, executed by any Responsible Officer of such Certain Funds Loan Party, and (i) including or attaching the documents referred to in </w:t>
      </w:r>
      <w:r>
        <w:rPr>
          <w:rFonts w:ascii="Times New Roman" w:hAnsi="Times New Roman"/>
          <w:sz w:val="20"/>
          <w:u w:val="single"/>
        </w:rPr>
        <w:t>Section 4.01(d)</w:t>
      </w:r>
      <w:r>
        <w:rPr>
          <w:rFonts w:ascii="Times New Roman" w:hAnsi="Times New Roman"/>
          <w:sz w:val="20"/>
        </w:rPr>
        <w:t>, (ii) confirming that, subject to the guarantee limitations set out in this Agreement, borrowing or guaranteeing or securing (as appropriate) the total Commitments hereunder would not cause any borrowing, guarantee, security or other similar limit binding on it to be exceeded and (iii) with respect to the Finco Borrower, attaching (x) a copy of an excerpt from the Luxembourg Companies Register in relation to the Finco Borrower dated no earlier than one (1) Business Day prior to the date of this Agreement and a copy of a certificate of non-registration of judgements (</w:t>
      </w:r>
      <w:r>
        <w:rPr>
          <w:rFonts w:ascii="Times New Roman" w:hAnsi="Times New Roman"/>
          <w:i/>
          <w:sz w:val="20"/>
        </w:rPr>
        <w:t>certificat de non-inscription d’une décision judiciaire</w:t>
      </w:r>
      <w:r>
        <w:rPr>
          <w:rFonts w:ascii="Times New Roman" w:hAnsi="Times New Roman"/>
          <w:sz w:val="20"/>
        </w:rPr>
        <w:t xml:space="preserve">) issued by the Luxembourg Companies Register dated no earlier than one (1) Business Day prior to the date of this Agreement, or (y) in the event the items under (x) above are not available at the date of the certificate, a </w:t>
      </w:r>
      <w:r>
        <w:rPr>
          <w:rFonts w:ascii="Times New Roman" w:hAnsi="Times New Roman"/>
          <w:i/>
          <w:sz w:val="20"/>
        </w:rPr>
        <w:t>certificat de coutume</w:t>
      </w:r>
      <w:r>
        <w:rPr>
          <w:rFonts w:ascii="Times New Roman" w:hAnsi="Times New Roman"/>
          <w:sz w:val="20"/>
        </w:rPr>
        <w:t xml:space="preserve"> (good standing certificate) issued by a Luxembourg public notary.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have received a copy of (i) each Organizational Document of each Certain Funds Loan Party, (ii) signature and (as applicable) incumbency certificates of the Responsible Officers of each Certain Funds Loan Party executing the Loan Documents to which it is a party, and (iii) copies of resolutions of the board of directors or managers, shareholders, partners, and/or similar governing bodies of each Certain Funds Loan Party approving and authorizing the execution, delivery and performance of Loan Documents to which it is a party, certified as of the Effective Date by a secretary, an assistant secretary or a Responsible Officer of such Certain Funds Loan Party as being in full force and effect without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shall have received (or substantially simultaneously with the initial funding of Loans on the Effective Date, shall receive) all fees and other amounts previously agreed in writing by the Joint Lead Arrangers and the Borrowers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Loan Document; </w:t>
      </w:r>
      <w:r>
        <w:rPr>
          <w:rFonts w:ascii="Times New Roman" w:hAnsi="Times New Roman"/>
          <w:sz w:val="20"/>
          <w:u w:val="single"/>
        </w:rPr>
        <w:t>provided tha</w:t>
      </w:r>
      <w:r>
        <w:rPr>
          <w:rFonts w:ascii="Times New Roman" w:hAnsi="Times New Roman"/>
          <w:sz w:val="20"/>
        </w:rPr>
        <w:t xml:space="preserve">t a reference to payment of such fees in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(including by reference to a funds flow statement) shall be deemed to satisfy this paragraph (e). </w:t>
      </w:r>
    </w:p>
    <w:p>
      <w:pPr>
        <w:pStyle w:val="TextBody"/>
        <w:bidi w:val="0"/>
        <w:spacing w:before="240" w:after="0"/>
        <w:jc w:val="left"/>
        <w:rPr>
          <w:rFonts w:ascii="Times New Roman" w:hAnsi="Times New Roman"/>
          <w:sz w:val="20"/>
        </w:rPr>
      </w:pPr>
      <w:r>
        <w:rPr>
          <w:rFonts w:ascii="Times New Roman" w:hAnsi="Times New Roman"/>
          <w:sz w:val="20"/>
        </w:rPr>
        <w:t xml:space="preserve">(f) Subject to Section 5.14, the Administrative Agent (or its counsel) shall have received from the relevant Certain Funds Loan Party, in each case to the extent required on the Effective Date: (w) a counterpart of each Initial Guernsey Collateral Agreement signed on behalf of each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p>
    <w:p>
      <w:pPr>
        <w:pStyle w:val="TextBody"/>
        <w:bidi w:val="0"/>
        <w:spacing w:before="0" w:after="0"/>
        <w:jc w:val="left"/>
        <w:rPr>
          <w:rFonts w:ascii="Times New Roman" w:hAnsi="Times New Roman"/>
          <w:sz w:val="20"/>
        </w:rPr>
      </w:pPr>
      <w:r>
        <w:rPr>
          <w:rFonts w:ascii="Times New Roman" w:hAnsi="Times New Roman"/>
          <w:sz w:val="20"/>
        </w:rPr>
        <w:t xml:space="preserve">Funds Loan Party that is a party thereto, (x) a counterpart of each Initial Luxembourg Collateral Agreement signed on behalf of each Certain Funds Loan Party that is a party thereto, (y) a counterpart of the Collateral Agreement signed on behalf of each Certain Funds Loan Party that is a party thereto and (z) subject to the Agreed Security Principles, (i) a counterpart of the first ranking security governed by Guernsey law granted by the Finco Borrower in favor of the Collateral Agent over any structural intercompany receivables owed to it by Bidco as security for the Secured Obligations, (ii) each counterpart of the first ranking security governed by Guernsey or English law (as applicable) granted by Bidco in favor of the Finco Borrower over its material operating bank accounts (without control over use) as security for Bidco’s obligations under any structural intercompany loans made to it by the Finco Borrower, (iii) a counterpart of the second ranking security governed by Guernsey or English law (as applicable) granted by Bidco in favor of the Collateral Agent over its material operating bank accounts (without control over use) as security for the Secured Obligations, and (iv) a counterpart of the first ranking security governed by Guernsey or English law (as applicable) granted by the Finco Borrower in favor of the Collateral Agent over its rights in respect of the security referred to in clause (z)(ii) above as security for the Secured Obligations, in each case signed on behalf of each Certain Funds Loan Party that is a party thereto (or, in each case, written evidence satisfactory to the Administrative Agent (which may include facsimile or other electronic transmission of a signed counterpart of the relevant document) that such party has signed a counterpart of such document).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(i) a copy of the Announcement, (ii) a copy of the Co-operation Agreement, (iii) a copy of the Scheme Circular, (iv) a copy of the Fee Letter, (v) a copy of the Model and (vi) a copy of the Tax Structure Memorandum.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shall have received a certificate from a Responsible Officer of Bidco certifying that, as of the Effective Date, (i) the Scheme Effective Date has occurred and (ii) the Minimum Equity Requirement shall have been satisfied, or substantially concurrently with, or prior to, the initial funding of Loans on the Effective Date,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(i) (i) There is no Major Event of Default continuing on the date of the proposed Certain Funds Utilization and (ii) it is not unlawful in any applicable jurisdiction for such Lender to make, or to allow to have outstanding, the proposed Certain Funds Utilization.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have received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Solely with respect to any Certain Funds Utilization, the Administrative Agent shall have received a certificate from a Responsible Officer of Bidco certifying that as of the date of such Certain Funds Utilization, the Minimum Equity Requirement shall have been satisfied, or substantially concurrently with, or prior to, the funding of Loans in connection therewith,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(l) The Pari Passu Intercreditor Agreement shall have been duly executed and delivered by all of the Certain Funds Loan Parties stated to be party thereto.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conditions set forth in this </w:t>
      </w:r>
      <w:r>
        <w:rPr>
          <w:rFonts w:ascii="Times New Roman" w:hAnsi="Times New Roman"/>
          <w:sz w:val="20"/>
          <w:u w:val="single"/>
        </w:rPr>
        <w:t>Section 4.01</w:t>
      </w:r>
      <w:r>
        <w:rPr>
          <w:rFonts w:ascii="Times New Roman" w:hAnsi="Times New Roman"/>
          <w:sz w:val="20"/>
        </w:rPr>
        <w:t xml:space="preserve"> have been satisfied, by releasing its signature page hereto or to an Assignment and Assumption, the Administrative Agent and each Lender party hereto shall be deemed to have consented to, approved, accepted or be satisfied with each document or other matter required hereunder to be consented to or approved by, or acceptable or satisfactory to, the Administrative Agent or such Lender,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Effective Date (other than any Certain Funds Utilization, which shall be governed by </w:t>
      </w:r>
      <w:r>
        <w:rPr>
          <w:rFonts w:ascii="Times New Roman" w:hAnsi="Times New Roman"/>
          <w:sz w:val="20"/>
          <w:u w:val="single"/>
        </w:rPr>
        <w:t>Section 4.01</w:t>
      </w:r>
      <w:r>
        <w:rPr>
          <w:rFonts w:ascii="Times New Roman" w:hAnsi="Times New Roman"/>
          <w:sz w:val="20"/>
        </w:rPr>
        <w:t xml:space="preserve"> only), the obligation of each Lender to make a Loan on the occasion of any Borrowing, and of each Issuing Bank to issue, amend, renew or extend any Letter of Credit (other than any initial Borrowing under any Incremental Facility or any Borrowing used to finance a Limited Condition Transaction), is subject to receipt of the request therefor in accordance herewith and to the satisfaction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each Loan Party set forth in the Loan Documents (or in the case of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date of such credit extension or on such earlier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the case may be,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Borrowing, the Administrative Agent shall have received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Borrowing (</w:t>
      </w:r>
      <w:r>
        <w:rPr>
          <w:rFonts w:ascii="Times New Roman" w:hAnsi="Times New Roman"/>
          <w:sz w:val="20"/>
          <w:u w:val="single"/>
        </w:rPr>
        <w:t>provided</w:t>
      </w:r>
      <w:r>
        <w:rPr>
          <w:rFonts w:ascii="Times New Roman" w:hAnsi="Times New Roman"/>
          <w:sz w:val="20"/>
        </w:rPr>
        <w:t xml:space="preserve"> that a conversion or a continuation of a Borrowing shall not constitute a “Borrowing” for purposes of this </w:t>
      </w:r>
      <w:r>
        <w:rPr>
          <w:rFonts w:ascii="Times New Roman" w:hAnsi="Times New Roman"/>
          <w:sz w:val="20"/>
          <w:u w:val="single"/>
        </w:rPr>
        <w:t>Section 4.02</w:t>
      </w:r>
      <w:r>
        <w:rPr>
          <w:rFonts w:ascii="Times New Roman" w:hAnsi="Times New Roman"/>
          <w:sz w:val="20"/>
        </w:rPr>
        <w:t xml:space="preserve">), other than a Borrowing under any Incremental Facility or a Borrowing the proceeds of which are used to finance a Limited Condition Transaction, and each issuance, amendment, renewal or extension of a Letter of Credit shall be deemed to constitute a representation and warranty by Holdings and Bidco on the date thereof as to the matters specified in paragraphs (a) and (b) of this </w:t>
      </w:r>
      <w:r>
        <w:rPr>
          <w:rFonts w:ascii="Times New Roman" w:hAnsi="Times New Roman"/>
          <w:sz w:val="20"/>
          <w:u w:val="single"/>
        </w:rPr>
        <w:t>Section 4.02</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ARTICLE V</w:t>
      </w:r>
      <w:r>
        <w:rPr>
          <w:rFonts w:ascii="Times New Roman" w:hAnsi="Times New Roman"/>
          <w:sz w:val="20"/>
          <w:u w:val="single"/>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and Bidco covenants and agrees with the Lenders that: </w:t>
      </w:r>
    </w:p>
    <w:p>
      <w:pPr>
        <w:pStyle w:val="TextBody"/>
        <w:bidi w:val="0"/>
        <w:spacing w:before="36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or a Borrower will furnish to the Administrative Agent, on behalf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(a) on or before the date that is one hundred and twenty five (125) days after the end of each fiscal year of Bidco (or, in the case of financial statements for the fiscal year ending December 31, 2019, on or before the date that is one hundred and fifty (150) days after the end of such fiscal year), the audited consolidated balance sheet and audited consolidated statements of operations and comprehensive loss and cash flows of Bidco and its Subsidiaries as of the end of and for such year, and related notes thereto, setting forth in each case in comparative form the figures for the previous fiscal year, all reported on by independent public accountants of recognized national standing (without a “going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p>
    <w:p>
      <w:pPr>
        <w:pStyle w:val="TextBody"/>
        <w:bidi w:val="0"/>
        <w:spacing w:before="0" w:after="0"/>
        <w:jc w:val="left"/>
        <w:rPr>
          <w:rFonts w:ascii="Times New Roman" w:hAnsi="Times New Roman"/>
          <w:sz w:val="20"/>
        </w:rPr>
      </w:pPr>
      <w:r>
        <w:rPr>
          <w:rFonts w:ascii="Times New Roman" w:hAnsi="Times New Roman"/>
          <w:sz w:val="20"/>
        </w:rPr>
        <w:t xml:space="preserve">concern” or like qualification or exception and without any qualification or exception as to the scope of such audit (other than with respect to, or resulting from, (A) an upcoming maturity date of any Indebtedness occurring within one year from the time such opinion is delivered, (B) any actual failure to satisfy a financial maintenance covenant or any potential inability to satisfy a financial maintenance covenant on a future date or in a future period, (C) a civil or criminal investigative demand, subpoena or other request for information arising from any investigation or inquiry by or on behalf of any Governmental Authority or any claim, complaint, other form of accusation of a potential or actual charge or claim, litigation, investigation, arbitration or any other form of proceeding or inquiry arising from or relating to any of the foregoing or (D) the activities, operations, financial results, assets or liabilities of any Unrestricted Subsidiary) to the effect that such consolidated financial statements present fairly in all material respects the financial condition as of the end of and for such year and results of operations and cash flows of Bidco (and/or its predecessor, as applicable) and its Subsidiaries on a consolidated basis in accordance with IFRS consistently applied; </w:t>
      </w:r>
    </w:p>
    <w:p>
      <w:pPr>
        <w:pStyle w:val="TextBody"/>
        <w:bidi w:val="0"/>
        <w:spacing w:before="240" w:after="0"/>
        <w:jc w:val="left"/>
        <w:rPr>
          <w:rFonts w:ascii="Times New Roman" w:hAnsi="Times New Roman"/>
          <w:sz w:val="20"/>
        </w:rPr>
      </w:pPr>
      <w:r>
        <w:rPr>
          <w:rFonts w:ascii="Times New Roman" w:hAnsi="Times New Roman"/>
          <w:sz w:val="20"/>
        </w:rPr>
        <w:t xml:space="preserve">(b) on or before the date that is sixty (60) days after the end of each of the first three fiscal quarters of each fiscal year of Bidco (or, in the case of financial statements for the fiscal quarters ended September 30, 2019, March 31, 2020, June 30, 2020 and September 30, 2020, on or before the date that is ninety (90) days after the end of such fiscal quarter), unaudited consolidated balance sheet and unaudited consolidated statements of operations and comprehensive loss and cash flows of Bidco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Bidco (and/or its predecessor, as applicable) and its Subsidiaries on a consolidated basis in accordance with IFRS consistently applied, subject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(c) 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(d) not later than five Business Days after any delivery of financial statements under paragraph (a) or (b) above, commencing with the financial statements delivered for the first full fiscal quarter after the Effective Date,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solely to the extent the Borrowers would be required to prepay the Term Borrowing pursuant to </w:t>
      </w:r>
      <w:r>
        <w:rPr>
          <w:rFonts w:ascii="Times New Roman" w:hAnsi="Times New Roman"/>
          <w:sz w:val="20"/>
          <w:u w:val="single"/>
        </w:rPr>
        <w:t>Section 2.10(d)</w:t>
      </w:r>
      <w:r>
        <w:rPr>
          <w:rFonts w:ascii="Times New Roman" w:hAnsi="Times New Roman"/>
          <w:sz w:val="20"/>
        </w:rPr>
        <w:t xml:space="preserve">, beginning with the financial statements for the fiscal year of Bidco ending December 31, 2020, of Excess Cash Flow for such fiscal year and (iii) in the case of financial statements delivered under paragraph (a) above, setting forth a reasonably detailed calculation of the Net Proceeds received during the applicable period by or on behalf of Bidco or any of the Restricted Subsidiaries in respect of any event described in clause (a) of the definition of the term “Prepayment Event” and the portion of such Net Proceeds that has been invested or are intended to be reinvested in accordance with the proviso in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exhibits to any registration statement and, if applicable, any registration statement on Form S-8) filed by Holdings, any Intermediate Parent, Bidco or any Restricted Subsidiary with the SEC or with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(f) promptly following any request therefor, such other information regarding the operations, business affairs and financial condition of Holdings, any Intermediate Parent, Bidco or any Restricted Subsidiary, or compliance with the terms of any Loan Document, as the Administrative Agent on its own behalf or on behalf of any Lender may reasonably request in writing; and </w:t>
      </w:r>
    </w:p>
    <w:p>
      <w:pPr>
        <w:pStyle w:val="TextBody"/>
        <w:bidi w:val="0"/>
        <w:spacing w:before="240" w:after="0"/>
        <w:jc w:val="left"/>
        <w:rPr>
          <w:rFonts w:ascii="Times New Roman" w:hAnsi="Times New Roman"/>
          <w:sz w:val="20"/>
        </w:rPr>
      </w:pPr>
      <w:r>
        <w:rPr>
          <w:rFonts w:ascii="Times New Roman" w:hAnsi="Times New Roman"/>
          <w:sz w:val="20"/>
        </w:rPr>
        <w:t xml:space="preserve">(g) Bidco or a Borrower shall promptly conduct a quarterly conference call that the Lenders may attend to discuss the financial condition and results of operations of Bidco and its Subsidiaries for the most recently ended measurement period for which financial statements have been delivered pursuant to Sections 5.01(a) and (b), at a date and time to be determined by Bidco or a Borrower with reasonable advance notice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above may be satisfied with respect to financial information of Bidco and its Subsidiaries by furnishing (A) the Form 10-K or 10-Q (or the equivalent), as applicable, of Bidco (or a parent company thereof) filed with the SEC within the applicable time periods required by applicable law and regulations or (B) the applicable financial statements of Holdings (or any direct or indirect parent of Holdings); </w:t>
      </w:r>
      <w:r>
        <w:rPr>
          <w:rFonts w:ascii="Times New Roman" w:hAnsi="Times New Roman"/>
          <w:sz w:val="20"/>
          <w:u w:val="single"/>
        </w:rPr>
        <w:t>provided</w:t>
      </w:r>
      <w:r>
        <w:rPr>
          <w:rFonts w:ascii="Times New Roman" w:hAnsi="Times New Roman"/>
          <w:sz w:val="20"/>
        </w:rPr>
        <w:t xml:space="preserve"> that (i) to the extent such information relates to a parent of Bidco, such information is accompanied by consolidating information, which may be unaudited, that explains in reasonable detail the differences between the information relating to such parent, on the one hand, and the information relating to Bidco and its Subsidiaries on a standalone basis, on the other hand, and (ii) to the extent such information referred to in (A) or (B) above is in lieu of information required to be provided under paragraph (a) above, such materials are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(i) an upcoming maturity date of any Indebtedness occurring within one year from the time such opinion is delivered, (ii) any actual failure to satisfy a financial maintenance covenant or any potential inability to satisfy a financial maintenance covenant on a future date or in a future period, (iii) a civil investigative demand, subpoena or similar request arising from any investigation by any Governmental Authority or any claim, litigation, investigation or proceeding arising from or relating to any of the foregoing) or (iv) the activities, operations, financial results, assets or liabilities of any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Bidco or a Borrower posts such documents, or provides a link thereto on the Borrower’s website on the Internet at the website address listed on </w:t>
      </w:r>
      <w:r>
        <w:rPr>
          <w:rFonts w:ascii="Times New Roman" w:hAnsi="Times New Roman"/>
          <w:sz w:val="20"/>
          <w:u w:val="single"/>
        </w:rPr>
        <w:t>Schedule 9.01</w:t>
      </w:r>
      <w:r>
        <w:rPr>
          <w:rFonts w:ascii="Times New Roman" w:hAnsi="Times New Roman"/>
          <w:sz w:val="20"/>
        </w:rPr>
        <w:t xml:space="preserve"> (or otherwise notified pursuant to </w:t>
      </w:r>
      <w:r>
        <w:rPr>
          <w:rFonts w:ascii="Times New Roman" w:hAnsi="Times New Roman"/>
          <w:sz w:val="20"/>
          <w:u w:val="single"/>
        </w:rPr>
        <w:t>Section 9.01(d)</w:t>
      </w:r>
      <w:r>
        <w:rPr>
          <w:rFonts w:ascii="Times New Roman" w:hAnsi="Times New Roman"/>
          <w:sz w:val="20"/>
        </w:rPr>
        <w:t xml:space="preserve">); or (ii) on which such documents are posted on Bidco’s or a Borrower’s behalf on an Internet or intranet website, if any, to which each Lender and the Administrative Agent have access (whether a commercial, third- party website or whether sponsored by the Administrative Agent). The Administrative Agent shall have no obligation to request the delivery of or maintain paper copies of the documents referred to above, and each Lender shall be solely responsible for timely accessing posted documents or requesting delivery of paper copies of such documents from the Administrative Agent and maintaining its copies of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herein, neither Bidco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w:t>
      </w:r>
      <w:r>
        <w:rPr>
          <w:rFonts w:ascii="Times New Roman" w:hAnsi="Times New Roman"/>
          <w:sz w:val="20"/>
          <w:u w:val="single"/>
        </w:rPr>
        <w:t>Section 5.01</w:t>
      </w:r>
      <w:r>
        <w:rPr>
          <w:rFonts w:ascii="Times New Roman" w:hAnsi="Times New Roman"/>
          <w:sz w:val="20"/>
        </w:rPr>
        <w:t xml:space="preserve">) to any third party or (v) that relates to any investigation by any Governmental Authority to the extent (x) such information is identifiable to a particular individual and Bidco in good faith determines such information should remain confidential or (y) the information requested is not factual in nature. </w:t>
      </w:r>
    </w:p>
    <w:p>
      <w:pPr>
        <w:pStyle w:val="TextBody"/>
        <w:bidi w:val="0"/>
        <w:spacing w:before="240" w:after="0"/>
        <w:jc w:val="left"/>
        <w:rPr>
          <w:rFonts w:ascii="Times New Roman" w:hAnsi="Times New Roman"/>
          <w:sz w:val="20"/>
        </w:rPr>
      </w:pPr>
      <w:r>
        <w:rPr>
          <w:rFonts w:ascii="Times New Roman" w:hAnsi="Times New Roman"/>
          <w:sz w:val="20"/>
        </w:rPr>
        <w:t>The Borrowers hereby acknowledge that (a) the Administrative Agent and/or the Joint Lead Arrangers will make available to the Lenders and the Issuing Banks materials and/or information provided by or on behalf of the Borrowers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 Public Information and who may be engaged in investment and other market-related activities with respect to the Borrowers’ or their Affiliates’ securities. The Borrowers hereby agree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Issuing Banks and the Lenders to treat such Borrower Materials as not containing any Material Non-Public Information (although it may be sensitive and proprietary)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9.12</w:t>
      </w:r>
      <w:r>
        <w:rPr>
          <w:rFonts w:ascii="Times New Roman" w:hAnsi="Times New Roman"/>
          <w:sz w:val="20"/>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w:t>
      </w:r>
      <w:r>
        <w:rPr>
          <w:rFonts w:ascii="Times New Roman" w:hAnsi="Times New Roman"/>
          <w:sz w:val="20"/>
          <w:u w:val="single"/>
        </w:rPr>
        <w:t>provided</w:t>
      </w:r>
      <w:r>
        <w:rPr>
          <w:rFonts w:ascii="Times New Roman" w:hAnsi="Times New Roman"/>
          <w:sz w:val="20"/>
        </w:rPr>
        <w:t xml:space="preserve"> that the Borrowers’ failure to comply with this sentence shall not constitute a Default or an Event of Default under this Agreement or the Loan Documents. Notwithstanding the foregoing, the Borrowers shall be under no obligation to mark any Borrower Materials as “PUBLIC”. Each Loan Party hereby acknowledges and agrees that, unless Bidco or a Borrower notifies the Administrative Agent in advance, all financial statements and certificates furnished pursuant to </w:t>
      </w:r>
      <w:r>
        <w:rPr>
          <w:rFonts w:ascii="Times New Roman" w:hAnsi="Times New Roman"/>
          <w:sz w:val="20"/>
          <w:u w:val="single"/>
        </w:rPr>
        <w:t>Sections 5.01(a)</w:t>
      </w:r>
      <w:r>
        <w:rPr>
          <w:rFonts w:ascii="Times New Roman" w:hAnsi="Times New Roman"/>
          <w:sz w:val="20"/>
        </w:rPr>
        <w:t xml:space="preserve">,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5.01(c)</w:t>
      </w:r>
      <w:r>
        <w:rPr>
          <w:rFonts w:ascii="Times New Roman" w:hAnsi="Times New Roman"/>
          <w:sz w:val="20"/>
        </w:rPr>
        <w:t xml:space="preserve"> and </w:t>
      </w:r>
      <w:r>
        <w:rPr>
          <w:rFonts w:ascii="Times New Roman" w:hAnsi="Times New Roman"/>
          <w:sz w:val="20"/>
          <w:u w:val="single"/>
        </w:rPr>
        <w:t>5.01(d)</w:t>
      </w:r>
      <w:r>
        <w:rPr>
          <w:rFonts w:ascii="Times New Roman" w:hAnsi="Times New Roman"/>
          <w:sz w:val="20"/>
        </w:rPr>
        <w:t xml:space="preserve"> above are hereby deemed to be suitable for distribution, and to be made available, to all Lenders and may be treated by the Administrative Agent and the Lenders as not containing any Material Non-Public Information. </w:t>
      </w:r>
    </w:p>
    <w:p>
      <w:pPr>
        <w:pStyle w:val="TextBody"/>
        <w:bidi w:val="0"/>
        <w:spacing w:before="36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any Responsible Officer of Bidco or a Borrower obtains actual knowledge thereof, Holdings, Bidco or a Borrower will furnish to the Administrative Agent (for distribution to each Lender through the Administrative Agent) written notice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permissible by Requirements of Law, the filing or commencement of any action, suit or proceeding by or before any arbitrator or Governmental Authority against or, to the knowledge of a Financial Officer or another executive officer of Holdings, Bidco or any Subsidiary, affecting Holdings, any Intermediate Parent, Bidco or any Subsidiary, or the receipt of a written notice of an Environmental Liability, in each case that would reasonably be expected to result in a Material Adverse Effect;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p>
    <w:p>
      <w:pPr>
        <w:pStyle w:val="TextBody"/>
        <w:bidi w:val="0"/>
        <w:spacing w:before="0" w:after="0"/>
        <w:jc w:val="left"/>
        <w:rPr>
          <w:rFonts w:ascii="Times New Roman" w:hAnsi="Times New Roman"/>
          <w:sz w:val="20"/>
        </w:rPr>
      </w:pPr>
      <w:r>
        <w:rPr>
          <w:rFonts w:ascii="Times New Roman" w:hAnsi="Times New Roman"/>
          <w:sz w:val="20"/>
        </w:rPr>
        <w:t xml:space="preserve">(c) the occurrence of any ERISA Event with respect to a Plan sponsored by a Loan Party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w:t>
      </w:r>
      <w:r>
        <w:rPr>
          <w:rFonts w:ascii="Times New Roman" w:hAnsi="Times New Roman"/>
          <w:sz w:val="20"/>
          <w:u w:val="single"/>
        </w:rPr>
        <w:t>Section 5.02</w:t>
      </w:r>
      <w:r>
        <w:rPr>
          <w:rFonts w:ascii="Times New Roman" w:hAnsi="Times New Roman"/>
          <w:sz w:val="20"/>
        </w:rPr>
        <w:t xml:space="preserve"> shall be accompanied by a written statement of a Responsible Officer of Holdings, Bidco or a Borrower setting forth the details of the event or development requiring such notice and any action taken or proposed to be taken with respect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Information Regarding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Holdings, Bidco or a Borrower will furnish to the Administrative Agent prompt (and in any event within thirty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in a jurisdiction where an organizational identification number is required to be included in a UCC financing statement for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Not later than five Business Days after financial statements are required to be delivered pursuant to </w:t>
      </w:r>
      <w:r>
        <w:rPr>
          <w:rFonts w:ascii="Times New Roman" w:hAnsi="Times New Roman"/>
          <w:sz w:val="20"/>
          <w:u w:val="single"/>
        </w:rPr>
        <w:t>Section 5.01(a)</w:t>
      </w:r>
      <w:r>
        <w:rPr>
          <w:rFonts w:ascii="Times New Roman" w:hAnsi="Times New Roman"/>
          <w:sz w:val="20"/>
        </w:rPr>
        <w:t xml:space="preserve">, Holdings, Bidco or a Borrower shall deliver to the Administrative Agent a certificate executed by a Responsible Officer of Holdings, Bidco or a Borrower (i) setting forth the information required pursuant to Paragraphs 1, 2(a), 6, 7 and 8 of the Perfection Certificate (in a schedule, supplement or otherwise) or confirming that there has been no change in such information since the later of (x) the date of the Perfection Certificate delivered on the Effective Date or (y) the date of the most recent certificate delivered pursuant to this </w:t>
      </w:r>
      <w:r>
        <w:rPr>
          <w:rFonts w:ascii="Times New Roman" w:hAnsi="Times New Roman"/>
          <w:sz w:val="20"/>
          <w:u w:val="single"/>
        </w:rPr>
        <w:t>Section 5.03</w:t>
      </w:r>
      <w:r>
        <w:rPr>
          <w:rFonts w:ascii="Times New Roman" w:hAnsi="Times New Roman"/>
          <w:sz w:val="20"/>
        </w:rPr>
        <w:t xml:space="preserve">, (ii) identifying any Wholly Owned Restricted Subsidiary that has become, or ceased to be, a Material Subsidiary, a Guarantor Coverage Material Subsidiary or an Excluded Subsidiary during the most recently ended fiscal year and (iii) certifying that all notices required to be given prior to the date of such certificate by this </w:t>
      </w:r>
      <w:r>
        <w:rPr>
          <w:rFonts w:ascii="Times New Roman" w:hAnsi="Times New Roman"/>
          <w:sz w:val="20"/>
          <w:u w:val="single"/>
        </w:rPr>
        <w:t>Section 5.03</w:t>
      </w:r>
      <w:r>
        <w:rPr>
          <w:rFonts w:ascii="Times New Roman" w:hAnsi="Times New Roman"/>
          <w:sz w:val="20"/>
        </w:rPr>
        <w:t xml:space="preserve"> have been given. </w:t>
      </w:r>
    </w:p>
    <w:p>
      <w:pPr>
        <w:pStyle w:val="TextBody"/>
        <w:bidi w:val="0"/>
        <w:spacing w:before="36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Existence; 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Bidco) that the failure to do so would not reasonably be expected to have a Material Adverse Effect; </w:t>
      </w:r>
      <w:r>
        <w:rPr>
          <w:rFonts w:ascii="Times New Roman" w:hAnsi="Times New Roman"/>
          <w:sz w:val="20"/>
          <w:u w:val="single"/>
        </w:rPr>
        <w:t>provided</w:t>
      </w:r>
      <w:r>
        <w:rPr>
          <w:rFonts w:ascii="Times New Roman" w:hAnsi="Times New Roman"/>
          <w:sz w:val="20"/>
        </w:rPr>
        <w:t xml:space="preserve"> that the foregoing shall not prohibit any merger, amalgamation, consolidation, liquidation or dissolution permitted under </w:t>
      </w:r>
      <w:r>
        <w:rPr>
          <w:rFonts w:ascii="Times New Roman" w:hAnsi="Times New Roman"/>
          <w:sz w:val="20"/>
          <w:u w:val="single"/>
        </w:rPr>
        <w:t>Section 6.03</w:t>
      </w:r>
      <w:r>
        <w:rPr>
          <w:rFonts w:ascii="Times New Roman" w:hAnsi="Times New Roman"/>
          <w:sz w:val="20"/>
        </w:rPr>
        <w:t xml:space="preserve"> or any Asset Sale permitted by </w:t>
      </w:r>
      <w:r>
        <w:rPr>
          <w:rFonts w:ascii="Times New Roman" w:hAnsi="Times New Roman"/>
          <w:sz w:val="20"/>
          <w:u w:val="single"/>
        </w:rPr>
        <w:t>Section 6.04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Payment of Taxes,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any Intermediate Parent, Bidco or any of its Subsidiaries and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p>
    <w:p>
      <w:pPr>
        <w:pStyle w:val="TextBody"/>
        <w:bidi w:val="0"/>
        <w:spacing w:before="0" w:after="0"/>
        <w:jc w:val="left"/>
        <w:rPr>
          <w:rFonts w:ascii="Times New Roman" w:hAnsi="Times New Roman"/>
          <w:sz w:val="20"/>
        </w:rPr>
      </w:pPr>
      <w:r>
        <w:rPr>
          <w:rFonts w:ascii="Times New Roman" w:hAnsi="Times New Roman"/>
          <w:sz w:val="20"/>
        </w:rPr>
        <w:t xml:space="preserve">Bidco or such Subsidiary, as the case may be, has set aside on its books adequate reserves therefor to the extent required by and in accordance with IFRS and applicable local standards, or (b) the failure to make payment would not reasonably be expected, individually or in the aggregate,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keep and maintain all tangible property material to the conduct of its business in good working order and condition (subject to casualty, condemnation and ordinary wear and tear), which shall include, in the case of the Satellites (other than any Satellites yet to be launched), the provision of tracking, telemetry, control and monitoring of the Satellites in their designated orbital positions in accordance with prudent and diligent standards in the commercial satellite industry, in each case, except where the failure to do so would not reasonably be expected to have,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 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Collateral Agent, information presented in reasonable detail as to the insurance so carried. Bidco shall cause each such general liability policy of insurance (other than directors and officers policies, workers’ compensation policies and business interruption insurance) in excess of $10,000,000 and except, in the case of any Foreign Subsidiary where it is not customary to do so in the relevant jurisdiction, to (i) in the case of each liability insurance policy, name the Collateral Agent, on behalf of the Secured Parties, as an additional insured thereunder as its interests may appear and (ii) in the case of each property insurance policy, contain a lenders loss payable clause and mortgagee endorsement, as applicable, that names the Collateral Agent, on behalf of the Secured Parties, as the lender loss payee and mortgagee, as applicable, thereunder.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Books and Records; Inspection and Audit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of the Restricted Subsidiaries to, maintain proper books of record and account in which entries that are full, true and correct in all material respects and are in conformity with IFRS (or applicable local standards) consistently applied shall be made of all material financial transactions and matters involving the assets and business of Holdings, any Intermediate Parent, Bidco or the Restricted Subsidiaries, as the case may be. Each of Holdings and Bidco will, and will cause any Intermediate Parent and each Restricted Subsidiary to, permit any representatives designated by the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hAnsi="Times New Roman"/>
          <w:sz w:val="20"/>
          <w:u w:val="single"/>
        </w:rPr>
        <w:t>provided</w:t>
      </w:r>
      <w:r>
        <w:rPr>
          <w:rFonts w:ascii="Times New Roman" w:hAnsi="Times New Roman"/>
          <w:sz w:val="20"/>
        </w:rPr>
        <w:t xml:space="preserve"> that (i) such representatives shall use commercially reasonable efforts to avoid interruption of the normal business operations of Bidco and its Subsidiaries and (ii) excluding any such visits and inspections during the continuation of an Event of Default, only the Administrative Agent on behalf of the Lenders may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p>
    <w:p>
      <w:pPr>
        <w:pStyle w:val="TextBody"/>
        <w:bidi w:val="0"/>
        <w:spacing w:before="0" w:after="0"/>
        <w:jc w:val="left"/>
        <w:rPr>
          <w:rFonts w:ascii="Times New Roman" w:hAnsi="Times New Roman"/>
          <w:sz w:val="20"/>
        </w:rPr>
      </w:pPr>
      <w:r>
        <w:rPr>
          <w:rFonts w:ascii="Times New Roman" w:hAnsi="Times New Roman"/>
          <w:sz w:val="20"/>
        </w:rPr>
        <w:t xml:space="preserve">visitation and inspection rights of the Administrative Agent and the Lenders under this </w:t>
      </w:r>
      <w:r>
        <w:rPr>
          <w:rFonts w:ascii="Times New Roman" w:hAnsi="Times New Roman"/>
          <w:sz w:val="20"/>
          <w:u w:val="single"/>
        </w:rPr>
        <w:t>Section 5.08</w:t>
      </w:r>
      <w:r>
        <w:rPr>
          <w:rFonts w:ascii="Times New Roman" w:hAnsi="Times New Roman"/>
          <w:sz w:val="20"/>
        </w:rPr>
        <w:t xml:space="preserve"> and the Administrative Agent shall not exercise such rights more often than one time during any calendar year absent the existence of an Event of Default and such time shall be at the Borrowers’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when an Event of Default exists, the Administrative Agent (or any of its representatives or independent contractors) may do any of the foregoing at the expense of the Borrowers at any time during normal business hours and upon reasonable advance notice and (b) the Administrative Agent and the Lenders shall give Holdings and Bidco the opportunity to participate in any discussions with Holdings’ or Bidco’s independent public accountants. </w:t>
      </w:r>
    </w:p>
    <w:p>
      <w:pPr>
        <w:pStyle w:val="TextBody"/>
        <w:bidi w:val="0"/>
        <w:spacing w:before="36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Subsidiary to, comply with all Requirements of Law (including ERISA and other applicable pension laws, Environmental Laws and the USA PATRIOT Act) with respect to it, its property and operations, except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Use of Proceeds and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the Borrowers will use the proceeds of the Term Loans, the Revolving Loans, the Swingline Loans and the Letters of Credit solely in accordance with </w:t>
      </w:r>
      <w:r>
        <w:rPr>
          <w:rFonts w:ascii="Times New Roman" w:hAnsi="Times New Roman"/>
          <w:sz w:val="20"/>
          <w:u w:val="single"/>
        </w:rPr>
        <w:t>Section 3.17</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Additional Subsidiaries; Guarantor Coverage Test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 any additional Domestic Restricted Subsidiary that is not an Excluded Subsidiary or Intermediate Parent is formed or acquired after the Effective Date, (ii) any Domestic Restricted Subsidiary ceases to be an Excluded Subsidiary (other than any Immaterial Subsidiary that becomes a Material Subsidiary, which shall be subject to </w:t>
      </w:r>
      <w:r>
        <w:rPr>
          <w:rFonts w:ascii="Times New Roman" w:hAnsi="Times New Roman"/>
          <w:sz w:val="20"/>
          <w:u w:val="single"/>
        </w:rPr>
        <w:t>Section 5.11(b)</w:t>
      </w:r>
      <w:r>
        <w:rPr>
          <w:rFonts w:ascii="Times New Roman" w:hAnsi="Times New Roman"/>
          <w:sz w:val="20"/>
        </w:rPr>
        <w:t>) or (iii) Bidco, at its option, elects to cause a Domestic Subsidiary that is otherwise an Excluded Subsidiary, or to the extent reasonably acceptable to the Administrative Agent, a Foreign Subsidiary that is otherwise an Excluded Subsidiary (including any Subsidiary that is not a Wholly Owned Subsidiary or any consolidated Affiliate in which Bidco and its Subsidiaries own no Equity Interest) to become a Subsidiary Loan Party (such Subsidiary Loan Party, a “</w:t>
      </w:r>
      <w:r>
        <w:rPr>
          <w:rFonts w:ascii="Times New Roman" w:hAnsi="Times New Roman"/>
          <w:sz w:val="20"/>
          <w:u w:val="single"/>
        </w:rPr>
        <w:t>Borrower-Designated Guarantor</w:t>
      </w:r>
      <w:r>
        <w:rPr>
          <w:rFonts w:ascii="Times New Roman" w:hAnsi="Times New Roman"/>
          <w:sz w:val="20"/>
        </w:rPr>
        <w:t xml:space="preserve">”), then Holdings, Bidco or a Borrower will, within 30 days (or such longer period as may be agreed to by the Administrative Agent in its reasonable discretion) after (x) such newly formed or acquired Restricted Subsidiary or any Intermediate Parent is formed or acquired, (y) such Restricted Subsidiary ceases to be an Excluded Subsidiary or (z) Bidco has made such election, notify the Administrative Agent thereof, and will cause such Restricted Subsidiary (unless such Restricted Subsidiary is an Excluded Subsidiary) or any Intermediate Parent to satisfy the Collateral and Guarantee Requirement with respect to such Restricted Subsidiary or any Intermediate Parent and with respect to any Equity Interest in or Indebtedness of such Restricted Subsidiary or any Intermediate Parent owned by or on behalf of any Loan Party within 30 days (or 60 days in the case of a Borrower-Designated Guarantor that is a Foreign Subsidiary) after such notice (or such longer period as the Administrative Agent shall reasonably agree), Bidco shall deliver to the Administrative Agent a completed Perfection Certificate (or supplement thereof) with respect to such Domestic Restricted Subsidiary or any Intermediate Parent signed by a Responsible Officer, together with all attachments contemplated thereby concurrently with the satisfaction of the Collateral and Guarantee Requirement with respect to such Restricted Subsidiary or any Intermediate Parent. </w:t>
      </w:r>
    </w:p>
    <w:p>
      <w:pPr>
        <w:pStyle w:val="TextBody"/>
        <w:bidi w:val="0"/>
        <w:spacing w:before="240" w:after="0"/>
        <w:jc w:val="left"/>
        <w:rPr>
          <w:rFonts w:ascii="Times New Roman" w:hAnsi="Times New Roman"/>
          <w:sz w:val="20"/>
        </w:rPr>
      </w:pPr>
      <w:r>
        <w:rPr>
          <w:rFonts w:ascii="Times New Roman" w:hAnsi="Times New Roman"/>
          <w:sz w:val="20"/>
        </w:rPr>
        <w:t xml:space="preserve">(b) Within 45 days (or such longer period as otherwise provided in this Agreement or as the Administrative Agent may reasonably agree) after Holdings, Bidco or a Borrower identifies any new Material Subsidiary that is a Domestic Subsidiary pursuant to </w:t>
      </w:r>
      <w:r>
        <w:rPr>
          <w:rFonts w:ascii="Times New Roman" w:hAnsi="Times New Roman"/>
          <w:sz w:val="20"/>
          <w:u w:val="single"/>
        </w:rPr>
        <w:t>Section 5.03(b)</w:t>
      </w:r>
      <w:r>
        <w:rPr>
          <w:rFonts w:ascii="Times New Roman" w:hAnsi="Times New Roman"/>
          <w:sz w:val="20"/>
        </w:rPr>
        <w:t xml:space="preserve">, all actions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p>
    <w:p>
      <w:pPr>
        <w:pStyle w:val="TextBody"/>
        <w:bidi w:val="0"/>
        <w:spacing w:before="0" w:after="0"/>
        <w:jc w:val="left"/>
        <w:rPr>
          <w:rFonts w:ascii="Times New Roman" w:hAnsi="Times New Roman"/>
          <w:sz w:val="20"/>
        </w:rPr>
      </w:pPr>
      <w:r>
        <w:rPr>
          <w:rFonts w:ascii="Times New Roman" w:hAnsi="Times New Roman"/>
          <w:sz w:val="20"/>
        </w:rPr>
        <w:t xml:space="preserve">required to be taken with respect to such Subsidiary in order to satisfy the Collateral and Guarantee Requirement shall have been taken with respect to such Subsidiary, to the extent not already satisfied pursuant to </w:t>
      </w:r>
      <w:r>
        <w:rPr>
          <w:rFonts w:ascii="Times New Roman" w:hAnsi="Times New Roman"/>
          <w:sz w:val="20"/>
          <w:u w:val="single"/>
        </w:rPr>
        <w:t>Section 5.11(a)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Bidco shall ensure that, subject to the Agreed Security Principles, the Guarantor Coverage Test is satisfied on: </w:t>
      </w:r>
    </w:p>
    <w:p>
      <w:pPr>
        <w:pStyle w:val="TextBody"/>
        <w:bidi w:val="0"/>
        <w:spacing w:before="120" w:after="0"/>
        <w:jc w:val="left"/>
        <w:rPr>
          <w:rFonts w:ascii="Times New Roman" w:hAnsi="Times New Roman"/>
          <w:sz w:val="20"/>
        </w:rPr>
      </w:pPr>
      <w:r>
        <w:rPr>
          <w:rFonts w:ascii="Times New Roman" w:hAnsi="Times New Roman"/>
          <w:sz w:val="20"/>
        </w:rPr>
        <w:t xml:space="preserve">(i) the date which is 150 days after (and excluding) the Effective Date (or such later date as the Administrative Agent may reasonably agree), by reference to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or, if no such statements have been delivered, the most recent audited consolidated financial statements of the Company (or, at the option of Bidco, such other financial statements for the most recently completed Test Period prior to such test date for which Bidco has sufficient available information to be able to determine the Guarantor Coverage Test); and </w:t>
      </w:r>
    </w:p>
    <w:p>
      <w:pPr>
        <w:pStyle w:val="TextBody"/>
        <w:bidi w:val="0"/>
        <w:spacing w:before="120" w:after="0"/>
        <w:jc w:val="left"/>
        <w:rPr>
          <w:rFonts w:ascii="Times New Roman" w:hAnsi="Times New Roman"/>
          <w:sz w:val="20"/>
        </w:rPr>
      </w:pPr>
      <w:r>
        <w:rPr>
          <w:rFonts w:ascii="Times New Roman" w:hAnsi="Times New Roman"/>
          <w:sz w:val="20"/>
        </w:rPr>
        <w:t xml:space="preserve">(ii) thereafter, on the date on which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are required to be delivered to the Administrative Agent in respect of each fiscal year ending after the date on which the Guarantor Coverage Test is required to be satisfied in accordance with paragraph (i) above, by reference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(d) If, in accordance with the provisions of paragraph (c)(ii) above, the Guarantor Coverage Test is not satisfied on any test date referred to in paragraph (c)(ii) above: </w:t>
      </w:r>
    </w:p>
    <w:p>
      <w:pPr>
        <w:pStyle w:val="TextBody"/>
        <w:bidi w:val="0"/>
        <w:spacing w:before="120" w:after="0"/>
        <w:jc w:val="left"/>
        <w:rPr>
          <w:rFonts w:ascii="Times New Roman" w:hAnsi="Times New Roman"/>
          <w:sz w:val="20"/>
        </w:rPr>
      </w:pPr>
      <w:r>
        <w:rPr>
          <w:rFonts w:ascii="Times New Roman" w:hAnsi="Times New Roman"/>
          <w:sz w:val="20"/>
        </w:rPr>
        <w:t xml:space="preserve">(i) Bidco shall ensure that within 150 days of such test date (or such later date as the Administrative Agent may reasonably agree), such other Restricted Subsidiaries of Bidco (as Bidco may elect in its sole discretion) shall, subject to and on terms consistent with the Agreed Security Principles, accede as Guarantors to ensure that the Guarantor Coverage Test is satisfied (calculated as if such Guarantors had been Guarantors at such test date); and </w:t>
      </w:r>
    </w:p>
    <w:p>
      <w:pPr>
        <w:pStyle w:val="TextBody"/>
        <w:bidi w:val="0"/>
        <w:spacing w:before="120" w:after="0"/>
        <w:jc w:val="left"/>
        <w:rPr>
          <w:rFonts w:ascii="Times New Roman" w:hAnsi="Times New Roman"/>
          <w:sz w:val="20"/>
        </w:rPr>
      </w:pPr>
      <w:r>
        <w:rPr>
          <w:rFonts w:ascii="Times New Roman" w:hAnsi="Times New Roman"/>
          <w:sz w:val="20"/>
        </w:rPr>
        <w:t xml:space="preserve">(ii) if Bidco has satisfied its obligations under paragraph (i) above within such 150 days of such test date (or such later date as the Administrative Agent may reasonably agree), no Default, Event of Default or other breach of the Loan Documents shall arise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(e) Bidco shall ensure that, subject to and on terms consistent with the Agreed Security Principles: </w:t>
      </w:r>
    </w:p>
    <w:p>
      <w:pPr>
        <w:pStyle w:val="TextBody"/>
        <w:bidi w:val="0"/>
        <w:spacing w:before="120" w:after="0"/>
        <w:jc w:val="left"/>
        <w:rPr>
          <w:rFonts w:ascii="Times New Roman" w:hAnsi="Times New Roman"/>
          <w:sz w:val="20"/>
        </w:rPr>
      </w:pPr>
      <w:r>
        <w:rPr>
          <w:rFonts w:ascii="Times New Roman" w:hAnsi="Times New Roman"/>
          <w:sz w:val="20"/>
        </w:rPr>
        <w:t xml:space="preserve">(i) each Restricted Subsidiary that is a Guarantor Coverage Material Subsidiary at the Effective Date and that has not ceased to be a Guarantor Coverage Material Subsidiary at the date referenced in paragraph (c)(i) above, tested by reference to the financial statements that are required to be delivered pursuant to </w:t>
      </w:r>
      <w:r>
        <w:rPr>
          <w:rFonts w:ascii="Times New Roman" w:hAnsi="Times New Roman"/>
          <w:sz w:val="20"/>
          <w:u w:val="single"/>
        </w:rPr>
        <w:t xml:space="preserve">Section 5.01(a) </w:t>
      </w:r>
      <w:r>
        <w:rPr>
          <w:rFonts w:ascii="Times New Roman" w:hAnsi="Times New Roman"/>
          <w:sz w:val="20"/>
        </w:rPr>
        <w:t xml:space="preserve">or, if no such statements have been delivered, the most recent audited consolidated financial statements of the Company (or, at the option of Bidco, such other financial statements for the most recently completed Test Period) shall have acceded as a Guarantor within the time period described for satisfaction of the Guarantor Coverage Test in paragraph (c)(i) above and taken all actions (if any) required to be taken with respect to such Subsidiary in order to satisfy the Collateral and Guarantee Requirement, to the extent not already satisfied pursuant to </w:t>
      </w:r>
      <w:r>
        <w:rPr>
          <w:rFonts w:ascii="Times New Roman" w:hAnsi="Times New Roman"/>
          <w:sz w:val="20"/>
          <w:u w:val="single"/>
        </w:rPr>
        <w:t>Section 5.11(a)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each Restricted Subsidiary that becomes a Guarantor Coverage Material Subsidiary after the Effective Date (by reference to the most recent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will accede as a Guarantor within 150 days of the date on which such financial statements are required to be delivered to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p>
    <w:p>
      <w:pPr>
        <w:pStyle w:val="TextBody"/>
        <w:bidi w:val="0"/>
        <w:spacing w:before="0" w:after="0"/>
        <w:jc w:val="left"/>
        <w:rPr>
          <w:rFonts w:ascii="Times New Roman" w:hAnsi="Times New Roman"/>
          <w:sz w:val="20"/>
        </w:rPr>
      </w:pPr>
      <w:r>
        <w:rPr>
          <w:rFonts w:ascii="Times New Roman" w:hAnsi="Times New Roman"/>
          <w:sz w:val="20"/>
        </w:rPr>
        <w:t xml:space="preserve">Agent in accordance with </w:t>
      </w:r>
      <w:r>
        <w:rPr>
          <w:rFonts w:ascii="Times New Roman" w:hAnsi="Times New Roman"/>
          <w:sz w:val="20"/>
          <w:u w:val="single"/>
        </w:rPr>
        <w:t>Section 5.01(a)</w:t>
      </w:r>
      <w:r>
        <w:rPr>
          <w:rFonts w:ascii="Times New Roman" w:hAnsi="Times New Roman"/>
          <w:sz w:val="20"/>
        </w:rPr>
        <w:t xml:space="preserve"> (or such later date as the Administrative Agent may reasonably agree) and take all actions (if any) required to be taken with respect to such Subsidiary in order to satisfy the Collateral and Guarantee Requirement, to the extent not already satisfied pursuant to </w:t>
      </w:r>
      <w:r>
        <w:rPr>
          <w:rFonts w:ascii="Times New Roman" w:hAnsi="Times New Roman"/>
          <w:sz w:val="20"/>
          <w:u w:val="single"/>
        </w:rPr>
        <w:t>Section 5.11(a)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(i) the last paragraph of the definition of “Collateral and Guarantee Requirement” and (ii) in the case of Non-U.S. Loan Parties, the Agreed Security Principles, each of Holdings and Bidco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(b) If, after the Effective Date, any material assets (other than Excluded Assets), are acquired by any Loan Party or are held by any Subsidiary on or after the time it becomes a Loan Party pursuant to </w:t>
      </w:r>
      <w:r>
        <w:rPr>
          <w:rFonts w:ascii="Times New Roman" w:hAnsi="Times New Roman"/>
          <w:sz w:val="20"/>
          <w:u w:val="single"/>
        </w:rPr>
        <w:t>Section 5.11</w:t>
      </w:r>
      <w:r>
        <w:rPr>
          <w:rFonts w:ascii="Times New Roman" w:hAnsi="Times New Roman"/>
          <w:sz w:val="20"/>
        </w:rPr>
        <w:t xml:space="preserve"> (other than assets constituting Collateral under a Security Document that become subject to the Lien created by such Security Document upon acquisition thereof or constituting Excluded Assets), Bidco will notify the Administrative Agent thereof, and, if requested by the Administrative Agent, Bidco will cause such assets to be subjected to a Lien securing the Secured Obligations and will take and cause the other U.S. Loan Parties to take, such actions as shall be necessary and reasonably requested by the Administrative Agent to grant and perfect such Liens, including actions described in paragraph (a) of this </w:t>
      </w:r>
      <w:r>
        <w:rPr>
          <w:rFonts w:ascii="Times New Roman" w:hAnsi="Times New Roman"/>
          <w:sz w:val="20"/>
          <w:u w:val="single"/>
        </w:rPr>
        <w:t>Section 5.12</w:t>
      </w:r>
      <w:r>
        <w:rPr>
          <w:rFonts w:ascii="Times New Roman" w:hAnsi="Times New Roman"/>
          <w:sz w:val="20"/>
        </w:rPr>
        <w:t xml:space="preserve"> and as required pursuant to the “Collateral and Guarantee Requirement,” all at the expense of the Loan Parties and subject to the last paragraph of the definition of the term “Collateral and Guarantee Requirement.” </w:t>
      </w:r>
    </w:p>
    <w:p>
      <w:pPr>
        <w:pStyle w:val="TextBody"/>
        <w:bidi w:val="0"/>
        <w:spacing w:before="36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Designation of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may at any time after the Effective Date designate any Restricted Subsidiary (other than any Borrower) as an Unrestricted Subsidiary or any Unrestricted Subsidiary as a Restricted Subsidiary; </w:t>
      </w:r>
      <w:r>
        <w:rPr>
          <w:rFonts w:ascii="Times New Roman" w:hAnsi="Times New Roman"/>
          <w:sz w:val="20"/>
          <w:u w:val="single"/>
        </w:rPr>
        <w:t>provided</w:t>
      </w:r>
      <w:r>
        <w:rPr>
          <w:rFonts w:ascii="Times New Roman" w:hAnsi="Times New Roman"/>
          <w:sz w:val="20"/>
        </w:rPr>
        <w:t xml:space="preserve"> that immediately after such designation on a Pro Forma Basis, no Event of Default shall have occurred and be continuing. The designation of any Subsidiary as an Unrestricted Subsidiary after the Effective Date shall constitute an Investment by Bidco therein at the date of designation in an amount equal to the fair market value of Bidco’s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Bidco in Unrestricted Subsidiaries pursuant to the preceding sentence in an amount equal to the fair market value at the date of such designation of Bidco’s or its Subsidiary’s (as applicable) Investment in such Subsidiary. </w:t>
      </w:r>
    </w:p>
    <w:p>
      <w:pPr>
        <w:pStyle w:val="TextBody"/>
        <w:bidi w:val="0"/>
        <w:spacing w:before="36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Certain Post-Closing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and in any event within the time periods after the Effective Date specified in </w:t>
      </w:r>
      <w:r>
        <w:rPr>
          <w:rFonts w:ascii="Times New Roman" w:hAnsi="Times New Roman"/>
          <w:sz w:val="20"/>
          <w:u w:val="single"/>
        </w:rPr>
        <w:t>Schedule 5.14</w:t>
      </w:r>
      <w:r>
        <w:rPr>
          <w:rFonts w:ascii="Times New Roman" w:hAnsi="Times New Roman"/>
          <w:sz w:val="20"/>
        </w:rPr>
        <w:t xml:space="preserve"> or such later date as the Administrative Agent reasonably agrees to in writing, including to reasonably accommodate circumstances unforeseen on the Effective Date, Holdings, Bidco and each other Loan Party shall deliver the documents or take the actions specified on </w:t>
      </w:r>
      <w:r>
        <w:rPr>
          <w:rFonts w:ascii="Times New Roman" w:hAnsi="Times New Roman"/>
          <w:sz w:val="20"/>
          <w:u w:val="single"/>
        </w:rPr>
        <w:t>Schedule 5.14</w:t>
      </w:r>
      <w:r>
        <w:rPr>
          <w:rFonts w:ascii="Times New Roman" w:hAnsi="Times New Roman"/>
          <w:sz w:val="20"/>
        </w:rPr>
        <w:t xml:space="preserve"> that would have been required to be delivered or taken on the Effective Date, in each case except to the extent otherwise agreed by the Administrative Agent pursuant to its authority as set forth in the definition of the term “Collateral and Guarantee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Maintenance of Rating of Bidco and the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Parties shall use commercially reasonable efforts to maintain (i) a public corporate credit rating (but not any particular rating) from S&amp;P and a public corporate family rating (but not any particular rating) from Moody’s, in each case in respect of Bidco and (ii) a public rating (but not any particular rating) in respect of the Loans from each of S&amp;P and Moody’s. </w:t>
      </w:r>
    </w:p>
    <w:p>
      <w:pPr>
        <w:pStyle w:val="TextBody"/>
        <w:bidi w:val="0"/>
        <w:spacing w:before="36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Lines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p>
    <w:p>
      <w:pPr>
        <w:pStyle w:val="TextBody"/>
        <w:bidi w:val="0"/>
        <w:spacing w:before="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Transactions with Affiliates.</w:t>
      </w:r>
      <w:r>
        <w:rPr>
          <w:rFonts w:ascii="Times New Roman" w:hAnsi="Times New Roman"/>
          <w:sz w:val="20"/>
        </w:rPr>
        <w:t xml:space="preserve"> Bidco will conduct, and cause each of the Restricted Subsidiaries to conduct, all transactions with any of its Affiliates (other than Bidco and the Restricted Subsidiaries (including any entity that becomes a Restricted Subsidiary as a result of such transaction) involving aggregate payments or consideration in excess of the greater of $75,000,000 and 10% of Consolidated EBITDA for the most recently ended Test Period, calculated on a Pro Forma Basis, at the time of such Affiliate transaction, for any individual transaction or series of related transactions, on terms substantially as favorable to Bidco or such Restricted Subsidiary as would be obtainable by such Person at the time in a comparable arm’s-length transaction with a Person other than an Affiliate; </w:t>
      </w:r>
      <w:r>
        <w:rPr>
          <w:rFonts w:ascii="Times New Roman" w:hAnsi="Times New Roman"/>
          <w:sz w:val="20"/>
          <w:u w:val="single"/>
        </w:rPr>
        <w:t>provided</w:t>
      </w:r>
      <w:r>
        <w:rPr>
          <w:rFonts w:ascii="Times New Roman" w:hAnsi="Times New Roman"/>
          <w:sz w:val="20"/>
        </w:rPr>
        <w:t xml:space="preserve"> that the foregoing restrictions shall not apply to: (i) any merger, amalgamation or consolidation with any direct or indirect parent of Bidco; </w:t>
      </w:r>
      <w:r>
        <w:rPr>
          <w:rFonts w:ascii="Times New Roman" w:hAnsi="Times New Roman"/>
          <w:sz w:val="20"/>
          <w:u w:val="single"/>
        </w:rPr>
        <w:t>provided</w:t>
      </w:r>
      <w:r>
        <w:rPr>
          <w:rFonts w:ascii="Times New Roman" w:hAnsi="Times New Roman"/>
          <w:sz w:val="20"/>
        </w:rPr>
        <w:t xml:space="preserve"> that such parent entity shall have no material liabilities and no material assets other than cash, Cash Equivalents and the Equity Interests of Bidco and such merger, amalgamation or consolidation is otherwise consummated in compliance with this Agreement, (ii) the payment of fees and expenses related to the Transactions, (iii)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w:t>
      </w:r>
      <w:r>
        <w:rPr>
          <w:rFonts w:ascii="Times New Roman" w:hAnsi="Times New Roman"/>
          <w:sz w:val="20"/>
          <w:u w:val="single"/>
        </w:rPr>
        <w:t>Section 6.05(b)(xv)(H)</w:t>
      </w:r>
      <w:r>
        <w:rPr>
          <w:rFonts w:ascii="Times New Roman" w:hAnsi="Times New Roman"/>
          <w:sz w:val="20"/>
        </w:rPr>
        <w:t xml:space="preserve">, (iv) issuances of Equity Interests of Bidco to the extent otherwise permitted by this Agreement, (v) employment and severance arrangements between Bidco and the Restricted Subsidiaries and their respective officers and employees in the ordinary course of business or otherwise in connection with the Transactions (including loans and advances pursuant to clause (16) of the definition of “Permitted Investments”), (vi) payments by Bidco and the Restricted Subsidiaries in respect of any Tax relief or pursuant to any tax sharing agreement or arrangement among Bidco and the Restricted Subsidiaries and other Persons with which Bidco or any of its Restricted Subsidiaries is required or permitted to file a consolidated, combined or unitary tax return or with which Bidco or any Restricted Subsidiary is a part of a group for tax purposes, (vii) the payment of customary fees and reasonable out-of-pocket costs to, and indemnities provided on behalf of, members of the Board of Directors, officers and employees of Holdings (or any direct or indirect parent thereof), any Intermediate Parent, Bidco and the Restricted Subsidiaries in the ordinary course of business to the extent attributable to the ownership or operation of Bidco and the Restricted Subsidiaries, (viii) transactions pursuant to the Tax Structure Memorandum and/or permitted agreements in existence or contemplated on the Effective Date and set forth on </w:t>
      </w:r>
      <w:r>
        <w:rPr>
          <w:rFonts w:ascii="Times New Roman" w:hAnsi="Times New Roman"/>
          <w:sz w:val="20"/>
          <w:u w:val="single"/>
        </w:rPr>
        <w:t>Schedule 5.17</w:t>
      </w:r>
      <w:r>
        <w:rPr>
          <w:rFonts w:ascii="Times New Roman" w:hAnsi="Times New Roman"/>
          <w:sz w:val="20"/>
        </w:rPr>
        <w:t xml:space="preserve"> or any amendment thereto to the extent such an amendment is not adverse to the Lenders in any material respect, (ix) payments to or from, and transactions with, any joint venture in the ordinary course of business (including, without limitation, any cash management activities related thereto), (x) transactions with customers, clients, suppliers, contractors, joint venture partners or purchasers or sellers of goods or services that are Affiliates, in each case in the ordinary course of business and which are fair to Bidco and the Restricted Subsidiaries, in the reasonable determination of Bidco, or are on terms at least as favorable as might reasonably have been obtained at such time from an unaffiliated party, (xi) sales of accounts receivable, or participations therein, or Receivables Assets or related assets in connection with or any Receivables Facility, (xii) payments made in connection with the Transactions, (xiii) customary payments by Bidco and the Restricted Subsidiaries, directly or indirectly, to the Investors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Bidco or such other Restricted Subsidiary in good faith and (xiv) any other (A) Indebtedness permitted under </w:t>
      </w:r>
      <w:r>
        <w:rPr>
          <w:rFonts w:ascii="Times New Roman" w:hAnsi="Times New Roman"/>
          <w:sz w:val="20"/>
          <w:u w:val="single"/>
        </w:rPr>
        <w:t>Section 6.01</w:t>
      </w:r>
      <w:r>
        <w:rPr>
          <w:rFonts w:ascii="Times New Roman" w:hAnsi="Times New Roman"/>
          <w:sz w:val="20"/>
        </w:rPr>
        <w:t xml:space="preserve"> and Liens permitted under </w:t>
      </w:r>
      <w:r>
        <w:rPr>
          <w:rFonts w:ascii="Times New Roman" w:hAnsi="Times New Roman"/>
          <w:sz w:val="20"/>
          <w:u w:val="single"/>
        </w:rPr>
        <w:t>Section 6.02;</w:t>
      </w:r>
      <w:r>
        <w:rPr>
          <w:rFonts w:ascii="Times New Roman" w:hAnsi="Times New Roman"/>
          <w:sz w:val="20"/>
        </w:rPr>
        <w:t xml:space="preserve"> provided that such Indebtedness and Liens are on terms which are fair and reasonable to Bidco and its Subsidiaries as determined by the majority of disinterested members of the board of directors of Bidco or such other Subsidiary and (B) transactions permitted under </w:t>
      </w:r>
      <w:r>
        <w:rPr>
          <w:rFonts w:ascii="Times New Roman" w:hAnsi="Times New Roman"/>
          <w:sz w:val="20"/>
          <w:u w:val="single"/>
        </w:rPr>
        <w:t>Section 6.03</w:t>
      </w:r>
      <w:r>
        <w:rPr>
          <w:rFonts w:ascii="Times New Roman" w:hAnsi="Times New Roman"/>
          <w:sz w:val="20"/>
        </w:rPr>
        <w:t xml:space="preserve"> and Restricted Payments permitted under </w:t>
      </w:r>
      <w:r>
        <w:rPr>
          <w:rFonts w:ascii="Times New Roman" w:hAnsi="Times New Roman"/>
          <w:sz w:val="20"/>
          <w:u w:val="single"/>
        </w:rPr>
        <w:t>Section 6.05</w:t>
      </w:r>
      <w:r>
        <w:rPr>
          <w:rFonts w:ascii="Times New Roman" w:hAnsi="Times New Roman"/>
          <w:sz w:val="20"/>
        </w:rPr>
        <w:t xml:space="preserve"> (other than pursuant to </w:t>
      </w:r>
      <w:r>
        <w:rPr>
          <w:rFonts w:ascii="Times New Roman" w:hAnsi="Times New Roman"/>
          <w:sz w:val="20"/>
          <w:u w:val="single"/>
        </w:rPr>
        <w:t>Section 6.05(b)(xv)(J))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p>
    <w:p>
      <w:pPr>
        <w:pStyle w:val="TextBody"/>
        <w:bidi w:val="0"/>
        <w:spacing w:before="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Refinancing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its Restricted Subsidiaries shall consummate the Refinancing on or prior to the Target Debt Refinancing Outside Date. </w:t>
      </w:r>
    </w:p>
    <w:p>
      <w:pPr>
        <w:pStyle w:val="TextBody"/>
        <w:bidi w:val="0"/>
        <w:spacing w:before="36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Acquisition Undertakings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its Restricted Subsidiaries shall, subject always to the Companies Act 2006 and any applicable listing rules, (i) within 60 days after the Scheme Effective Date (or such later date as the Administrative Agent may reasonably agree), procure that such action as is necessary is taken to procure that trading in the shares in Company on the Main Market of the London Stock Exchange is cancelled and (ii) as soon as reasonably practicable thereafter, procure that the Company is re-registered as a private limited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(with respect to </w:t>
      </w:r>
      <w:r>
        <w:rPr>
          <w:rFonts w:ascii="Times New Roman" w:hAnsi="Times New Roman"/>
          <w:sz w:val="20"/>
          <w:u w:val="single"/>
        </w:rPr>
        <w:t>Sections 6.03(b)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only) and Bidco covenants and agrees with the Lenders that: </w:t>
      </w:r>
    </w:p>
    <w:p>
      <w:pPr>
        <w:pStyle w:val="TextBody"/>
        <w:bidi w:val="0"/>
        <w:spacing w:before="36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 Certain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Bidco shall not, and shall not permit any of its Restricted Subsidiaries to create, incur, issue, assume, guarantee or otherwise become liable, contingently or otherwise (collectively, “</w:t>
      </w:r>
      <w:r>
        <w:rPr>
          <w:rFonts w:ascii="Times New Roman" w:hAnsi="Times New Roman"/>
          <w:sz w:val="20"/>
          <w:u w:val="single"/>
        </w:rPr>
        <w:t>incur</w:t>
      </w:r>
      <w:r>
        <w:rPr>
          <w:rFonts w:ascii="Times New Roman" w:hAnsi="Times New Roman"/>
          <w:sz w:val="20"/>
        </w:rPr>
        <w:t>” and collectively, an “</w:t>
      </w:r>
      <w:r>
        <w:rPr>
          <w:rFonts w:ascii="Times New Roman" w:hAnsi="Times New Roman"/>
          <w:sz w:val="20"/>
          <w:u w:val="single"/>
        </w:rPr>
        <w:t>incurrence</w:t>
      </w:r>
      <w:r>
        <w:rPr>
          <w:rFonts w:ascii="Times New Roman" w:hAnsi="Times New Roman"/>
          <w:sz w:val="20"/>
        </w:rPr>
        <w:t xml:space="preserve">”) with respect to any Indebtedness (including Acquired Indebtedness) and Bidco shall not issue any shares of Disqualified Equity Interests and shall not permit any Restricted Subsidiary to issue any shares of Disqualified Equity Interests or Preferred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Bidco may incur Indebtedness (including Acquired Indebtedness) or issue shares of Disqualified Equity Interests, and any of its Restricted Subsidiaries may incur Indebtedness (including Acquired Indebtedness), issue shares of Disqualified Equity Interests and issue Preferred Stock that is, in each case,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 securing the Secured Obligations, secured by a Lien on the Collateral that is junior to the Lien securing the Secured Obligations, or that is unsecured or secured by assets that are not Collateral to the extent that (1) if such Indebtedness, Disqualified Equity Interests or Preferred Stock is secured by a Lien on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Liens on the Collateral securing the Secured Obligations, the Senior Secured First Lien Net Leverage Ratio of Bidco and the Restricted Subsidiaries (including for the purposes of such calculation any Disqualified Equity Interests or Preferred Stock that is secured by a Lien on a </w:t>
      </w:r>
      <w:r>
        <w:rPr>
          <w:rFonts w:ascii="Times New Roman" w:hAnsi="Times New Roman"/>
          <w:sz w:val="20"/>
          <w:u w:val="single"/>
        </w:rPr>
        <w:t>pari passu</w:t>
      </w:r>
      <w:r>
        <w:rPr>
          <w:rFonts w:ascii="Times New Roman" w:hAnsi="Times New Roman"/>
          <w:sz w:val="20"/>
        </w:rPr>
        <w:t xml:space="preserve"> basis with the Liens on the Collateral securing the Secured Obligations), after giving effect to the incurrence of such Indebtedness, Disqualified Equity Interests or Preferred Stock, as applicable, and the use of proceeds thereof, on a Pro Forma Basis would not exceed 5.10 to 1.00 , (2) if such Indebtedness, Disqualified Equity Interests or Preferred Stock is secured by a Lien on the Collateral on a junior priority basis with the Liens on the Collateral securing the Secured Obligations, the Senior Secured Net Leverage Ratio of Bidco and the Restricted Subsidiaries (including for the purposes of such calculation any Disqualified Equity Interests or Preferred Stock that is secured by a Lien on a junior basis to the Liens on the Collateral securing the Secured Obligations), after giving effect to the incurrence of such Indebtedness, Disqualified Equity Interests or Preferred Stock, as applicable, and the use of proceeds thereof, on a Pro Forma Basis would not exceed 5.10 to 1.00 and (3) if such Indebtedness, Disqualified Equity Interests or Preferred Stock is unsecured or is secured by assets that do not become Collateral, either (A) the Total Net Leverage Ratio of Bidco and the Restricted Subsidiaries (including for the purposes of such calculation any Disqualified Equity Interests or Preferred Stock that is unsecured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p>
    <w:p>
      <w:pPr>
        <w:pStyle w:val="TextBody"/>
        <w:bidi w:val="0"/>
        <w:spacing w:before="0" w:after="0"/>
        <w:jc w:val="left"/>
        <w:rPr>
          <w:rFonts w:ascii="Times New Roman" w:hAnsi="Times New Roman"/>
          <w:sz w:val="20"/>
        </w:rPr>
      </w:pPr>
      <w:r>
        <w:rPr>
          <w:rFonts w:ascii="Times New Roman" w:hAnsi="Times New Roman"/>
          <w:sz w:val="20"/>
        </w:rPr>
        <w:t xml:space="preserve">secured by assets that are not Collateral), after giving effect to the incurrence of such Indebtedness, Disqualified Equity Interests or Preferred Stock, as applicable, and the use of proceeds thereof, on a Pro Forma Basis would not exceed 5.10 to 1.00 or (B) the Interest Coverage Ratio of Bidco and the Restricted Subsidiaries, after giving effect to the incurrence of such Indebtedness, Disqualified Equity Interests or Preferred Stock, as applicable, and the use of proceeds thereof, on a Pro Forma Basis, would be at least 2.00 to 1.00;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Pro Forma Basis, together with any amounts incurred or issued, as applicable, and outstanding by Restricted Subsidiaries that are not Guarantors pursuant to clauses (xi)(b)(x) and (xvi) of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pursuant to this paragraph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240" w:after="0"/>
        <w:jc w:val="left"/>
        <w:rPr>
          <w:rFonts w:ascii="Times New Roman" w:hAnsi="Times New Roman"/>
          <w:sz w:val="20"/>
        </w:rPr>
      </w:pPr>
      <w:r>
        <w:rPr>
          <w:rFonts w:ascii="Times New Roman" w:hAnsi="Times New Roman"/>
          <w:sz w:val="20"/>
        </w:rPr>
        <w:t>(b) The provisions of</w:t>
      </w:r>
      <w:r>
        <w:rPr>
          <w:rFonts w:ascii="Times New Roman" w:hAnsi="Times New Roman"/>
          <w:sz w:val="20"/>
          <w:u w:val="single"/>
        </w:rPr>
        <w:t xml:space="preserve"> Section 6.01(a)</w:t>
      </w:r>
      <w:r>
        <w:rPr>
          <w:rFonts w:ascii="Times New Roman" w:hAnsi="Times New Roman"/>
          <w:sz w:val="20"/>
        </w:rPr>
        <w:t xml:space="preserve"> hereof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of Bidco and any of the Restricted Subsidiaries under the Loan Documents (including any Indebtedness incurred pursuant to </w:t>
      </w:r>
      <w:r>
        <w:rPr>
          <w:rFonts w:ascii="Times New Roman" w:hAnsi="Times New Roman"/>
          <w:sz w:val="20"/>
          <w:u w:val="single"/>
        </w:rPr>
        <w:t>Section 2.19</w:t>
      </w:r>
      <w:r>
        <w:rPr>
          <w:rFonts w:ascii="Times New Roman" w:hAnsi="Times New Roman"/>
          <w:sz w:val="20"/>
        </w:rPr>
        <w:t xml:space="preserve"> or </w:t>
      </w:r>
      <w:r>
        <w:rPr>
          <w:rFonts w:ascii="Times New Roman" w:hAnsi="Times New Roman"/>
          <w:sz w:val="20"/>
          <w:u w:val="single"/>
        </w:rPr>
        <w:t>2.20</w:t>
      </w:r>
      <w:r>
        <w:rPr>
          <w:rFonts w:ascii="Times New Roman" w:hAnsi="Times New Roman"/>
          <w:sz w:val="20"/>
        </w:rPr>
        <w:t xml:space="preserve">) and any Credit Agreement Refinancing Indebtedness in respect thereof that is subject to the Required Additional Debt Terms;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of Bidco and its Restricted Subsidiaries in existence on the Effective Date (other than Indebtedness described in clause (i) of this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Indebtedness (including Capitalized Lease Obligations), Disqualified Equity Interests and Preferred Stock incurred by Bidco or any of its Restricted Subsidiaries, to finance the purchase, lease or improvement of property (real or personal), equipment or other assets that, in each case, are used or useful in a Similar Business, whether through the direct purchase of assets or the Equity Interests of any Person owning such assets; </w:t>
      </w:r>
      <w:r>
        <w:rPr>
          <w:rFonts w:ascii="Times New Roman" w:hAnsi="Times New Roman"/>
          <w:sz w:val="20"/>
          <w:u w:val="single"/>
        </w:rPr>
        <w:t>provided</w:t>
      </w:r>
      <w:r>
        <w:rPr>
          <w:rFonts w:ascii="Times New Roman" w:hAnsi="Times New Roman"/>
          <w:sz w:val="20"/>
        </w:rPr>
        <w:t xml:space="preserve"> that, at the time of any such incurrence of Indebtedness, Disqualified Equity Interests or Preferred Stock (and after giving </w:t>
      </w:r>
      <w:r>
        <w:rPr>
          <w:rFonts w:ascii="Times New Roman" w:hAnsi="Times New Roman"/>
          <w:sz w:val="20"/>
          <w:u w:val="single"/>
        </w:rPr>
        <w:t>Pro Forma Eff</w:t>
      </w:r>
      <w:r>
        <w:rPr>
          <w:rFonts w:ascii="Times New Roman" w:hAnsi="Times New Roman"/>
          <w:sz w:val="20"/>
        </w:rPr>
        <w:t xml:space="preserve">ect thereto), the aggregate amount of Indebtedness, Disqualified Equity Interests and Preferred Stock incurred pursuant to this clause (iii), when aggregated with the outstanding amount of Refinancing Indebtedness in respect of Indebtedness, Disqualified Equity Interests and Preferred Stock initially incurred in reliance on this clause (iii), does not exceed the greater of $300,000,000 and 40% of Consolidated EBITDA for the most recently ended Test Period, calculated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(iv) Indebtedness incurred by Bidco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p>
    <w:p>
      <w:pPr>
        <w:pStyle w:val="TextBody"/>
        <w:bidi w:val="0"/>
        <w:spacing w:before="0" w:after="0"/>
        <w:jc w:val="left"/>
        <w:rPr>
          <w:rFonts w:ascii="Times New Roman" w:hAnsi="Times New Roman"/>
          <w:sz w:val="20"/>
        </w:rPr>
      </w:pPr>
      <w:r>
        <w:rPr>
          <w:rFonts w:ascii="Times New Roman" w:hAnsi="Times New Roman"/>
          <w:sz w:val="20"/>
        </w:rPr>
        <w:t xml:space="preserve">(v)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the Acquisition, any acquisition or other investment or any disposition, in each case, not prohibited hereunder; </w:t>
      </w:r>
    </w:p>
    <w:p>
      <w:pPr>
        <w:pStyle w:val="TextBody"/>
        <w:bidi w:val="0"/>
        <w:spacing w:before="120" w:after="0"/>
        <w:jc w:val="left"/>
        <w:rPr>
          <w:rFonts w:ascii="Times New Roman" w:hAnsi="Times New Roman"/>
          <w:sz w:val="20"/>
        </w:rPr>
      </w:pPr>
      <w:r>
        <w:rPr>
          <w:rFonts w:ascii="Times New Roman" w:hAnsi="Times New Roman"/>
          <w:sz w:val="20"/>
        </w:rPr>
        <w:t xml:space="preserve">(vi) Indebtedness of Bidco owing to a Restricted Subsidiary; </w:t>
      </w:r>
      <w:r>
        <w:rPr>
          <w:rFonts w:ascii="Times New Roman" w:hAnsi="Times New Roman"/>
          <w:sz w:val="20"/>
          <w:u w:val="single"/>
        </w:rPr>
        <w:t>provided</w:t>
      </w:r>
      <w:r>
        <w:rPr>
          <w:rFonts w:ascii="Times New Roman" w:hAnsi="Times New Roman"/>
          <w:sz w:val="20"/>
        </w:rPr>
        <w:t xml:space="preserve"> that any such Indebtedness owing to a Restricted Subsidiary that is not a Loan Party is expressly subordinated in right of payment to the Secured Obligations (but only to the extent permitted by applicable law and not giving rise to adverse tax consequences); </w:t>
      </w:r>
      <w:r>
        <w:rPr>
          <w:rFonts w:ascii="Times New Roman" w:hAnsi="Times New Roman"/>
          <w:sz w:val="20"/>
          <w:u w:val="single"/>
        </w:rPr>
        <w:t>provided, further</w:t>
      </w:r>
      <w:r>
        <w:rPr>
          <w:rFonts w:ascii="Times New Roman" w:hAnsi="Times New Roman"/>
          <w:sz w:val="20"/>
        </w:rPr>
        <w:t xml:space="preserve">, that any subsequent issuance or transfer of any Equity Interests or any other event that results in any such Restricted Subsidiary ceasing to be a Restricted Subsidiary or any other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 </w:t>
      </w:r>
    </w:p>
    <w:p>
      <w:pPr>
        <w:pStyle w:val="TextBody"/>
        <w:bidi w:val="0"/>
        <w:spacing w:before="120" w:after="0"/>
        <w:jc w:val="left"/>
        <w:rPr>
          <w:rFonts w:ascii="Times New Roman" w:hAnsi="Times New Roman"/>
          <w:sz w:val="20"/>
        </w:rPr>
      </w:pPr>
      <w:r>
        <w:rPr>
          <w:rFonts w:ascii="Times New Roman" w:hAnsi="Times New Roman"/>
          <w:sz w:val="20"/>
        </w:rPr>
        <w:t>(vii) Indebtedness of a Restricted Subsidiary owing to Bidco or another Restricted Subsidiary;</w:t>
      </w:r>
      <w:r>
        <w:rPr>
          <w:rFonts w:ascii="Times New Roman" w:hAnsi="Times New Roman"/>
          <w:sz w:val="20"/>
          <w:u w:val="single"/>
        </w:rPr>
        <w:t xml:space="preserve"> provided</w:t>
      </w:r>
      <w:r>
        <w:rPr>
          <w:rFonts w:ascii="Times New Roman" w:hAnsi="Times New Roman"/>
          <w:sz w:val="20"/>
        </w:rPr>
        <w:t xml:space="preserve"> that if a Loan Party incurs such Indebtedness owing to a Restricted Subsidiary that is not a Loan Party, such Indebtedness is expressly subordinated in right of payment to the Secured Obligations (but only to the extent permitted by applicable law and not giving rise to adverse tax consequences); </w:t>
      </w:r>
      <w:r>
        <w:rPr>
          <w:rFonts w:ascii="Times New Roman" w:hAnsi="Times New Roman"/>
          <w:sz w:val="20"/>
          <w:u w:val="single"/>
        </w:rPr>
        <w:t>provided, further</w:t>
      </w:r>
      <w:r>
        <w:rPr>
          <w:rFonts w:ascii="Times New Roman" w:hAnsi="Times New Roman"/>
          <w:sz w:val="20"/>
        </w:rPr>
        <w:t xml:space="preserve">, that any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(vii); </w:t>
      </w:r>
    </w:p>
    <w:p>
      <w:pPr>
        <w:pStyle w:val="TextBody"/>
        <w:bidi w:val="0"/>
        <w:spacing w:before="120" w:after="0"/>
        <w:jc w:val="left"/>
        <w:rPr>
          <w:rFonts w:ascii="Times New Roman" w:hAnsi="Times New Roman"/>
          <w:sz w:val="20"/>
        </w:rPr>
      </w:pPr>
      <w:r>
        <w:rPr>
          <w:rFonts w:ascii="Times New Roman" w:hAnsi="Times New Roman"/>
          <w:sz w:val="20"/>
        </w:rPr>
        <w:t xml:space="preserve">(viii) shares of Preferred Stock of a Restricted Subsidiary issued to Bidco or another Restricted Subsidiary, </w:t>
      </w:r>
      <w:r>
        <w:rPr>
          <w:rFonts w:ascii="Times New Roman" w:hAnsi="Times New Roman"/>
          <w:sz w:val="20"/>
          <w:u w:val="single"/>
        </w:rPr>
        <w:t>provided</w:t>
      </w:r>
      <w:r>
        <w:rPr>
          <w:rFonts w:ascii="Times New Roman" w:hAnsi="Times New Roman"/>
          <w:sz w:val="20"/>
        </w:rPr>
        <w:t xml:space="preserve"> that any subsequent issuance or transfer of any Equity Interests or any other event which results in any such Restricted Subsidiary ceasing to be a Restricted Subsidiary or any other subsequent transfer of any such shares of Preferred Stock (except to Bidco or another of its Restricted Subsidiaries) shall be deemed in each case to be an issuance of such shares of Preferred Stock not permitted by this clause (viii); </w:t>
      </w:r>
    </w:p>
    <w:p>
      <w:pPr>
        <w:pStyle w:val="TextBody"/>
        <w:bidi w:val="0"/>
        <w:spacing w:before="120" w:after="0"/>
        <w:jc w:val="left"/>
        <w:rPr>
          <w:rFonts w:ascii="Times New Roman" w:hAnsi="Times New Roman"/>
          <w:sz w:val="20"/>
        </w:rPr>
      </w:pPr>
      <w:r>
        <w:rPr>
          <w:rFonts w:ascii="Times New Roman" w:hAnsi="Times New Roman"/>
          <w:sz w:val="20"/>
        </w:rPr>
        <w:t xml:space="preserve">(ix) Hedging Obligations incurred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(x) obligations in respect of self-insurance and obligations in respect of performance, bid, appeal and surety bonds, performance and completion guarantees, statutory, export or import indemnities, customs and completion guarantees (not for borrowed money) and similar obligations provided by Bidco or any of its Restricted Subsidiaries or obligations in respect of letters of credit, bank guarantees or similar instruments related thereto, in each case,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(a) Indebtedness, Disqualified Equity Interests or Preferred Stock of Bidco or any Restricted Subsidiary equal to 200.0% of the net cash proceeds received by Bidco since immediately after the Effective Date from the issue or sale of Equity Interests of Bidco or cash contributed to the capital of Bidco or any Restricted Subsidiary (in each case, other than Excluded Contributions or proceeds of Disqualified Equity Interests or sales of Equity Interests to Bidco or any of its Subsidiaries) as determined in accordance with clauses (A)(2) and (A)(3) of </w:t>
      </w:r>
      <w:r>
        <w:rPr>
          <w:rFonts w:ascii="Times New Roman" w:hAnsi="Times New Roman"/>
          <w:sz w:val="20"/>
          <w:u w:val="single"/>
        </w:rPr>
        <w:t>Section 6.05(a)</w:t>
      </w:r>
      <w:r>
        <w:rPr>
          <w:rFonts w:ascii="Times New Roman" w:hAnsi="Times New Roman"/>
          <w:sz w:val="20"/>
        </w:rPr>
        <w:t xml:space="preserve"> hereof to the extent such net cash proceeds or cash have not been applied pursuant to such clauses to make Restricted Payments or to make other Investments, payments or exchanges pursuant to </w:t>
      </w:r>
      <w:r>
        <w:rPr>
          <w:rFonts w:ascii="Times New Roman" w:hAnsi="Times New Roman"/>
          <w:sz w:val="20"/>
          <w:u w:val="single"/>
        </w:rPr>
        <w:t>Section 6.05(b)</w:t>
      </w:r>
      <w:r>
        <w:rPr>
          <w:rFonts w:ascii="Times New Roman" w:hAnsi="Times New Roman"/>
          <w:sz w:val="20"/>
        </w:rPr>
        <w:t xml:space="preserve"> hereof or to make Permitted Investments (other than Permitted Investments specified in clauses (1) and (3) of the definition thereof) and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p>
    <w:p>
      <w:pPr>
        <w:pStyle w:val="TextBody"/>
        <w:bidi w:val="0"/>
        <w:spacing w:before="0" w:after="0"/>
        <w:jc w:val="left"/>
        <w:rPr>
          <w:rFonts w:ascii="Times New Roman" w:hAnsi="Times New Roman"/>
          <w:sz w:val="20"/>
        </w:rPr>
      </w:pPr>
      <w:r>
        <w:rPr>
          <w:rFonts w:ascii="Times New Roman" w:hAnsi="Times New Roman"/>
          <w:sz w:val="20"/>
        </w:rPr>
        <w:t xml:space="preserve">Indebtedness, Disqualified Equity Interests or Preferred Stock of Bidco or any Restricted Subsidiary not otherwise permitted hereunder in an aggregate principal amount or liquidation preference, which when aggregated with the principal amount and liquidation preference of all other Indebtedness, Disqualified Equity Interests and Preferred Stock then outstanding and incurred pursuant to this clause (xi)(b) and the outstanding amount of Indebtedness, Disqualified Equity Interests or Preferred Stock of Bidco or any Restricted Subsidiary which serves to refinance any Indebtedness, Disqualified Equity Interests or Preferred Stock incurred as permitted under this clause (xi)(b) or any Indebtedness, Disqualified Equity Interests or Preferred Stock issued to so refund or refinance such Indebtedness, Disqualified Equity Interests or Preferred Stock, does not, at the time of any such incurrence of Indebtedness (and after giving Pro Forma Effect thereto), exceed the sum of (x) the greater of $450,000,000 and 60% of Consolidated EBITDA for the most recently ended Test Period, calculated on a Pro Forma Basis; </w:t>
      </w:r>
      <w:r>
        <w:rPr>
          <w:rFonts w:ascii="Times New Roman" w:hAnsi="Times New Roman"/>
          <w:sz w:val="20"/>
          <w:u w:val="single"/>
        </w:rPr>
        <w:t>provided</w:t>
      </w:r>
      <w:r>
        <w:rPr>
          <w:rFonts w:ascii="Times New Roman" w:hAnsi="Times New Roman"/>
          <w:sz w:val="20"/>
        </w:rPr>
        <w:t xml:space="preserve"> that available amounts under this clause (xi)(b)(x) may be used to incur Incremental Facilities or Incremental Equivalent Debt in reliance on the General Debt Basket Reallocated Amount and such usage shall be deemed to be a utilization of the basket under this Section 6.01(b)(xi)(b), and (y) an additional amount of Indebtedness in lieu of Restricted Payments permitted under </w:t>
      </w:r>
      <w:r>
        <w:rPr>
          <w:rFonts w:ascii="Times New Roman" w:hAnsi="Times New Roman"/>
          <w:sz w:val="20"/>
          <w:u w:val="single"/>
        </w:rPr>
        <w:t xml:space="preserve">Section 6.05 </w:t>
      </w:r>
      <w:r>
        <w:rPr>
          <w:rFonts w:ascii="Times New Roman" w:hAnsi="Times New Roman"/>
          <w:sz w:val="20"/>
        </w:rPr>
        <w:t xml:space="preserve">(it being understood that such Indebtedness shall be deemed a Restricted Payment for purposes of compliance with </w:t>
      </w:r>
      <w:r>
        <w:rPr>
          <w:rFonts w:ascii="Times New Roman" w:hAnsi="Times New Roman"/>
          <w:sz w:val="20"/>
          <w:u w:val="single"/>
        </w:rPr>
        <w:t>Section 6.05</w:t>
      </w:r>
      <w:r>
        <w:rPr>
          <w:rFonts w:ascii="Times New Roman" w:hAnsi="Times New Roman"/>
          <w:sz w:val="20"/>
        </w:rPr>
        <w:t xml:space="preserve">) (it being understood that any Indebtedness, Disqualified Equity Interests or Preferred Stock incurred pursuant to this clause (xi)(b) shall cease to be deemed incurred or outstanding for purposes of this clause (xi)(b) but shall be deemed incurred for the purposes of </w:t>
      </w:r>
      <w:r>
        <w:rPr>
          <w:rFonts w:ascii="Times New Roman" w:hAnsi="Times New Roman"/>
          <w:sz w:val="20"/>
          <w:u w:val="single"/>
        </w:rPr>
        <w:t>Section 6.01(a)</w:t>
      </w:r>
      <w:r>
        <w:rPr>
          <w:rFonts w:ascii="Times New Roman" w:hAnsi="Times New Roman"/>
          <w:sz w:val="20"/>
        </w:rPr>
        <w:t xml:space="preserve"> hereof from and after the first date on which Bidco or such Restricted Subsidiary could have incurred such Indebtedness, Disqualified Equity Interests or Preferred Stock under </w:t>
      </w:r>
      <w:r>
        <w:rPr>
          <w:rFonts w:ascii="Times New Roman" w:hAnsi="Times New Roman"/>
          <w:sz w:val="20"/>
          <w:u w:val="single"/>
        </w:rPr>
        <w:t>Section 6.01(a)</w:t>
      </w:r>
      <w:r>
        <w:rPr>
          <w:rFonts w:ascii="Times New Roman" w:hAnsi="Times New Roman"/>
          <w:sz w:val="20"/>
        </w:rPr>
        <w:t xml:space="preserve"> hereof without reliance on this clause (xi)(b)); </w:t>
      </w:r>
      <w:r>
        <w:rPr>
          <w:rFonts w:ascii="Times New Roman" w:hAnsi="Times New Roman"/>
          <w:sz w:val="20"/>
          <w:u w:val="single"/>
        </w:rPr>
        <w:t>provided</w:t>
      </w:r>
      <w:r>
        <w:rPr>
          <w:rFonts w:ascii="Times New Roman" w:hAnsi="Times New Roman"/>
          <w:sz w:val="20"/>
        </w:rPr>
        <w:t xml:space="preserve"> that such Indebtedness, Disqualified Equity Interests or Preferred Stock incurred pursuant to this clause (xi)(b) may be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 securing the Secured Obligations, secured by a Lien on the Collateral that is junior to the Lien securing the Secured Obligations, or may be unsecured or secured by assets that are not Collateral to the extent that such Lien is permitted under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w:t>
      </w:r>
      <w:r>
        <w:rPr>
          <w:rFonts w:ascii="Times New Roman" w:hAnsi="Times New Roman"/>
          <w:sz w:val="20"/>
          <w:u w:val="single"/>
        </w:rPr>
        <w:t>Pro Forma Basis</w:t>
      </w:r>
      <w:r>
        <w:rPr>
          <w:rFonts w:ascii="Times New Roman" w:hAnsi="Times New Roman"/>
          <w:sz w:val="20"/>
        </w:rPr>
        <w:t xml:space="preserve">, together with any amounts incurred or issued, as applicable, and outstanding by Restricted Subsidiaries that are not Guarantors pursuant to </w:t>
      </w:r>
      <w:r>
        <w:rPr>
          <w:rFonts w:ascii="Times New Roman" w:hAnsi="Times New Roman"/>
          <w:sz w:val="20"/>
          <w:u w:val="single"/>
        </w:rPr>
        <w:t>Section 6.01(a)</w:t>
      </w:r>
      <w:r>
        <w:rPr>
          <w:rFonts w:ascii="Times New Roman" w:hAnsi="Times New Roman"/>
          <w:sz w:val="20"/>
        </w:rPr>
        <w:t xml:space="preserve">, this clause (xi)(b)(x) of this </w:t>
      </w:r>
      <w:r>
        <w:rPr>
          <w:rFonts w:ascii="Times New Roman" w:hAnsi="Times New Roman"/>
          <w:sz w:val="20"/>
          <w:u w:val="single"/>
        </w:rPr>
        <w:t>Section 6.01(b)</w:t>
      </w:r>
      <w:r>
        <w:rPr>
          <w:rFonts w:ascii="Times New Roman" w:hAnsi="Times New Roman"/>
          <w:sz w:val="20"/>
        </w:rPr>
        <w:t xml:space="preserve"> and clause (xvi) of this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w:t>
      </w:r>
      <w:r>
        <w:rPr>
          <w:rFonts w:ascii="Times New Roman" w:hAnsi="Times New Roman"/>
          <w:sz w:val="20"/>
          <w:u w:val="single"/>
        </w:rPr>
        <w:t xml:space="preserve"> 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left"/>
        <w:rPr>
          <w:rFonts w:ascii="Times New Roman" w:hAnsi="Times New Roman"/>
          <w:sz w:val="20"/>
        </w:rPr>
      </w:pPr>
      <w:r>
        <w:rPr>
          <w:rFonts w:ascii="Times New Roman" w:hAnsi="Times New Roman"/>
          <w:sz w:val="20"/>
        </w:rPr>
        <w:t xml:space="preserve">(xii) the incurrence by Bidco or any Restricted Subsidiary of Indebtedness or issuance by Bidco or any Restricted Subsidiary, of Bidco of Indebtedness, Disqualified Equity Interests or Preferred Stock of Bidco or any Restricted Subsidiary which serves to refund, refinance, replace, renew, extend or defease (collectively, “refinance” and “refinances,” with “refinanced” and “refinancing” having a correlative meaning) any Indebtedness incurred or Disqualified Equity Interests or Preferred Stock issued as permitted under </w:t>
      </w:r>
      <w:r>
        <w:rPr>
          <w:rFonts w:ascii="Times New Roman" w:hAnsi="Times New Roman"/>
          <w:sz w:val="20"/>
          <w:u w:val="single"/>
        </w:rPr>
        <w:t>Section 6.01(a)</w:t>
      </w:r>
      <w:r>
        <w:rPr>
          <w:rFonts w:ascii="Times New Roman" w:hAnsi="Times New Roman"/>
          <w:sz w:val="20"/>
        </w:rPr>
        <w:t xml:space="preserve"> hereof and clauses (ii), (iii) and (xi) of this </w:t>
      </w:r>
      <w:r>
        <w:rPr>
          <w:rFonts w:ascii="Times New Roman" w:hAnsi="Times New Roman"/>
          <w:sz w:val="20"/>
          <w:u w:val="single"/>
        </w:rPr>
        <w:t>Section 6.01(b)</w:t>
      </w:r>
      <w:r>
        <w:rPr>
          <w:rFonts w:ascii="Times New Roman" w:hAnsi="Times New Roman"/>
          <w:sz w:val="20"/>
        </w:rPr>
        <w:t xml:space="preserve">, this clause (xii) and clauses (xvi), (xix), (xxix), (xxx) or (xxxi) of this </w:t>
      </w:r>
      <w:r>
        <w:rPr>
          <w:rFonts w:ascii="Times New Roman" w:hAnsi="Times New Roman"/>
          <w:sz w:val="20"/>
          <w:u w:val="single"/>
        </w:rPr>
        <w:t>Section 6.01(b)</w:t>
      </w:r>
      <w:r>
        <w:rPr>
          <w:rFonts w:ascii="Times New Roman" w:hAnsi="Times New Roman"/>
          <w:sz w:val="20"/>
        </w:rPr>
        <w:t xml:space="preserve"> or any Indebtedness incurred or Disqualified Equity Interests or Preferred Stock issued to so extend, replace, refund, refinance, renew or defease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p>
    <w:p>
      <w:pPr>
        <w:pStyle w:val="TextBody"/>
        <w:bidi w:val="0"/>
        <w:spacing w:before="0" w:after="0"/>
        <w:jc w:val="left"/>
        <w:rPr>
          <w:rFonts w:ascii="Times New Roman" w:hAnsi="Times New Roman"/>
          <w:sz w:val="20"/>
        </w:rPr>
      </w:pPr>
      <w:r>
        <w:rPr>
          <w:rFonts w:ascii="Times New Roman" w:hAnsi="Times New Roman"/>
          <w:sz w:val="20"/>
        </w:rPr>
        <w:t>Disqualified Equity Interests or Preferred Stock including additional Indebtedness, Disqualified Equity Interests or Preferred Stock incurred to pay premiums (including reasonable tender premiums), defeasance costs and fees in connection therewith (the “</w:t>
      </w:r>
      <w:r>
        <w:rPr>
          <w:rFonts w:ascii="Times New Roman" w:hAnsi="Times New Roman"/>
          <w:sz w:val="20"/>
          <w:u w:val="single"/>
        </w:rPr>
        <w:t>Refinancing Indebtedness</w:t>
      </w:r>
      <w:r>
        <w:rPr>
          <w:rFonts w:ascii="Times New Roman" w:hAnsi="Times New Roman"/>
          <w:sz w:val="20"/>
        </w:rPr>
        <w:t xml:space="preserve">”) prior to its respective maturity;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any Designated Earlier Maturing Debt, has a Weighted Average Life to Maturity at the time such Refinancing Indebtedness is incurred which is not less than the remaining Weighted Average Life to Maturity of the Indebtedness, Disqualified Equity Interests or Preferred Stock being extended, replaced, refunded, refinanced, renewed or defeased,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Refinancing Indebtedness extends, replaces, refunds, refinances, renews or defeases (i) Indebtedness subordinated in right of payment to the Loan Document Obligations, such Refinancing Indebtedness is subordinated in right of payment to the Loan Document Obligations at least to the same extent as the Indebtedness being extended, replaced, refunded, refinanced, renewed or defeased, (ii) Disqualified Equity Interests or Preferred Stock, such Refinancing Indebtedness must be Disqualified Equity Interests or Preferred Stock,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(C)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Disqualified Equity Interests or Preferred Stock of a Subsidiary of Bidco that is not a Guarantor that refinances Indebtedness, Disqualified Equity Interests or Preferred Stock of Bidco or a Borrower;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Disqualified Equity Interests or Preferred Stock of a Subsidiary of Bidco that is not a Guarantor that refinances Indebtedness, Disqualified Equity Interests or Preferred Stock of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Indebtedness, Disqualified Equity Interests or Preferred Stock of Bidco or a Restricted Subsidiary that refinances Indebtedness, Disqualified Equity Interests or Preferred Stock of an Unrestricted Subsidiary; and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subclause (A) of this clause (xii) shall not apply to any refunding or refinancing of any outstanding Secured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(xiii) Indebtedness in respect of Cash Management Obligations, Bank Products provided by banks or other financial institutions to Bidco and its Restricted Subsidiaries in the ordinary course of business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(xiv) Indebtedness of Bidco or any of its Restricted Subsidiaries supported by a letter of credit issued pursuant to credit facilities, in a principal amount not in excess of the stated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(xv) any guarantee by Bidco or a Restricted Subsidiary of Indebtedness or other obligations of any Restricted Subsidiary so long as the incurrence of such Indebtedness incurred by such Restricted Subsidiary is permitted under the terms of this Agreement or any guarantee by a Restricted Subsidiary of Indebtedness or other obligations of Bidco so long as the incurrence of such Indebtedness incurred by Bidco is permitted under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p>
    <w:p>
      <w:pPr>
        <w:pStyle w:val="TextBody"/>
        <w:bidi w:val="0"/>
        <w:spacing w:before="0" w:after="0"/>
        <w:jc w:val="left"/>
        <w:rPr>
          <w:rFonts w:ascii="Times New Roman" w:hAnsi="Times New Roman"/>
          <w:sz w:val="20"/>
        </w:rPr>
      </w:pPr>
      <w:r>
        <w:rPr>
          <w:rFonts w:ascii="Times New Roman" w:hAnsi="Times New Roman"/>
          <w:sz w:val="20"/>
        </w:rPr>
        <w:t xml:space="preserve">(xvi) Indebtedness, Disqualified Equity Interests or Preferred Stock of a Restricted Subsidiary incurred to finance or assumed in connection with an acquisition; provided that, at the time of any such incurrence of Indebtedness, Disqualified Equity Interests or Preferred Stock (and after giving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Forma</w:t>
      </w:r>
      <w:r>
        <w:rPr>
          <w:rFonts w:ascii="Times New Roman" w:hAnsi="Times New Roman"/>
          <w:sz w:val="20"/>
        </w:rPr>
        <w:t xml:space="preserve"> </w:t>
      </w:r>
      <w:r>
        <w:rPr>
          <w:rFonts w:ascii="Times New Roman" w:hAnsi="Times New Roman"/>
          <w:sz w:val="20"/>
          <w:u w:val="single"/>
        </w:rPr>
        <w:t>Effect</w:t>
      </w:r>
      <w:r>
        <w:rPr>
          <w:rFonts w:ascii="Times New Roman" w:hAnsi="Times New Roman"/>
          <w:sz w:val="20"/>
        </w:rPr>
        <w:t xml:space="preserve"> thereto), the aggregate amount of such Indebtedness, Disqualified Equity Interests or Preferred Stock incurred under this clause (xvi), when aggregated with the outstanding amount of Indebtedness, Disqualified Equity Interests or Preferred Stock of Bidco or any Restricted Subsidiary which serves to refinance any Indebtedness, Disqualified Equity Interests or Preferred Stock incurred as permitted under this clause (xvi) or any Indebtedness, Disqualified Equity Interests or Preferred Stock issued to so refund or refinance such Indebtedness, Disqualified Equity Interests or Preferred Stock, does not exceed the greater of $150,000,000 and 20% of Consolidated EBITDA for the most recently ended Test Period, calculated on a Pro Forma Basis, in the aggregate (it being understood that any Indebtedness, Disqualified Equity Interests or Preferred Stock incurred pursuant to this clause (xvi) shall cease to be deemed incurred or outstanding for purposes of this clause (xvi) but shall be deemed incurred for the purposes of </w:t>
      </w:r>
      <w:r>
        <w:rPr>
          <w:rFonts w:ascii="Times New Roman" w:hAnsi="Times New Roman"/>
          <w:sz w:val="20"/>
          <w:u w:val="single"/>
        </w:rPr>
        <w:t>Section 6.01(a)</w:t>
      </w:r>
      <w:r>
        <w:rPr>
          <w:rFonts w:ascii="Times New Roman" w:hAnsi="Times New Roman"/>
          <w:sz w:val="20"/>
        </w:rPr>
        <w:t xml:space="preserve"> hereof from and after the first date on which such Restricted Subsidiary could have incurred such Indebtedness, Disqualified Equity Interests or Preferred Stock under </w:t>
      </w:r>
      <w:r>
        <w:rPr>
          <w:rFonts w:ascii="Times New Roman" w:hAnsi="Times New Roman"/>
          <w:sz w:val="20"/>
          <w:u w:val="single"/>
        </w:rPr>
        <w:t>Section 6.01(a)</w:t>
      </w:r>
      <w:r>
        <w:rPr>
          <w:rFonts w:ascii="Times New Roman" w:hAnsi="Times New Roman"/>
          <w:sz w:val="20"/>
        </w:rPr>
        <w:t xml:space="preserve"> hereof without reliance on this clause (xvi));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Pro Forma Basis, together with any amounts incurred or issued, as applicable, and outstanding by Restricted Subsidiaries that are not Guarantors pursuant to </w:t>
      </w:r>
      <w:r>
        <w:rPr>
          <w:rFonts w:ascii="Times New Roman" w:hAnsi="Times New Roman"/>
          <w:sz w:val="20"/>
          <w:u w:val="single"/>
        </w:rPr>
        <w:t>Section 6.01(a)</w:t>
      </w:r>
      <w:r>
        <w:rPr>
          <w:rFonts w:ascii="Times New Roman" w:hAnsi="Times New Roman"/>
          <w:sz w:val="20"/>
        </w:rPr>
        <w:t xml:space="preserve">, clause (xi)(b)(x) of this </w:t>
      </w:r>
      <w:r>
        <w:rPr>
          <w:rFonts w:ascii="Times New Roman" w:hAnsi="Times New Roman"/>
          <w:sz w:val="20"/>
          <w:u w:val="single"/>
        </w:rPr>
        <w:t>Section 6.01(b)</w:t>
      </w:r>
      <w:r>
        <w:rPr>
          <w:rFonts w:ascii="Times New Roman" w:hAnsi="Times New Roman"/>
          <w:sz w:val="20"/>
        </w:rPr>
        <w:t xml:space="preserve"> and this clause (xvi) of this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left"/>
        <w:rPr>
          <w:rFonts w:ascii="Times New Roman" w:hAnsi="Times New Roman"/>
          <w:sz w:val="20"/>
        </w:rPr>
      </w:pPr>
      <w:r>
        <w:rPr>
          <w:rFonts w:ascii="Times New Roman" w:hAnsi="Times New Roman"/>
          <w:sz w:val="20"/>
        </w:rPr>
        <w:t xml:space="preserve">(xvii) Indebtedness of Bidco or any of its Restricted Subsidiaries consisting of (i) the financing of insurance premiums or (ii) take-or-pay obligations contained in supply arrangements; </w:t>
      </w:r>
    </w:p>
    <w:p>
      <w:pPr>
        <w:pStyle w:val="TextBody"/>
        <w:bidi w:val="0"/>
        <w:spacing w:before="120" w:after="0"/>
        <w:jc w:val="left"/>
        <w:rPr>
          <w:rFonts w:ascii="Times New Roman" w:hAnsi="Times New Roman"/>
          <w:sz w:val="20"/>
        </w:rPr>
      </w:pPr>
      <w:r>
        <w:rPr>
          <w:rFonts w:ascii="Times New Roman" w:hAnsi="Times New Roman"/>
          <w:sz w:val="20"/>
        </w:rPr>
        <w:t xml:space="preserve">(xviii) Indebtedness consisting of Indebtedness issued by Bidco or any of its Restricted Subsidiaries to current or former officers, directors and employees thereof, their respective estates, spouses or former spouses, in each case to finance the purchase or redemption of Equity Interests of Bidco or any direct or indirect parent company of Bidco to the extent described in </w:t>
      </w:r>
      <w:r>
        <w:rPr>
          <w:rFonts w:ascii="Times New Roman" w:hAnsi="Times New Roman"/>
          <w:sz w:val="20"/>
          <w:u w:val="single"/>
        </w:rPr>
        <w:t>Section 6.05(b)</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(xix) Indebtedness of any Restricted Subsidiary that is not a Guarantor;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w:t>
      </w:r>
      <w:r>
        <w:rPr>
          <w:rFonts w:ascii="Times New Roman" w:hAnsi="Times New Roman"/>
          <w:sz w:val="20"/>
          <w:u w:val="single"/>
        </w:rPr>
        <w:t>Pro Forma Eff</w:t>
      </w:r>
      <w:r>
        <w:rPr>
          <w:rFonts w:ascii="Times New Roman" w:hAnsi="Times New Roman"/>
          <w:sz w:val="20"/>
        </w:rPr>
        <w:t xml:space="preserve">ect thereto), the aggregate amount of Indebtedness incurred under this clause (xix), when aggregated with the outstanding amount of Indebtedness of any Restricted Subsidiary that is not a Guarantor which serves to refinance any Indebtedness incurred as permitted under this clause (xix) or any Indebtedness issued to so refund or refinance such Indebtedness, does not exceed the greater of $112,500,000 and 15% of Consolidated EBITDA for the most recently ended Test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p>
    <w:p>
      <w:pPr>
        <w:pStyle w:val="TextBody"/>
        <w:bidi w:val="0"/>
        <w:spacing w:before="0" w:after="0"/>
        <w:jc w:val="left"/>
        <w:rPr>
          <w:rFonts w:ascii="Times New Roman" w:hAnsi="Times New Roman"/>
          <w:sz w:val="20"/>
        </w:rPr>
      </w:pPr>
      <w:r>
        <w:rPr>
          <w:rFonts w:ascii="Times New Roman" w:hAnsi="Times New Roman"/>
          <w:sz w:val="20"/>
        </w:rPr>
        <w:t xml:space="preserve">calculated on a Pro Forma Basis, in the aggregate (it being understood that any Indebtedness incurred pursuant to this clause (xix) shall cease to be deemed incurred or outstanding for purposes of this clause (xix) but shall be deemed incurred for the purposes of the first paragraph of this covenant from and after the first date on which Bidco or such Restricted Subsidiary could have incurred such Indebtedness under the first paragraph of this covenant without reliance on this clause (xix));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limitation shall not apply to Indebtedness of any Person that becomes a Restricted Subsidiary in connection with an Investment not prohibited this Agreement (or of any Person not previously a Restricted Subsidiary that is merged or consolidated with or into Bidco or a Restricted Subsidiary) if such Indebtedness is outstanding prior to such Person becoming a Restricted Subsidiary and to the extent such Indebtedness is not incurred in contemplation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(xx) Indebtedness representing deferred compensation or stock-based compensation owed to employees of direct or indirect parent companies of Bidco, Bidco or the Restricted Subsidiaries incurred in the ordinary course of business or consistent with past practice or in connection with the Transactions, any Investment or any acquisition (by merger, consolidation, amalgamation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(xxi) Settlement Indebtedness; </w:t>
      </w:r>
    </w:p>
    <w:p>
      <w:pPr>
        <w:pStyle w:val="TextBody"/>
        <w:bidi w:val="0"/>
        <w:spacing w:before="120" w:after="0"/>
        <w:jc w:val="left"/>
        <w:rPr>
          <w:rFonts w:ascii="Times New Roman" w:hAnsi="Times New Roman"/>
          <w:sz w:val="20"/>
        </w:rPr>
      </w:pPr>
      <w:r>
        <w:rPr>
          <w:rFonts w:ascii="Times New Roman" w:hAnsi="Times New Roman"/>
          <w:sz w:val="20"/>
        </w:rPr>
        <w:t xml:space="preserve">(xxii) customer deposits and advance payments received in the ordinary course of business or consistent with past practice from customers for the purchase of goods or services; </w:t>
      </w:r>
    </w:p>
    <w:p>
      <w:pPr>
        <w:pStyle w:val="TextBody"/>
        <w:bidi w:val="0"/>
        <w:spacing w:before="120" w:after="0"/>
        <w:jc w:val="left"/>
        <w:rPr>
          <w:rFonts w:ascii="Times New Roman" w:hAnsi="Times New Roman"/>
          <w:sz w:val="20"/>
        </w:rPr>
      </w:pPr>
      <w:r>
        <w:rPr>
          <w:rFonts w:ascii="Times New Roman" w:hAnsi="Times New Roman"/>
          <w:sz w:val="20"/>
        </w:rPr>
        <w:t xml:space="preserve">(xxiii)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w:t>
      </w:r>
    </w:p>
    <w:p>
      <w:pPr>
        <w:pStyle w:val="TextBody"/>
        <w:bidi w:val="0"/>
        <w:spacing w:before="120" w:after="0"/>
        <w:jc w:val="left"/>
        <w:rPr>
          <w:rFonts w:ascii="Times New Roman" w:hAnsi="Times New Roman"/>
          <w:sz w:val="20"/>
        </w:rPr>
      </w:pPr>
      <w:r>
        <w:rPr>
          <w:rFonts w:ascii="Times New Roman" w:hAnsi="Times New Roman"/>
          <w:sz w:val="20"/>
        </w:rPr>
        <w:t xml:space="preserve">(xxiv) additional Indebtedness of Bidco or any of its Restricted Subsidiaries in an aggregate principal amount not to exceed the Available Amount that is not otherwise applied pursuant to clause (34) of the definition of “Permitted Liens” and </w:t>
      </w:r>
      <w:r>
        <w:rPr>
          <w:rFonts w:ascii="Times New Roman" w:hAnsi="Times New Roman"/>
          <w:sz w:val="20"/>
          <w:u w:val="single"/>
        </w:rPr>
        <w:t>Section 6.05(a)(A)</w:t>
      </w:r>
      <w:r>
        <w:rPr>
          <w:rFonts w:ascii="Times New Roman" w:hAnsi="Times New Roman"/>
          <w:sz w:val="20"/>
        </w:rPr>
        <w:t xml:space="preserve"> as in effect immediately prior to the incurrence of such Indebtedness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(xxv) additional Indebtedness of Bidco or any of its Restricted Subsidiaries in an aggregate principal amount that does not exceed the amount of Excluded Contributions made since the Effective Date that is not otherwise applied pursuant to clause (35) of the definition of “Permitted Liens” and </w:t>
      </w:r>
      <w:r>
        <w:rPr>
          <w:rFonts w:ascii="Times New Roman" w:hAnsi="Times New Roman"/>
          <w:sz w:val="20"/>
          <w:u w:val="single"/>
        </w:rPr>
        <w:t>Section 6.05(b)(x)</w:t>
      </w:r>
      <w:r>
        <w:rPr>
          <w:rFonts w:ascii="Times New Roman" w:hAnsi="Times New Roman"/>
          <w:sz w:val="20"/>
        </w:rPr>
        <w:t xml:space="preserve"> as in effect immediately prior to the incurrence of such Indebtedness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(xxvi) (a) Indebtedness of Bidco, any Borrower or any Subsidiary Loan Party issued in lieu of Incremental Facilities consisting of one or more series of loans (including bridge facilities), bonds, notes or debentures (and any Registered Equivalent Notes issued in exchange therefor) that are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or unsecured or that are subordinated (the “</w:t>
      </w:r>
      <w:r>
        <w:rPr>
          <w:rFonts w:ascii="Times New Roman" w:hAnsi="Times New Roman"/>
          <w:sz w:val="20"/>
          <w:u w:val="single"/>
        </w:rPr>
        <w:t>Incremental Equivalent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aggregate principal amount of all such Indebtedness incurred pursuant to this clause shall not exceed at the time of incurrence the Incremental Cap at such time and (y) such Indebtedness complies with the Required Additional Debt Terms and (b) any Refinancing Indebtedness in respect of Indebtedness incurred pursuant to the foregoing subclause (a);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Incremental Equivalent Debt is (i) broadly syndicated to banks and other institutional investors, (ii) a term loan that is equal in right of payment to the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p>
    <w:p>
      <w:pPr>
        <w:pStyle w:val="TextBody"/>
        <w:bidi w:val="0"/>
        <w:spacing w:before="0" w:after="0"/>
        <w:jc w:val="left"/>
        <w:rPr>
          <w:rFonts w:ascii="Times New Roman" w:hAnsi="Times New Roman"/>
          <w:sz w:val="20"/>
        </w:rPr>
      </w:pPr>
      <w:r>
        <w:rPr>
          <w:rFonts w:ascii="Times New Roman" w:hAnsi="Times New Roman"/>
          <w:sz w:val="20"/>
        </w:rPr>
        <w:t xml:space="preserve">Document Obligations and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and (iii) denominated in dollars, </w:t>
      </w:r>
      <w:r>
        <w:rPr>
          <w:rFonts w:ascii="Times New Roman" w:hAnsi="Times New Roman"/>
          <w:sz w:val="20"/>
          <w:u w:val="single"/>
        </w:rPr>
        <w:t>then</w:t>
      </w:r>
      <w:r>
        <w:rPr>
          <w:rFonts w:ascii="Times New Roman" w:hAnsi="Times New Roman"/>
          <w:sz w:val="20"/>
        </w:rPr>
        <w:t xml:space="preserve"> the Amendment No. 1 Refinancing Term Loans shall be subject to the “most favored nation” pricing adjustment (if applicable) set forth in the proviso to </w:t>
      </w:r>
      <w:r>
        <w:rPr>
          <w:rFonts w:ascii="Times New Roman" w:hAnsi="Times New Roman"/>
          <w:sz w:val="20"/>
          <w:u w:val="single"/>
        </w:rPr>
        <w:t>Section 2.19(b)</w:t>
      </w:r>
      <w:r>
        <w:rPr>
          <w:rFonts w:ascii="Times New Roman" w:hAnsi="Times New Roman"/>
          <w:sz w:val="20"/>
        </w:rPr>
        <w:t xml:space="preserve"> as if such Incremental Equivalent Debt was an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(xxvii) Indebtedness to a customer to finance the acquisition of any equipment necessary to perform services for such customer; </w:t>
      </w:r>
      <w:r>
        <w:rPr>
          <w:rFonts w:ascii="Times New Roman" w:hAnsi="Times New Roman"/>
          <w:sz w:val="20"/>
          <w:u w:val="single"/>
        </w:rPr>
        <w:t>provided</w:t>
      </w:r>
      <w:r>
        <w:rPr>
          <w:rFonts w:ascii="Times New Roman" w:hAnsi="Times New Roman"/>
          <w:sz w:val="20"/>
        </w:rPr>
        <w:t xml:space="preserve"> that the terms of such Indebtedness are consistent with those entered into with respect to similar Indebtedness prior to the Effective Date, including that (1) the repayment of such Indebtedness is conditional upon such customer ordering a specific amount of goods or services and (2) such Indebtedness does not bear interest or provide for scheduled amortization or maturity; </w:t>
      </w:r>
    </w:p>
    <w:p>
      <w:pPr>
        <w:pStyle w:val="TextBody"/>
        <w:bidi w:val="0"/>
        <w:spacing w:before="120" w:after="0"/>
        <w:jc w:val="left"/>
        <w:rPr>
          <w:rFonts w:ascii="Times New Roman" w:hAnsi="Times New Roman"/>
          <w:sz w:val="20"/>
        </w:rPr>
      </w:pPr>
      <w:r>
        <w:rPr>
          <w:rFonts w:ascii="Times New Roman" w:hAnsi="Times New Roman"/>
          <w:sz w:val="20"/>
        </w:rPr>
        <w:t xml:space="preserve">(xxviii) Indebtedness of Bidco or any of its Restricted Subsidiaries arising pursuant to any Permitted Intercompany Activities, any Permitted Tax Restructuring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(xxix) to the extent constituting Indebtedness, obligations under or in respect of Receivables Facilities;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Pro Forma Effect thereto), the aggregate amount of Indebtedness pursuant to this clause (xxix), when aggregated with the outstanding amount of Indebtedness incurred in reliance on clause (xxx) and the outstanding amount of Refinancing Indebtedness in respect of Indebtedness initially incurred in reliance on this clause (xxix) or clause (xxx), does not exceed $400,000,000; </w:t>
      </w:r>
    </w:p>
    <w:p>
      <w:pPr>
        <w:pStyle w:val="TextBody"/>
        <w:bidi w:val="0"/>
        <w:spacing w:before="120" w:after="0"/>
        <w:jc w:val="left"/>
        <w:rPr>
          <w:rFonts w:ascii="Times New Roman" w:hAnsi="Times New Roman"/>
          <w:sz w:val="20"/>
        </w:rPr>
      </w:pPr>
      <w:r>
        <w:rPr>
          <w:rFonts w:ascii="Times New Roman" w:hAnsi="Times New Roman"/>
          <w:sz w:val="20"/>
        </w:rPr>
        <w:t xml:space="preserve">(xxx) Indebtedness incurred in connection with any Sale and Lease-Back Transaction;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Pro Forma Effect thereto), the aggregate amount of Indebtedness pursuant to this clause (xxx), when aggregated with the outstanding amount of Indebtedness incurred in reliance on clause (xxix) and the outstanding amount of Refinancing Indebtedness in respect of Indebtedness initially incurred in reliance on this clause (xxx) or clause (xxix), does not exceed $400,000,000; </w:t>
      </w:r>
    </w:p>
    <w:p>
      <w:pPr>
        <w:pStyle w:val="TextBody"/>
        <w:bidi w:val="0"/>
        <w:spacing w:before="120" w:after="0"/>
        <w:jc w:val="left"/>
        <w:rPr>
          <w:rFonts w:ascii="Times New Roman" w:hAnsi="Times New Roman"/>
          <w:sz w:val="20"/>
        </w:rPr>
      </w:pPr>
      <w:r>
        <w:rPr>
          <w:rFonts w:ascii="Times New Roman" w:hAnsi="Times New Roman"/>
          <w:sz w:val="20"/>
        </w:rPr>
        <w:t xml:space="preserve">(xxxi) Indebtedness under the Senior Secured Notes and any Refinancing Indebtedness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(xxxii) all premiums (if any), interest (including post-petition interest), fees, expenses, charges and additional or contingent interest on obligations described in clauses (i) through (xxxi) above.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 item of Indebtedness, Disqualified Equity Interests or Preferred Stock (or any portion thereof) meets the criteria of more than one of the categories of permitted Indebtedness, Disqualified Equity Interests or Preferred Stock described in clauses (i) through (xxxii) of </w:t>
      </w:r>
      <w:r>
        <w:rPr>
          <w:rFonts w:ascii="Times New Roman" w:hAnsi="Times New Roman"/>
          <w:sz w:val="20"/>
          <w:u w:val="single"/>
        </w:rPr>
        <w:t>Section 6.01(b)</w:t>
      </w:r>
      <w:r>
        <w:rPr>
          <w:rFonts w:ascii="Times New Roman" w:hAnsi="Times New Roman"/>
          <w:sz w:val="20"/>
        </w:rPr>
        <w:t xml:space="preserve"> hereof or is entitled to be incurred pursuant to </w:t>
      </w:r>
      <w:r>
        <w:rPr>
          <w:rFonts w:ascii="Times New Roman" w:hAnsi="Times New Roman"/>
          <w:sz w:val="20"/>
          <w:u w:val="single"/>
        </w:rPr>
        <w:t>Section 6.01(a)</w:t>
      </w:r>
      <w:r>
        <w:rPr>
          <w:rFonts w:ascii="Times New Roman" w:hAnsi="Times New Roman"/>
          <w:sz w:val="20"/>
        </w:rPr>
        <w:t xml:space="preserve"> hereof, Bidco, in its sole discretion, shall classify or reclassify such item of Indebtedness, Disqualified Equity Interests or Preferred Stock (or any portion thereof) and shall only be required to include the amount and type of such Indebtedness, Disqualified Equity Interests or Preferred Stock in one of the above clauses or in </w:t>
      </w:r>
      <w:r>
        <w:rPr>
          <w:rFonts w:ascii="Times New Roman" w:hAnsi="Times New Roman"/>
          <w:sz w:val="20"/>
          <w:u w:val="single"/>
        </w:rPr>
        <w:t>Section 6.01(a)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all Indebtedness under this Agreement incurred on or after the Effective Date shall be deemed to have been incurred pursuant to </w:t>
      </w:r>
      <w:r>
        <w:rPr>
          <w:rFonts w:ascii="Times New Roman" w:hAnsi="Times New Roman"/>
          <w:sz w:val="20"/>
          <w:u w:val="single"/>
        </w:rPr>
        <w:t>Section 6.01(b)(i)</w:t>
      </w:r>
      <w:r>
        <w:rPr>
          <w:rFonts w:ascii="Times New Roman" w:hAnsi="Times New Roman"/>
          <w:sz w:val="20"/>
        </w:rPr>
        <w:t xml:space="preserve"> and (B) that all Indebtedness represented by the Senior Secured Notes incurred on the Effective Date and all Guarantees of the foregoing will be deemed to have been incurred pursuant to </w:t>
      </w:r>
      <w:r>
        <w:rPr>
          <w:rFonts w:ascii="Times New Roman" w:hAnsi="Times New Roman"/>
          <w:sz w:val="20"/>
          <w:u w:val="single"/>
        </w:rPr>
        <w:t>Section 6.01(b)(xxxi)</w:t>
      </w:r>
      <w:r>
        <w:rPr>
          <w:rFonts w:ascii="Times New Roman" w:hAnsi="Times New Roman"/>
          <w:sz w:val="20"/>
        </w:rPr>
        <w:t xml:space="preserve">, and the Borrower shall not be permitted to reclassify all or any portion of Indebtedness incurred pursuant to </w:t>
      </w:r>
      <w:r>
        <w:rPr>
          <w:rFonts w:ascii="Times New Roman" w:hAnsi="Times New Roman"/>
          <w:sz w:val="20"/>
          <w:u w:val="single"/>
        </w:rPr>
        <w:t>Section 6.01(b)(i)</w:t>
      </w:r>
      <w:r>
        <w:rPr>
          <w:rFonts w:ascii="Times New Roman" w:hAnsi="Times New Roman"/>
          <w:sz w:val="20"/>
        </w:rPr>
        <w:t xml:space="preserve"> or </w:t>
      </w:r>
      <w:r>
        <w:rPr>
          <w:rFonts w:ascii="Times New Roman" w:hAnsi="Times New Roman"/>
          <w:sz w:val="20"/>
          <w:u w:val="single"/>
        </w:rPr>
        <w:t>Section 6.01(b)(xxxi)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p>
    <w:p>
      <w:pPr>
        <w:pStyle w:val="TextBody"/>
        <w:bidi w:val="0"/>
        <w:spacing w:before="0" w:after="0"/>
        <w:jc w:val="left"/>
        <w:rPr>
          <w:rFonts w:ascii="Times New Roman" w:hAnsi="Times New Roman"/>
          <w:sz w:val="20"/>
        </w:rPr>
      </w:pPr>
      <w:r>
        <w:rPr>
          <w:rFonts w:ascii="Times New Roman" w:hAnsi="Times New Roman"/>
          <w:sz w:val="20"/>
        </w:rPr>
        <w:t xml:space="preserve">(ii) at the time of incurrence or reclassification, Bidco shall be entitled to divide and classify or reclassify an item of Indebtedness in more than one of the types of Indebtedness described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hereof (it being understood that any Indebtedness incurred pursuant to one of the clauses of </w:t>
      </w:r>
      <w:r>
        <w:rPr>
          <w:rFonts w:ascii="Times New Roman" w:hAnsi="Times New Roman"/>
          <w:sz w:val="20"/>
          <w:u w:val="single"/>
        </w:rPr>
        <w:t>Section 6.01(b)</w:t>
      </w:r>
      <w:r>
        <w:rPr>
          <w:rFonts w:ascii="Times New Roman" w:hAnsi="Times New Roman"/>
          <w:sz w:val="20"/>
        </w:rPr>
        <w:t xml:space="preserve"> shall cease to be deemed incurred or outstanding for purposes of such clause but shall be deemed incurred for the purposes of </w:t>
      </w:r>
      <w:r>
        <w:rPr>
          <w:rFonts w:ascii="Times New Roman" w:hAnsi="Times New Roman"/>
          <w:sz w:val="20"/>
          <w:u w:val="single"/>
        </w:rPr>
        <w:t>Section 6.01(a)</w:t>
      </w:r>
      <w:r>
        <w:rPr>
          <w:rFonts w:ascii="Times New Roman" w:hAnsi="Times New Roman"/>
          <w:sz w:val="20"/>
        </w:rPr>
        <w:t xml:space="preserve"> from and after the first date on which Bidco or its Restricted Subsidiaries could have incurred such Indebtedness under </w:t>
      </w:r>
      <w:r>
        <w:rPr>
          <w:rFonts w:ascii="Times New Roman" w:hAnsi="Times New Roman"/>
          <w:sz w:val="20"/>
          <w:u w:val="single"/>
        </w:rPr>
        <w:t>Section 6.01(a)</w:t>
      </w:r>
      <w:r>
        <w:rPr>
          <w:rFonts w:ascii="Times New Roman" w:hAnsi="Times New Roman"/>
          <w:sz w:val="20"/>
        </w:rPr>
        <w:t xml:space="preserve"> without reliance on such clause of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in the event that Bidco or a Restricted Subsidiary enters into or increases commitments under a credit facility, the Interest Coverage Ratio, the Senior Secured First Lien Net Leverage Ratio, the Senior Secured Net Leverage Ratio or the Total Net Leverage Ratio, as applicable, for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Interest Coverage Ratio, Senior Secured First Lien Net Leverage Ratio, the Senior Secured Net Leverage Ratio or the Total Net Leverage Ratio, as applicable, test is satisfied with respect thereto at such time, any borrowing or reborrowing thereunder (and the issuance and creation of letters of credit and bankers’ acceptances thereunder) shall be permitted under this covenant irrespective of the Interest Coverage Ratio, Senior Secured First Lien Net Leverage Ratio, the Senior Secured Net Leverage Ratio or the Total Net Leverage Ratio, as applicable, at the time of any borrowing or reborrowing thereunder (or the issuance or creation of letters of credit or bankers’ acceptances thereunder) (the committed amount permitted to be borrowed or reborrowed (and the issuance and creation of letters of credit and bankers’ acceptances) on a date pursuant to the operation of this paragraph shall be the “</w:t>
      </w:r>
      <w:r>
        <w:rPr>
          <w:rFonts w:ascii="Times New Roman" w:hAnsi="Times New Roman"/>
          <w:sz w:val="20"/>
          <w:u w:val="single"/>
        </w:rPr>
        <w:t>Reserved Indebtedness Amount</w:t>
      </w:r>
      <w:r>
        <w:rPr>
          <w:rFonts w:ascii="Times New Roman" w:hAnsi="Times New Roman"/>
          <w:sz w:val="20"/>
        </w:rPr>
        <w:t xml:space="preserve">” as of such date for purposes of the Interest Coverage Ratio, Senior Secured First Lien Net Leverage Ratio, the Senior Secured Net Leverage Ratio or the Total Net Leverage Ratio,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accrual of interest or dividends, the accretion of accreted value, the accretion or amortization of original issue discount and the payment of interest or dividends in the form of additional Indebtedness, Disqualified Equity Interests or Preferred Stock, as the case may be, of the same class shall not be deemed to be an incurrence or issuance of Indebtedness, Disqualified Equity Interests or Preferred Stock for purposes of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hAnsi="Times New Roman"/>
          <w:sz w:val="20"/>
          <w:u w:val="single"/>
        </w:rPr>
        <w:t>provided</w:t>
      </w:r>
      <w:r>
        <w:rPr>
          <w:rFonts w:ascii="Times New Roman" w:hAnsi="Times New Roman"/>
          <w:sz w:val="20"/>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 denominated restriction shall be deemed not to have been exceeded so long as the principal amount of such refinancing Indebtedness does not exceed (i) the principal amount of such Indebtedness being refinanced </w:t>
      </w:r>
      <w:r>
        <w:rPr>
          <w:rFonts w:ascii="Times New Roman" w:hAnsi="Times New Roman"/>
          <w:sz w:val="20"/>
          <w:u w:val="single"/>
        </w:rPr>
        <w:t>plus</w:t>
      </w:r>
      <w:r>
        <w:rPr>
          <w:rFonts w:ascii="Times New Roman" w:hAnsi="Times New Roman"/>
          <w:sz w:val="20"/>
        </w:rPr>
        <w:t xml:space="preserve"> (ii) the aggregate amount of fees, underwriting discounts, premiums and other costs and expenses incurred in connection with such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p>
    <w:p>
      <w:pPr>
        <w:pStyle w:val="TextBody"/>
        <w:bidi w:val="0"/>
        <w:spacing w:before="0" w:after="0"/>
        <w:jc w:val="left"/>
        <w:rPr>
          <w:rFonts w:ascii="Times New Roman" w:hAnsi="Times New Roman"/>
          <w:sz w:val="20"/>
        </w:rPr>
      </w:pPr>
      <w:r>
        <w:rPr>
          <w:rFonts w:ascii="Times New Roman" w:hAnsi="Times New Roman"/>
          <w:sz w:val="20"/>
        </w:rPr>
        <w:t xml:space="preserve">(vi)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(vii) in the case of any refinancing of any Indebtedness permitted under </w:t>
      </w:r>
      <w:r>
        <w:rPr>
          <w:rFonts w:ascii="Times New Roman" w:hAnsi="Times New Roman"/>
          <w:sz w:val="20"/>
          <w:u w:val="single"/>
        </w:rPr>
        <w:t>Section 6.01(a)</w:t>
      </w:r>
      <w:r>
        <w:rPr>
          <w:rFonts w:ascii="Times New Roman" w:hAnsi="Times New Roman"/>
          <w:sz w:val="20"/>
        </w:rPr>
        <w:t xml:space="preserve"> and clause (ii), (iii), (xi)(a), (xii), (xvi) or (xix) of </w:t>
      </w:r>
      <w:r>
        <w:rPr>
          <w:rFonts w:ascii="Times New Roman" w:hAnsi="Times New Roman"/>
          <w:sz w:val="20"/>
          <w:u w:val="single"/>
        </w:rPr>
        <w:t>Section 6.01(b)</w:t>
      </w:r>
      <w:r>
        <w:rPr>
          <w:rFonts w:ascii="Times New Roman" w:hAnsi="Times New Roman"/>
          <w:sz w:val="20"/>
        </w:rPr>
        <w:t xml:space="preserve"> hereof or any portion thereof, the amount of Indebtedness being incurred to finance the aggregate amount of accrued and unpaid interest, dividends, premiums (including tender premiums), defeasance costs and fees and expenses (including original issue discount, upfront fees or similar fees) in connection with such refinancing shall not be deemed to be an incurrence or issuance of Indebtedness for purposes of this covenant, and the principal amount of any Disqualified Equity Interests of Bidco or a Restricted Subsidiary, or Preferred Stock of a Restricted Subsidiary, will be equal to the greater of the maximum mandatory redemption or repurchase price (not including, in either case, any redemption or repurchase premium) or the liquidation preference thereof; </w:t>
      </w:r>
    </w:p>
    <w:p>
      <w:pPr>
        <w:pStyle w:val="TextBody"/>
        <w:bidi w:val="0"/>
        <w:spacing w:before="120" w:after="0"/>
        <w:jc w:val="left"/>
        <w:rPr>
          <w:rFonts w:ascii="Times New Roman" w:hAnsi="Times New Roman"/>
          <w:sz w:val="20"/>
        </w:rPr>
      </w:pPr>
      <w:r>
        <w:rPr>
          <w:rFonts w:ascii="Times New Roman" w:hAnsi="Times New Roman"/>
          <w:sz w:val="20"/>
        </w:rPr>
        <w:t xml:space="preserve">(viii) notwithstanding anything in this </w:t>
      </w:r>
      <w:r>
        <w:rPr>
          <w:rFonts w:ascii="Times New Roman" w:hAnsi="Times New Roman"/>
          <w:sz w:val="20"/>
          <w:u w:val="single"/>
        </w:rPr>
        <w:t>Section 6.01</w:t>
      </w:r>
      <w:r>
        <w:rPr>
          <w:rFonts w:ascii="Times New Roman" w:hAnsi="Times New Roman"/>
          <w:sz w:val="20"/>
        </w:rPr>
        <w:t xml:space="preserve"> to the contrary, in the case of any Indebtedness incurred to refinance Indebtedness initially incurred in reliance on clause (iii), (xi)(b), or (xix) of </w:t>
      </w:r>
      <w:r>
        <w:rPr>
          <w:rFonts w:ascii="Times New Roman" w:hAnsi="Times New Roman"/>
          <w:sz w:val="20"/>
          <w:u w:val="single"/>
        </w:rPr>
        <w:t>Section 6.01(b)</w:t>
      </w:r>
      <w:r>
        <w:rPr>
          <w:rFonts w:ascii="Times New Roman" w:hAnsi="Times New Roman"/>
          <w:sz w:val="20"/>
        </w:rPr>
        <w:t xml:space="preserve"> hereof, measured by reference to a percentage of Consolidated EBITDA at the time of incurrence, and such refinancing would cause the percentage of Consolidated EBITDA restriction to be exceeded if calculated based on the percentage of Consolidated EBITDA on the date of such refinancing, such percentage of Consolidated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and fees and expenses (including original issue discount, upfront fees or similar fees) in connection with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(ix) Guarantees of, or obligations in respect of letters of credit, bankers’ acceptances or other similar instruments relating to, Indebtedness that is otherwise included in the determination of a particular amount of Indebtedness shall not be included; and </w:t>
      </w:r>
    </w:p>
    <w:p>
      <w:pPr>
        <w:pStyle w:val="TextBody"/>
        <w:bidi w:val="0"/>
        <w:spacing w:before="120" w:after="0"/>
        <w:jc w:val="left"/>
        <w:rPr>
          <w:rFonts w:ascii="Times New Roman" w:hAnsi="Times New Roman"/>
          <w:sz w:val="20"/>
        </w:rPr>
      </w:pPr>
      <w:r>
        <w:rPr>
          <w:rFonts w:ascii="Times New Roman" w:hAnsi="Times New Roman"/>
          <w:sz w:val="20"/>
        </w:rPr>
        <w:t xml:space="preserve">(x) pursuant to this Agreement (x) unsecured Indebtedness shall not be treated as subordinated or junior to Secured Indebtedness merely because it is unsecured and (y) Indebtedness shall not be treated as subordinated or junior to any other Indebtedness merely because it has a junior priority with respect to the same collateral or is secured by different collateral or because it is guaranteed by different obligors. </w:t>
      </w:r>
    </w:p>
    <w:p>
      <w:pPr>
        <w:pStyle w:val="TextBody"/>
        <w:bidi w:val="0"/>
        <w:spacing w:before="36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Bidco shall not, and shall not permit any Borrower or any Guarantor to create, incur, assume or permit to exist any Lien (except Permitted Liens) (each, a “</w:t>
      </w:r>
      <w:r>
        <w:rPr>
          <w:rFonts w:ascii="Times New Roman" w:hAnsi="Times New Roman"/>
          <w:sz w:val="20"/>
          <w:u w:val="single"/>
        </w:rPr>
        <w:t>Subject Lien</w:t>
      </w:r>
      <w:r>
        <w:rPr>
          <w:rFonts w:ascii="Times New Roman" w:hAnsi="Times New Roman"/>
          <w:sz w:val="20"/>
        </w:rPr>
        <w:t xml:space="preserve">”) that secures obligations under any Indebtedness or any related Guarantee on any asset or property of Bidco, any Borrower or any Guarantor, unless: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Subject Liens on any Collateral, (A) if the obligations secured by such Subject Lien are expressly junior to the Secured Obligations or (B) such Subject Lien is a Permitted Lien;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p>
    <w:p>
      <w:pPr>
        <w:pStyle w:val="TextBody"/>
        <w:bidi w:val="0"/>
        <w:spacing w:before="0" w:after="0"/>
        <w:jc w:val="left"/>
        <w:rPr>
          <w:rFonts w:ascii="Times New Roman" w:hAnsi="Times New Roman"/>
          <w:sz w:val="20"/>
        </w:rPr>
      </w:pPr>
      <w:r>
        <w:rPr>
          <w:rFonts w:ascii="Times New Roman" w:hAnsi="Times New Roman"/>
          <w:sz w:val="20"/>
        </w:rPr>
        <w:t xml:space="preserve">(ii) in the case of any Subject Lien on assets or property not constituting Collateral, any Subject Lien if (A) the Secured Obligations are equally and ratably secured with (or on a senior basis to, in the case such Subject Lien that secures any Subordinated Indebtedness) the obligations secured by such Subject Lien until such time as such obligations are no longer secured by such Subject Lien or (B) such Subject Lien is a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(b) Any Lien created for the benefit of the Secured Parties pursuant to the preceding paragraph shall be automatically and unconditionally released and discharged upon the release and discharge of the Subject Lien that gave rise to the obligation to so secure the Secured Obligations. </w:t>
      </w:r>
    </w:p>
    <w:p>
      <w:pPr>
        <w:pStyle w:val="TextBody"/>
        <w:bidi w:val="0"/>
        <w:spacing w:before="240" w:after="0"/>
        <w:jc w:val="left"/>
        <w:rPr>
          <w:rFonts w:ascii="Times New Roman" w:hAnsi="Times New Roman"/>
          <w:sz w:val="20"/>
        </w:rPr>
      </w:pPr>
      <w:r>
        <w:rPr>
          <w:rFonts w:ascii="Times New Roman" w:hAnsi="Times New Roman"/>
          <w:sz w:val="20"/>
        </w:rPr>
        <w:t>(c)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hAnsi="Times New Roman"/>
          <w:sz w:val="20"/>
          <w:u w:val="single"/>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w:t>
      </w:r>
    </w:p>
    <w:p>
      <w:pPr>
        <w:pStyle w:val="TextBody"/>
        <w:bidi w:val="0"/>
        <w:spacing w:before="36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 Holdings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will not, and will not permit any other Restricted Subsidiary to, merge into or consolidate with any other Person, or permit any other Person to merge into or consolidate with it, or liquidate or dissolve (which, for the avoidance of doubt, shall not restrict Bidco or any Restricted Subsidiary from changing its organizational form), except that: </w:t>
      </w:r>
    </w:p>
    <w:p>
      <w:pPr>
        <w:pStyle w:val="TextBody"/>
        <w:bidi w:val="0"/>
        <w:spacing w:before="120" w:after="0"/>
        <w:jc w:val="left"/>
        <w:rPr>
          <w:rFonts w:ascii="Times New Roman" w:hAnsi="Times New Roman"/>
          <w:sz w:val="20"/>
        </w:rPr>
      </w:pPr>
      <w:r>
        <w:rPr>
          <w:rFonts w:ascii="Times New Roman" w:hAnsi="Times New Roman"/>
          <w:sz w:val="20"/>
        </w:rPr>
        <w:t xml:space="preserve">(i) any Restricted Subsidiary other than a Borrower may merge or consolidate with (A) Bidco or a Borrower; </w:t>
      </w:r>
      <w:r>
        <w:rPr>
          <w:rFonts w:ascii="Times New Roman" w:hAnsi="Times New Roman"/>
          <w:sz w:val="20"/>
          <w:u w:val="single"/>
        </w:rPr>
        <w:t>provided</w:t>
      </w:r>
      <w:r>
        <w:rPr>
          <w:rFonts w:ascii="Times New Roman" w:hAnsi="Times New Roman"/>
          <w:sz w:val="20"/>
        </w:rPr>
        <w:t xml:space="preserve"> that Bidco or such Borrower shall be the continuing or surviving Person, or (B) any one or more Restricted Subsidiaries other than a Borrower; </w:t>
      </w:r>
      <w:r>
        <w:rPr>
          <w:rFonts w:ascii="Times New Roman" w:hAnsi="Times New Roman"/>
          <w:sz w:val="20"/>
          <w:u w:val="single"/>
        </w:rPr>
        <w:t>provided</w:t>
      </w:r>
      <w:r>
        <w:rPr>
          <w:rFonts w:ascii="Times New Roman" w:hAnsi="Times New Roman"/>
          <w:sz w:val="20"/>
        </w:rPr>
        <w:t xml:space="preserve"> that when any Subsidiary Loan Party is merging or consolidating with another Restricted Subsidiary other than a Borrower (1) the continuing or surviving Person shall be a Subsidiary Loan Party or (2) if the continuing or surviving Person is not a Subsidiary Loan Party, the acquisition of such Subsidiary Loan Party by such surviving Restricted Subsidiary is otherwise permitted under </w:t>
      </w:r>
      <w:r>
        <w:rPr>
          <w:rFonts w:ascii="Times New Roman" w:hAnsi="Times New Roman"/>
          <w:sz w:val="20"/>
          <w:u w:val="single"/>
        </w:rPr>
        <w:t>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any Restricted Subsidiary that is not a Loan Party may merge or consolidate with or into any other Restricted Subsidiary that is not a Loan Party and (B) any Restricted Subsidiary other than a Borrower may liquidate or dissolve or change its legal form if Bidco determines in good faith that such action is in the best interests of Bidco and the Restricted Subsidiaries and is not materially disadvantageous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(iii) any Restricted Subsidiary other than a Borrower may make a disposition of all or substantially all of its assets (upon voluntary liquidation or otherwise) to Bidco or another Restricted Subsidiary; </w:t>
      </w:r>
      <w:r>
        <w:rPr>
          <w:rFonts w:ascii="Times New Roman" w:hAnsi="Times New Roman"/>
          <w:sz w:val="20"/>
          <w:u w:val="single"/>
        </w:rPr>
        <w:t>provided</w:t>
      </w:r>
      <w:r>
        <w:rPr>
          <w:rFonts w:ascii="Times New Roman" w:hAnsi="Times New Roman"/>
          <w:sz w:val="20"/>
        </w:rPr>
        <w:t xml:space="preserve"> that if the transferor in such a transaction is a Loan Party, then (A) the transferee must be a Loan Party, (B) to the extent constituting an Investment in a Restricted Subsidiary that is not a Loan Party, such Investment is a permitted Investment in a Restricted Subsidiary that is not a Loan Party in accordance with </w:t>
      </w:r>
      <w:r>
        <w:rPr>
          <w:rFonts w:ascii="Times New Roman" w:hAnsi="Times New Roman"/>
          <w:sz w:val="20"/>
          <w:u w:val="single"/>
        </w:rPr>
        <w:t>Section 6.05</w:t>
      </w:r>
      <w:r>
        <w:rPr>
          <w:rFonts w:ascii="Times New Roman" w:hAnsi="Times New Roman"/>
          <w:sz w:val="20"/>
        </w:rPr>
        <w:t xml:space="preserve"> or (C)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p>
    <w:p>
      <w:pPr>
        <w:pStyle w:val="TextBody"/>
        <w:bidi w:val="0"/>
        <w:spacing w:before="0" w:after="0"/>
        <w:jc w:val="left"/>
        <w:rPr>
          <w:rFonts w:ascii="Times New Roman" w:hAnsi="Times New Roman"/>
          <w:sz w:val="20"/>
        </w:rPr>
      </w:pPr>
      <w:r>
        <w:rPr>
          <w:rFonts w:ascii="Times New Roman" w:hAnsi="Times New Roman"/>
          <w:sz w:val="20"/>
        </w:rPr>
        <w:t xml:space="preserve">constituting a disposition to a Restricted Subsidiary that is not a Loan Party, such disposition is for fair market value (as determined in good faith by Bidco) and any promissory note or other non-cash consideration received in respect thereof is a permitted Investment in a Restricted Subsidiary that is not a Loan Party in accordance with </w:t>
      </w:r>
      <w:r>
        <w:rPr>
          <w:rFonts w:ascii="Times New Roman" w:hAnsi="Times New Roman"/>
          <w:sz w:val="20"/>
          <w:u w:val="single"/>
        </w:rPr>
        <w:t>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Bidco or a Borrower may merge or consolidate with (or dispose of all or substantially all of its assets to) any other Person; </w:t>
      </w:r>
      <w:r>
        <w:rPr>
          <w:rFonts w:ascii="Times New Roman" w:hAnsi="Times New Roman"/>
          <w:sz w:val="20"/>
          <w:u w:val="single"/>
        </w:rPr>
        <w:t>provided</w:t>
      </w:r>
      <w:r>
        <w:rPr>
          <w:rFonts w:ascii="Times New Roman" w:hAnsi="Times New Roman"/>
          <w:sz w:val="20"/>
        </w:rPr>
        <w:t xml:space="preserve"> that (A) Bidco or such Borrower shall be the continuing or surviving Person or (B) if the Person formed by or surviving any such merger or consolidation is not Bidco or such Borrower, as applicable, or is a Person into which Bidco or such Borrower has been liquidated (or, in connection with a disposition of all or substantially all of Bidco’s or such Borrower’s, as applicable, assets, if the transferee of such assets) (any such Person, the “</w:t>
      </w:r>
      <w:r>
        <w:rPr>
          <w:rFonts w:ascii="Times New Roman" w:hAnsi="Times New Roman"/>
          <w:sz w:val="20"/>
          <w:u w:val="single"/>
        </w:rPr>
        <w:t>Successor Entity</w:t>
      </w:r>
      <w:r>
        <w:rPr>
          <w:rFonts w:ascii="Times New Roman" w:hAnsi="Times New Roman"/>
          <w:sz w:val="20"/>
        </w:rPr>
        <w:t xml:space="preserve">”), (1) the Successor Entity shall be an entity organized or existing under the laws of (i) in the case of Bidco or the Finco Borrower, Luxembourg, (ii) in the case of Bidco, Guernsey, (iii) in the case of Bidco or an Additional Borrower, England and Wales or (iv) in the case of a Borrower (other than the Finco Borrower or an Additional Borrower), the United States, any State thereof or the District of Columbia, (2) the Successor Entity shall expressly assume all the obligations of Bidco or such Borrower, as applicable, under this Agreement and the other Loan Documents to which Bidco or such Borrower, as applicable, is a party pursuant to a supplement hereto or thereto in form and substance reasonably satisfactory to the Administrative Agent, (3) each Loan Party other than Bidco or such Borrower, as applicable,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Entity’s obligations under this Agreement and (4) Bidco or such Borrower, as applicable, shall have delivered to the Administrative Agent a certificate of a Responsible Officer of Bidco or such Borrower, as applicable, and an opinion of counsel, each stating that such merger or consolidation complies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(y) if such Person is not a Loan Party, no Event of Default (or, to the extent related to a Limited Condition Transaction, no Specified Event of Default) shall exist after giving effect to such merger or consolidation and (z) if the foregoing requirements are satisfied, the Successor Entity will succeed to, and be substituted for, Bidco or such Borrower, as applicable, under this Agreement and the other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or such Borrower, as applicable, will use commercially reasonable efforts to provide any documentation and other information about the Successor Entity as shall have been reasonably requested in writing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(v) any Restricted Subsidiary other than a Borrower may merge, consolidate or amalgamate with any other Person in order to effect an Investment permitted pursuant to </w:t>
      </w:r>
      <w:r>
        <w:rPr>
          <w:rFonts w:ascii="Times New Roman" w:hAnsi="Times New Roman"/>
          <w:sz w:val="20"/>
          <w:u w:val="single"/>
        </w:rPr>
        <w:t>Section 6.05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continuing or surviving Person shall be Bidco or a Restricted Subsidiary, which together with each of the Restricted Subsidiaries, shall have complied with the requirements of </w:t>
      </w:r>
      <w:r>
        <w:rPr>
          <w:rFonts w:ascii="Times New Roman" w:hAnsi="Times New Roman"/>
          <w:sz w:val="20"/>
          <w:u w:val="single"/>
        </w:rPr>
        <w:t>Sections 5.11</w:t>
      </w:r>
      <w:r>
        <w:rPr>
          <w:rFonts w:ascii="Times New Roman" w:hAnsi="Times New Roman"/>
          <w:sz w:val="20"/>
        </w:rPr>
        <w:t xml:space="preserve"> and </w:t>
      </w:r>
      <w:r>
        <w:rPr>
          <w:rFonts w:ascii="Times New Roman" w:hAnsi="Times New Roman"/>
          <w:sz w:val="20"/>
          <w:u w:val="single"/>
        </w:rPr>
        <w:t>5.12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any Restricted Subsidiary other than a Borrower may effect a merger, dissolution, liquidation consolidation or amalgamation to effect an Asset Sale permitted pursuant to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Holdings will not, and will not permit any Intermediate Parent to, conduct, transact or otherwise engage in any business or operations other than (i) the ownership and/or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p>
    <w:p>
      <w:pPr>
        <w:pStyle w:val="TextBody"/>
        <w:bidi w:val="0"/>
        <w:spacing w:before="0" w:after="0"/>
        <w:jc w:val="left"/>
        <w:rPr>
          <w:rFonts w:ascii="Times New Roman" w:hAnsi="Times New Roman"/>
          <w:sz w:val="20"/>
        </w:rPr>
      </w:pPr>
      <w:r>
        <w:rPr>
          <w:rFonts w:ascii="Times New Roman" w:hAnsi="Times New Roman"/>
          <w:sz w:val="20"/>
        </w:rPr>
        <w:t xml:space="preserve">of the Equity Interests of Bidco, any Intermediate Parent and any other Subsidiary, (ii) the maintenance of its legal existence, including the ability to incur fees, costs and expenses relating to such maintenance, (iii) participating in tax, accounting and other administrative matters with respect to Holdings and its subsidiaries, (iv) the performance of its obligations under and in connection with the Loan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w:t>
      </w:r>
      <w:r>
        <w:rPr>
          <w:rFonts w:ascii="Times New Roman" w:hAnsi="Times New Roman"/>
          <w:sz w:val="20"/>
          <w:u w:val="single"/>
        </w:rPr>
        <w:t>Section 5.17</w:t>
      </w:r>
      <w:r>
        <w:rPr>
          <w:rFonts w:ascii="Times New Roman" w:hAnsi="Times New Roman"/>
          <w:sz w:val="20"/>
        </w:rPr>
        <w:t xml:space="preserve">, or any Investment in Bidco,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(c) Holdings will not, and will not permit any Intermediate Parent to, own or acquire any material assets (other than Equity Interests as referred to in paragraph (b)(i) above, cash and Cash Equivalents, intercompany Investments in any Intermediate Parent, Bidco or any Subsidiary permitted hereunder) or incur any liabilities (other than liabilities as referred to in paragraph (b) above, liabilities imposed by law, including tax liabilities, and other liabilities incidental to its existence and business and activities permitted by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Asset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shall not, and shall not permit any of its Restricted Subsidiaries to, consummate an Asset Sale, unless: </w:t>
      </w:r>
    </w:p>
    <w:p>
      <w:pPr>
        <w:pStyle w:val="TextBody"/>
        <w:bidi w:val="0"/>
        <w:spacing w:before="120" w:after="0"/>
        <w:jc w:val="left"/>
        <w:rPr>
          <w:rFonts w:ascii="Times New Roman" w:hAnsi="Times New Roman"/>
          <w:sz w:val="20"/>
        </w:rPr>
      </w:pPr>
      <w:r>
        <w:rPr>
          <w:rFonts w:ascii="Times New Roman" w:hAnsi="Times New Roman"/>
          <w:sz w:val="20"/>
        </w:rPr>
        <w:t xml:space="preserve">(i) Bidco or such Restricted Subsidiary, as the case may be, receives consideration at the time of such Asset Sale at least equal to the Fair Market Value (as determined at the time of contractually agreeing to such Asset Sale) of the assets sold or otherwise disposed of; and </w:t>
      </w:r>
    </w:p>
    <w:p>
      <w:pPr>
        <w:pStyle w:val="TextBody"/>
        <w:bidi w:val="0"/>
        <w:spacing w:before="120" w:after="0"/>
        <w:jc w:val="left"/>
        <w:rPr>
          <w:rFonts w:ascii="Times New Roman" w:hAnsi="Times New Roman"/>
          <w:sz w:val="20"/>
        </w:rPr>
      </w:pPr>
      <w:r>
        <w:rPr>
          <w:rFonts w:ascii="Times New Roman" w:hAnsi="Times New Roman"/>
          <w:sz w:val="20"/>
        </w:rPr>
        <w:t xml:space="preserve">(ii) except in the case of a Permitted Asset Swap, if the property or assets sold or otherwise disposed of have a Fair Market Value in excess of the greater of $375,000,000 and 50% of Consolidated EBITDA for the most recently ended Test Period at the time of such disposition, calculated on a Pro Forma Basis, at least 75% of the consideration therefor received by Bidco or such Restricted Subsidiary, as the case may be, is in the form of cash or Cash Equivalents; </w:t>
      </w:r>
      <w:r>
        <w:rPr>
          <w:rFonts w:ascii="Times New Roman" w:hAnsi="Times New Roman"/>
          <w:sz w:val="20"/>
          <w:u w:val="single"/>
        </w:rPr>
        <w:t>provided</w:t>
      </w:r>
      <w:r>
        <w:rPr>
          <w:rFonts w:ascii="Times New Roman" w:hAnsi="Times New Roman"/>
          <w:sz w:val="20"/>
        </w:rPr>
        <w:t xml:space="preserve"> that the amount of: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contingent or otherwise, of Bidco or such Restricted Subsidiary, other than liabilities that are by their terms subordinated to the Secured Obligations or that are owed to Bidco or a Restricted Subsidiary that (x) are assumed by the transferee of any such assets (or a third party in connection with such transfer) or (y) are otherwise cancelled or terminated in connection with the transaction with such transferee (other than intercompany debt owed to Bidco or its Restricted Subsidiaries) and, in each case, for which Bidco and all of its Restricted Subsidiaries have been validly released; </w:t>
      </w:r>
    </w:p>
    <w:p>
      <w:pPr>
        <w:pStyle w:val="TextBody"/>
        <w:bidi w:val="0"/>
        <w:spacing w:before="120" w:after="0"/>
        <w:jc w:val="left"/>
        <w:rPr>
          <w:rFonts w:ascii="Times New Roman" w:hAnsi="Times New Roman"/>
          <w:sz w:val="20"/>
        </w:rPr>
      </w:pPr>
      <w:r>
        <w:rPr>
          <w:rFonts w:ascii="Times New Roman" w:hAnsi="Times New Roman"/>
          <w:sz w:val="20"/>
        </w:rPr>
        <w:t xml:space="preserve">(B) any securities, notes or other obligations or assets received by Bidco or such Restricted Subsidiary from such transferee that are converted by Bidco or such Restricted Subsidiary into cash or Cash Equivalents (to the extent of the cash or Cash Equivalents received) within 180 days following the closing of such Asset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p>
    <w:p>
      <w:pPr>
        <w:pStyle w:val="TextBody"/>
        <w:bidi w:val="0"/>
        <w:spacing w:before="0" w:after="0"/>
        <w:jc w:val="left"/>
        <w:rPr>
          <w:rFonts w:ascii="Times New Roman" w:hAnsi="Times New Roman"/>
          <w:sz w:val="20"/>
        </w:rPr>
      </w:pPr>
      <w:r>
        <w:rPr>
          <w:rFonts w:ascii="Times New Roman" w:hAnsi="Times New Roman"/>
          <w:sz w:val="20"/>
        </w:rPr>
        <w:t xml:space="preserve">(C) Indebtedness of any Restricted Subsidiary that ceases to be a Restricted Subsidiary as a result of such Asset Sale (other than intercompany debt owed to Bidco or any Restricted Subsidiary), to the extent that Bidco and each other Restricted Subsidiary are released from any guarantee of payment of the principal amount of such Indebtedness in connection with such Asset Sale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consideration consisting of Indebtedness of a Borrower or a Guarantor (other than intercompany debt owed to Bidco or any Restricted Subsidiary and other than Subordinated Indebtedness) received after the Effective Date from Persons who are not Bidco, Holdings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any Designated Non-cash Consideration received by Bidco or such Restricted Subsidiary in such Asset Sale having an aggregate Fair Market Value taken together with all other Designated Non-cash Consideration received pursuant to this clause (E) that is at that time outstanding, not to exceed the greater of $225,000,000 and 30% of Consolidated EBITDA for the most recently ended Test Period at the time of the receipt of such Designated Non-cash Consideration, calculated on a Pro Forma Basis (with the Fair Market Value of each such item of Designated Non-cash Consideration being measured pursuant to this clause (E) at Bidco’s option, either at the time of contractually agreeing to such Asset Sale or at the time received and, in either case, without giving effect to subsequent changes in value); and </w:t>
      </w:r>
    </w:p>
    <w:p>
      <w:pPr>
        <w:pStyle w:val="TextBody"/>
        <w:bidi w:val="0"/>
        <w:spacing w:before="120" w:after="0"/>
        <w:jc w:val="left"/>
        <w:rPr>
          <w:rFonts w:ascii="Times New Roman" w:hAnsi="Times New Roman"/>
          <w:sz w:val="20"/>
        </w:rPr>
      </w:pPr>
      <w:r>
        <w:rPr>
          <w:rFonts w:ascii="Times New Roman" w:hAnsi="Times New Roman"/>
          <w:sz w:val="20"/>
        </w:rPr>
        <w:t xml:space="preserve">(F) any Investment, Capital Stock, assets, property or capital or other expenditure of the kind referred to in Section 6.04(b)(ii) </w:t>
      </w:r>
    </w:p>
    <w:p>
      <w:pPr>
        <w:pStyle w:val="TextBody"/>
        <w:bidi w:val="0"/>
        <w:spacing w:before="120" w:after="0"/>
        <w:jc w:val="left"/>
        <w:rPr>
          <w:rFonts w:ascii="Times New Roman" w:hAnsi="Times New Roman"/>
          <w:sz w:val="20"/>
        </w:rPr>
      </w:pPr>
      <w:r>
        <w:rPr>
          <w:rFonts w:ascii="Times New Roman" w:hAnsi="Times New Roman"/>
          <w:sz w:val="20"/>
        </w:rPr>
        <w:t xml:space="preserve">shall be deemed to be Cash Equivalents for purposes of this provision and for no other purpose. </w:t>
      </w:r>
    </w:p>
    <w:p>
      <w:pPr>
        <w:pStyle w:val="TextBody"/>
        <w:bidi w:val="0"/>
        <w:spacing w:before="240" w:after="0"/>
        <w:jc w:val="left"/>
        <w:rPr>
          <w:rFonts w:ascii="Times New Roman" w:hAnsi="Times New Roman"/>
          <w:sz w:val="20"/>
        </w:rPr>
      </w:pPr>
      <w:r>
        <w:rPr>
          <w:rFonts w:ascii="Times New Roman" w:hAnsi="Times New Roman"/>
          <w:sz w:val="20"/>
        </w:rPr>
        <w:t xml:space="preserve">(b) Within the Reinvestment Period after Bidco’s or any Restricted Subsidiary’s receipt of the Net Proceeds of any Asset Sale, Bidco or such Restricted Subsidiary shall apply an amount equal to the Net Proceeds from such Asset Sale, </w:t>
      </w:r>
    </w:p>
    <w:p>
      <w:pPr>
        <w:pStyle w:val="TextBody"/>
        <w:bidi w:val="0"/>
        <w:spacing w:before="120" w:after="0"/>
        <w:jc w:val="left"/>
        <w:rPr>
          <w:rFonts w:ascii="Times New Roman" w:hAnsi="Times New Roman"/>
          <w:sz w:val="20"/>
        </w:rPr>
      </w:pPr>
      <w:r>
        <w:rPr>
          <w:rFonts w:ascii="Times New Roman" w:hAnsi="Times New Roman"/>
          <w:sz w:val="20"/>
        </w:rPr>
        <w:t xml:space="preserve">(i) (A) to prepay Loans or Indebtedness in accordance with </w:t>
      </w:r>
      <w:r>
        <w:rPr>
          <w:rFonts w:ascii="Times New Roman" w:hAnsi="Times New Roman"/>
          <w:sz w:val="20"/>
          <w:u w:val="single"/>
        </w:rPr>
        <w:t>Section 2.10(c)</w:t>
      </w:r>
      <w:r>
        <w:rPr>
          <w:rFonts w:ascii="Times New Roman" w:hAnsi="Times New Roman"/>
          <w:sz w:val="20"/>
        </w:rPr>
        <w:t xml:space="preserve"> or (B) to the extent not required to prepay Loans pursuant to </w:t>
      </w:r>
      <w:r>
        <w:rPr>
          <w:rFonts w:ascii="Times New Roman" w:hAnsi="Times New Roman"/>
          <w:sz w:val="20"/>
          <w:u w:val="single"/>
        </w:rPr>
        <w:t>Section 2.10(c)</w:t>
      </w:r>
      <w:r>
        <w:rPr>
          <w:rFonts w:ascii="Times New Roman" w:hAnsi="Times New Roman"/>
          <w:sz w:val="20"/>
        </w:rPr>
        <w:t xml:space="preserve">, to be retained by Bidco and/or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(ii) to make investments in Bidco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Bidco and the Restricted Subsidiaries will be deemed to have complied with this </w:t>
      </w:r>
      <w:r>
        <w:rPr>
          <w:rFonts w:ascii="Times New Roman" w:hAnsi="Times New Roman"/>
          <w:sz w:val="20"/>
          <w:u w:val="single"/>
        </w:rPr>
        <w:t>clause (ii)</w:t>
      </w:r>
      <w:r>
        <w:rPr>
          <w:rFonts w:ascii="Times New Roman" w:hAnsi="Times New Roman"/>
          <w:sz w:val="20"/>
        </w:rPr>
        <w:t xml:space="preserve"> if and to the extent that, within the Reinvestment Period after the Asset Sale that generated the Net Proceeds, Bidco or such Restricted Subsidiary has entered into and not abandoned or rejected a binding agreement or letter of intent to consummate any such investment described in this </w:t>
      </w:r>
      <w:r>
        <w:rPr>
          <w:rFonts w:ascii="Times New Roman" w:hAnsi="Times New Roman"/>
          <w:sz w:val="20"/>
          <w:u w:val="single"/>
        </w:rPr>
        <w:t>clause (ii)</w:t>
      </w:r>
      <w:r>
        <w:rPr>
          <w:rFonts w:ascii="Times New Roman" w:hAnsi="Times New Roman"/>
          <w:sz w:val="20"/>
        </w:rPr>
        <w:t> with the good faith expectation that such Net Proceeds will be applied to satisfy such commitment within 180 days of such commitment (an “</w:t>
      </w:r>
      <w:r>
        <w:rPr>
          <w:rFonts w:ascii="Times New Roman" w:hAnsi="Times New Roman"/>
          <w:sz w:val="20"/>
          <w:u w:val="single"/>
        </w:rPr>
        <w:t>Acceptable Commitment</w:t>
      </w:r>
      <w:r>
        <w:rPr>
          <w:rFonts w:ascii="Times New Roman" w:hAnsi="Times New Roman"/>
          <w:sz w:val="20"/>
        </w:rPr>
        <w:t>”) and, in the event any such commitment is later cancelled or terminated for any reason before the Net Proceeds are applied in connection therewith, Bidco or such Restricted Subsidiary enters into another Acceptable Commitment (a “</w:t>
      </w:r>
      <w:r>
        <w:rPr>
          <w:rFonts w:ascii="Times New Roman" w:hAnsi="Times New Roman"/>
          <w:sz w:val="20"/>
          <w:u w:val="single"/>
        </w:rPr>
        <w:t>Second Commitment</w:t>
      </w:r>
      <w:r>
        <w:rPr>
          <w:rFonts w:ascii="Times New Roman" w:hAnsi="Times New Roman"/>
          <w:sz w:val="20"/>
        </w:rPr>
        <w:t xml:space="preserve">”) within 180 days of such cancellation or termination; </w:t>
      </w:r>
      <w:r>
        <w:rPr>
          <w:rFonts w:ascii="Times New Roman" w:hAnsi="Times New Roman"/>
          <w:sz w:val="20"/>
          <w:u w:val="single"/>
        </w:rPr>
        <w:t>provided</w:t>
      </w:r>
      <w:r>
        <w:rPr>
          <w:rFonts w:ascii="Times New Roman" w:hAnsi="Times New Roman"/>
          <w:sz w:val="20"/>
        </w:rPr>
        <w:t xml:space="preserve"> that if any Second Commitment is later cancelled or terminated for any reason before such Net Proceeds are applied, then Bidco or such Restricted Subsidiary shall prepay the Loans in accordance with </w:t>
      </w:r>
      <w:r>
        <w:rPr>
          <w:rFonts w:ascii="Times New Roman" w:hAnsi="Times New Roman"/>
          <w:sz w:val="20"/>
          <w:u w:val="single"/>
        </w:rPr>
        <w:t>Section 2.10(c)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p>
    <w:p>
      <w:pPr>
        <w:pStyle w:val="TextBody"/>
        <w:bidi w:val="0"/>
        <w:spacing w:before="0" w:after="0"/>
        <w:jc w:val="left"/>
        <w:rPr>
          <w:rFonts w:ascii="Times New Roman" w:hAnsi="Times New Roman"/>
          <w:sz w:val="20"/>
        </w:rPr>
      </w:pPr>
      <w:r>
        <w:rPr>
          <w:rFonts w:ascii="Times New Roman" w:hAnsi="Times New Roman"/>
          <w:sz w:val="20"/>
        </w:rPr>
        <w:t xml:space="preserve">(c) Pending the final application of any Net Proceeds pursuant to this covenant, the holder of such Net Proceeds may apply such Net Proceeds temporarily to reduce Indebtedness outstanding under the Revolving Facility or any other revolving credit facility or otherwise use such Net Proceeds in any manner not prohibited by this Agreement. Bidco or any Restricted Subsidiary, as the case may be, may elect to invest in Bidco and its Subsidiaries prior to receiving the Net Proceeds attributable to any given Asset Sale (provided that such investment shall be made no earlier than execution of a definitive agreement for the relevant Asset Sale) and deem the amount so invested to be applied pursuant to and in accordance with clause (b)(ii) above with respect to such Asset Sale. </w:t>
      </w:r>
    </w:p>
    <w:p>
      <w:pPr>
        <w:pStyle w:val="TextBody"/>
        <w:bidi w:val="0"/>
        <w:spacing w:before="36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Limitation on 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shall not, and shall not permit any of its Restricted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payment or distribution on account of Bidco’s, or any of its Restricted Subsidiaries’ Equity Interests, including any dividend or distribution payable in connection with any merger, amalgamation or consolidation other than: </w:t>
      </w:r>
    </w:p>
    <w:p>
      <w:pPr>
        <w:pStyle w:val="TextBody"/>
        <w:bidi w:val="0"/>
        <w:spacing w:before="120" w:after="0"/>
        <w:jc w:val="left"/>
        <w:rPr>
          <w:rFonts w:ascii="Times New Roman" w:hAnsi="Times New Roman"/>
          <w:sz w:val="20"/>
        </w:rPr>
      </w:pPr>
      <w:r>
        <w:rPr>
          <w:rFonts w:ascii="Times New Roman" w:hAnsi="Times New Roman"/>
          <w:sz w:val="20"/>
        </w:rPr>
        <w:t xml:space="preserve">(A) dividends or distributions by Bidco payable solely in Equity Interests (other than any Disqualified Equity Interests) or in options, warrants or other rights to purchase such Equity Interests; or </w:t>
      </w:r>
    </w:p>
    <w:p>
      <w:pPr>
        <w:pStyle w:val="TextBody"/>
        <w:bidi w:val="0"/>
        <w:spacing w:before="120" w:after="0"/>
        <w:jc w:val="left"/>
        <w:rPr>
          <w:rFonts w:ascii="Times New Roman" w:hAnsi="Times New Roman"/>
          <w:sz w:val="20"/>
        </w:rPr>
      </w:pPr>
      <w:r>
        <w:rPr>
          <w:rFonts w:ascii="Times New Roman" w:hAnsi="Times New Roman"/>
          <w:sz w:val="20"/>
        </w:rPr>
        <w:t xml:space="preserve">(B) dividends or distributions by a Restricted Subsidiary so long as, in the case of any dividend or distribution payable on or in respect of any class or series of securities issued by a Restricted Subsidiary other than a Wholly-Owned Subsidiary of Bidco, Bidco or a Restricted Subsidiary receives at least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of such dividend or distribution in accordance with its Equity Interests in such class or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defease or otherwise acquire or retire for value any Equity Interests of Bidco or any direct or indirect parent company of Bidco, including in connection with any merger, amalgamation or consolidation, held by Persons other than Bidco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(iii) make any principal payment on, or redeem, repurchase, defease or otherwise acquire or retire for value in each case, prior to any scheduled repayment, sinking fund payment or maturity, any Subordinated Indebtedness, other than: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permitted under clauses (vi), (vii) and (viii) of </w:t>
      </w:r>
      <w:r>
        <w:rPr>
          <w:rFonts w:ascii="Times New Roman" w:hAnsi="Times New Roman"/>
          <w:sz w:val="20"/>
          <w:u w:val="single"/>
        </w:rPr>
        <w:t>Section 6.01(b)</w:t>
      </w:r>
      <w:r>
        <w:rPr>
          <w:rFonts w:ascii="Times New Roman" w:hAnsi="Times New Roman"/>
          <w:sz w:val="20"/>
        </w:rPr>
        <w:t xml:space="preserve"> hereof; or </w:t>
      </w:r>
    </w:p>
    <w:p>
      <w:pPr>
        <w:pStyle w:val="TextBody"/>
        <w:bidi w:val="0"/>
        <w:spacing w:before="120" w:after="0"/>
        <w:jc w:val="left"/>
        <w:rPr>
          <w:rFonts w:ascii="Times New Roman" w:hAnsi="Times New Roman"/>
          <w:sz w:val="20"/>
        </w:rPr>
      </w:pPr>
      <w:r>
        <w:rPr>
          <w:rFonts w:ascii="Times New Roman" w:hAnsi="Times New Roman"/>
          <w:sz w:val="20"/>
        </w:rPr>
        <w:t xml:space="preserve">(B) prepayments, redemptions, repurchases, defeasances and other payments in respect of Subordinated Indebtedness prior to their scheduled maturity purchased in anticipation of satisfying a sinking fund obligation, principal installment or final maturity, in each case due within one year of the date of purchase, repurchase or acquisition; </w:t>
      </w:r>
    </w:p>
    <w:p>
      <w:pPr>
        <w:pStyle w:val="TextBody"/>
        <w:bidi w:val="0"/>
        <w:spacing w:before="120" w:after="0"/>
        <w:jc w:val="left"/>
        <w:rPr>
          <w:rFonts w:ascii="Times New Roman" w:hAnsi="Times New Roman"/>
          <w:sz w:val="20"/>
        </w:rPr>
      </w:pPr>
      <w:r>
        <w:rPr>
          <w:rFonts w:ascii="Times New Roman" w:hAnsi="Times New Roman"/>
          <w:sz w:val="20"/>
        </w:rPr>
        <w:t xml:space="preserve">(iv) make any Restricted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p>
    <w:p>
      <w:pPr>
        <w:pStyle w:val="TextBody"/>
        <w:bidi w:val="0"/>
        <w:spacing w:before="0" w:after="0"/>
        <w:jc w:val="left"/>
        <w:rPr>
          <w:rFonts w:ascii="Times New Roman" w:hAnsi="Times New Roman"/>
          <w:sz w:val="20"/>
        </w:rPr>
      </w:pPr>
      <w:r>
        <w:rPr>
          <w:rFonts w:ascii="Times New Roman" w:hAnsi="Times New Roman"/>
          <w:sz w:val="20"/>
        </w:rPr>
        <w:t>(the payments and other actions set forth in clause (iii) (other than the exceptions thereto) above being collectively referred to as “</w:t>
      </w:r>
      <w:r>
        <w:rPr>
          <w:rFonts w:ascii="Times New Roman" w:hAnsi="Times New Roman"/>
          <w:sz w:val="20"/>
          <w:u w:val="single"/>
        </w:rPr>
        <w:t>Restricted Debt Payments</w:t>
      </w:r>
      <w:r>
        <w:rPr>
          <w:rFonts w:ascii="Times New Roman" w:hAnsi="Times New Roman"/>
          <w:sz w:val="20"/>
        </w:rPr>
        <w:t>”, and all such payments and other actions set forth in clauses (i) through (iv) (other than any exception thereto) above being collectively referred to as “</w:t>
      </w:r>
      <w:r>
        <w:rPr>
          <w:rFonts w:ascii="Times New Roman" w:hAnsi="Times New Roman"/>
          <w:sz w:val="20"/>
          <w:u w:val="single"/>
        </w:rPr>
        <w:t>Restricted Payments</w:t>
      </w:r>
      <w:r>
        <w:rPr>
          <w:rFonts w:ascii="Times New Roman" w:hAnsi="Times New Roman"/>
          <w:sz w:val="20"/>
        </w:rPr>
        <w:t xml:space="preserve">”), unless, at the time of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(A) such Restricted Payment, together with the aggregate amount of all other Restricted Payments made (and not returned or rescinded) by Bidco and its Restricted Subsidiaries under this </w:t>
      </w:r>
      <w:r>
        <w:rPr>
          <w:rFonts w:ascii="Times New Roman" w:hAnsi="Times New Roman"/>
          <w:sz w:val="20"/>
          <w:u w:val="single"/>
        </w:rPr>
        <w:t>Section 6.05(a)(A)</w:t>
      </w:r>
      <w:r>
        <w:rPr>
          <w:rFonts w:ascii="Times New Roman" w:hAnsi="Times New Roman"/>
          <w:sz w:val="20"/>
        </w:rPr>
        <w:t xml:space="preserve"> after the Effective Date (excluding all other Restricted Payments permitted by </w:t>
      </w:r>
      <w:r>
        <w:rPr>
          <w:rFonts w:ascii="Times New Roman" w:hAnsi="Times New Roman"/>
          <w:sz w:val="20"/>
          <w:u w:val="single"/>
        </w:rPr>
        <w:t>Section 6.05(b)</w:t>
      </w:r>
      <w:r>
        <w:rPr>
          <w:rFonts w:ascii="Times New Roman" w:hAnsi="Times New Roman"/>
          <w:sz w:val="20"/>
        </w:rPr>
        <w:t xml:space="preserve"> hereof), is less than the sum of (without duplication) (the sum or the amounts attributable to clauses (1) through (9) below is referred to herein as the “</w:t>
      </w:r>
      <w:r>
        <w:rPr>
          <w:rFonts w:ascii="Times New Roman" w:hAnsi="Times New Roman"/>
          <w:sz w:val="20"/>
          <w:u w:val="single"/>
        </w:rPr>
        <w:t>Available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50% of the Consolidated Net Income of Bidco and its Restricted Subsidiaries for the period (taken as one accounting period) beginning on the first day of the fiscal quarter of Bidco during which the Effective Date occurs to the end of the most recently ended Test Period at the time of such Restricted Payment (which amount shall not be less than zero);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100% of the aggregate net cash proceeds and the Fair Market Value, as determined in good faith by a Responsible Officer of Bidco, of marketable securities or other property received by Bidco since immediately after the Effective Date (other than net cash proceeds from Cure Amounts or to the extent such net cash proceeds have been used to incur Indebtedness or issue any Disqualified Equity Interests or Preferred Stock pursuant to clause (xi)(a) of </w:t>
      </w:r>
      <w:r>
        <w:rPr>
          <w:rFonts w:ascii="Times New Roman" w:hAnsi="Times New Roman"/>
          <w:sz w:val="20"/>
          <w:u w:val="single"/>
        </w:rPr>
        <w:t>Section 6.01(b)</w:t>
      </w:r>
      <w:r>
        <w:rPr>
          <w:rFonts w:ascii="Times New Roman" w:hAnsi="Times New Roman"/>
          <w:sz w:val="20"/>
        </w:rPr>
        <w:t xml:space="preserve"> hereof) from the issue or sale of: </w:t>
      </w:r>
    </w:p>
    <w:p>
      <w:pPr>
        <w:pStyle w:val="TextBody"/>
        <w:bidi w:val="0"/>
        <w:spacing w:before="120" w:after="0"/>
        <w:jc w:val="left"/>
        <w:rPr>
          <w:rFonts w:ascii="Times New Roman" w:hAnsi="Times New Roman"/>
          <w:sz w:val="20"/>
        </w:rPr>
      </w:pPr>
      <w:r>
        <w:rPr>
          <w:rFonts w:ascii="Times New Roman" w:hAnsi="Times New Roman"/>
          <w:sz w:val="20"/>
        </w:rPr>
        <w:t xml:space="preserve">i. A. Equity Interests of Bidco, including Treasury Capital Stock, but excluding cash proceeds and the Fair Market Value, as determined in good faith by a Responsible Officer of Bidco, of marketable securities or other property received from the sale of: </w:t>
      </w:r>
    </w:p>
    <w:p>
      <w:pPr>
        <w:pStyle w:val="TextBody"/>
        <w:bidi w:val="0"/>
        <w:spacing w:before="120" w:after="0"/>
        <w:jc w:val="left"/>
        <w:rPr>
          <w:rFonts w:ascii="Times New Roman" w:hAnsi="Times New Roman"/>
          <w:sz w:val="20"/>
        </w:rPr>
      </w:pPr>
      <w:r>
        <w:rPr>
          <w:rFonts w:ascii="Times New Roman" w:hAnsi="Times New Roman"/>
          <w:sz w:val="20"/>
        </w:rPr>
        <w:t xml:space="preserve">(x) Equity Interests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such amounts have been applied to Restricted Payments made in accordance with </w:t>
      </w:r>
      <w:r>
        <w:rPr>
          <w:rFonts w:ascii="Times New Roman" w:hAnsi="Times New Roman"/>
          <w:sz w:val="20"/>
          <w:u w:val="single"/>
        </w:rPr>
        <w:t>Section 6.05(b)(iv)</w:t>
      </w:r>
      <w:r>
        <w:rPr>
          <w:rFonts w:ascii="Times New Roman" w:hAnsi="Times New Roman"/>
          <w:sz w:val="20"/>
        </w:rPr>
        <w:t xml:space="preserve"> hereof; and </w:t>
      </w:r>
    </w:p>
    <w:p>
      <w:pPr>
        <w:pStyle w:val="TextBody"/>
        <w:bidi w:val="0"/>
        <w:spacing w:before="120" w:after="0"/>
        <w:jc w:val="left"/>
        <w:rPr>
          <w:rFonts w:ascii="Times New Roman" w:hAnsi="Times New Roman"/>
          <w:sz w:val="20"/>
        </w:rPr>
      </w:pPr>
      <w:r>
        <w:rPr>
          <w:rFonts w:ascii="Times New Roman" w:hAnsi="Times New Roman"/>
          <w:sz w:val="20"/>
        </w:rPr>
        <w:t xml:space="preserve">(y) Designated Preferred Stock; and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net cash proceeds or other property are actually contributed to the capital of Bidco or any Restricted Subsidiary (without the issuance of additional Equity Interests of such Restricted Subsidiary), Equity Interests of any direct or indirect parent company of Bidco (excluding net cash proceeds from Cure Amounts, Contributed Holdings Investments and contributions of the proceeds from the sale of Designated Preferred Stock of such companies or contributions to the extent such amounts have been applied to Restricted Payments made in accordance with </w:t>
      </w:r>
      <w:r>
        <w:rPr>
          <w:rFonts w:ascii="Times New Roman" w:hAnsi="Times New Roman"/>
          <w:sz w:val="20"/>
          <w:u w:val="single"/>
        </w:rPr>
        <w:t>Section 6.05(b)(iv)</w:t>
      </w:r>
      <w:r>
        <w:rPr>
          <w:rFonts w:ascii="Times New Roman" w:hAnsi="Times New Roman"/>
          <w:sz w:val="20"/>
        </w:rPr>
        <w:t xml:space="preserve"> 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p>
    <w:p>
      <w:pPr>
        <w:pStyle w:val="TextBody"/>
        <w:bidi w:val="0"/>
        <w:spacing w:before="0" w:after="0"/>
        <w:jc w:val="left"/>
        <w:rPr>
          <w:rFonts w:ascii="Times New Roman" w:hAnsi="Times New Roman"/>
          <w:sz w:val="20"/>
        </w:rPr>
      </w:pPr>
      <w:r>
        <w:rPr>
          <w:rFonts w:ascii="Times New Roman" w:hAnsi="Times New Roman"/>
          <w:sz w:val="20"/>
        </w:rPr>
        <w:t xml:space="preserve">ii. debt securities of Bidco or any Restricted Subsidiary that have been converted into or exchanged for such Equity Interests of Bidco or a direct or indirect parent company of Bidco;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(2) shall not include the proceeds from (W) Refunding Capital Stock, (X) Equity Interests or convertible debt securities of Bidco sold to a Restricted Subsidiary, as the case may be, (Y) Disqualified Equity Interests or debt securities that have been converted into Disqualified Equity Interests or (Z) Excluded Contributions;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100% of the aggregate amount of cash and the Fair Market Value, as determined in good faith by a Responsible Officer of Bidco, of marketable securities or other property contributed to the capital of Bidco after the Effective Date (other than net cash proceeds to the extent such net cash proceeds (i) have been used to incur Indebtedness or issue any Disqualified Equity Interests or Preferred Stock pursuant to clause (xi)(a) of </w:t>
      </w:r>
      <w:r>
        <w:rPr>
          <w:rFonts w:ascii="Times New Roman" w:hAnsi="Times New Roman"/>
          <w:sz w:val="20"/>
          <w:u w:val="single"/>
        </w:rPr>
        <w:t>Section 6.01(b)</w:t>
      </w:r>
      <w:r>
        <w:rPr>
          <w:rFonts w:ascii="Times New Roman" w:hAnsi="Times New Roman"/>
          <w:sz w:val="20"/>
        </w:rPr>
        <w:t xml:space="preserve"> hereof, (ii) are contributed by a Restricted Subsidiary or (iii) constitute Excluded Contributions and Contributed Holdings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100% of the aggregate amount received in cash and the Fair Market Value, as determined in good faith by a Responsible Officer of Bidco, of marketable securities or other property received by Bidco or a Restricted Subsidiary by means of: </w:t>
      </w:r>
    </w:p>
    <w:p>
      <w:pPr>
        <w:pStyle w:val="TextBody"/>
        <w:bidi w:val="0"/>
        <w:spacing w:before="120" w:after="0"/>
        <w:jc w:val="left"/>
        <w:rPr>
          <w:rFonts w:ascii="Times New Roman" w:hAnsi="Times New Roman"/>
          <w:sz w:val="20"/>
        </w:rPr>
      </w:pPr>
      <w:r>
        <w:rPr>
          <w:rFonts w:ascii="Times New Roman" w:hAnsi="Times New Roman"/>
          <w:sz w:val="20"/>
        </w:rPr>
        <w:t xml:space="preserve">i. the sale or other disposition (other than to Bidco or a Restricted Subsidiary) of Restricted Investments made by Bidco or its Restricted Subsidiaries and repurchases and redemptions of such Restricted Investments from Bidco or its Restricted Subsidiaries (other than by Bidco or a Restricted Subsidiary) and repayments of loans or advances and releases of guarantees, that constitute Restricted Investments made by Bidco or its Restricted Subsidiaries, in each case after the Effective Date; or </w:t>
      </w:r>
    </w:p>
    <w:p>
      <w:pPr>
        <w:pStyle w:val="TextBody"/>
        <w:bidi w:val="0"/>
        <w:spacing w:before="120" w:after="0"/>
        <w:jc w:val="left"/>
        <w:rPr>
          <w:rFonts w:ascii="Times New Roman" w:hAnsi="Times New Roman"/>
          <w:sz w:val="20"/>
        </w:rPr>
      </w:pPr>
      <w:r>
        <w:rPr>
          <w:rFonts w:ascii="Times New Roman" w:hAnsi="Times New Roman"/>
          <w:sz w:val="20"/>
        </w:rPr>
        <w:t xml:space="preserve">ii. the sale or other disposition (other than to Bidco or a Restricted Subsidiary) of the stock of an Unrestricted Subsidiary or a distribution from an Unrestricted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 in the case of the redesignation of an Unrestricted Subsidiary as a Restricted Subsidiary or the merger, amalgamation or consolidation of an Unrestricted Subsidiary into Bidco or a Restricted Subsidiary or the transfer of all or substantially all of the assets of an Unrestricted Subsidiary to Bidco or a Restricted Subsidiary after the Effective Date, the Fair Market Value of the Investment in such Unrestricted Subsidiary (or the assets transferred), as determined in good faith by a Responsible Officer of Bidco,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the Investment in such Unrestricted Subsidiary was made by Bidco or a Restricted Subsidiary pursuant to </w:t>
      </w:r>
      <w:r>
        <w:rPr>
          <w:rFonts w:ascii="Times New Roman" w:hAnsi="Times New Roman"/>
          <w:sz w:val="20"/>
          <w:u w:val="single"/>
        </w:rPr>
        <w:t>Section 6.05(b)(xi)</w:t>
      </w:r>
      <w:r>
        <w:rPr>
          <w:rFonts w:ascii="Times New Roman" w:hAnsi="Times New Roman"/>
          <w:sz w:val="20"/>
        </w:rPr>
        <w:t xml:space="preserve"> or to the extent such Investment constituted a Permitted Investment;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the aggregate amount of any Retained Declined Proceeds and Specified Asset Sale Proceeds since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p>
    <w:p>
      <w:pPr>
        <w:pStyle w:val="TextBody"/>
        <w:bidi w:val="0"/>
        <w:spacing w:before="0" w:after="0"/>
        <w:jc w:val="left"/>
        <w:rPr>
          <w:rFonts w:ascii="Times New Roman" w:hAnsi="Times New Roman"/>
          <w:sz w:val="20"/>
        </w:rPr>
      </w:pPr>
      <w:r>
        <w:rPr>
          <w:rFonts w:ascii="Times New Roman" w:hAnsi="Times New Roman"/>
          <w:sz w:val="20"/>
        </w:rPr>
        <w:t xml:space="preserve">(7) the greater of (i) $300,000,000 and (ii) 40% of Consolidated EBITDA for the most recently ended Test Period as of such date, calculated on a Pro Forma Basis;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the aggregate amount of any cash overfunding and the proceeds from the sale of any accounts receivable, royalty or other similar rights to payment and any other assets related thereto that are not reflected on the most recent consolidated balance sheet of Bidco and the Restricted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 the cumulative amount of (i) Liens incurred pursuant to clause (34) of the definition of “Permitted Liens” from and after the Effective Date and outstanding at such time and (ii) Indebtedness incurred pursuant to </w:t>
      </w:r>
      <w:r>
        <w:rPr>
          <w:rFonts w:ascii="Times New Roman" w:hAnsi="Times New Roman"/>
          <w:sz w:val="20"/>
          <w:u w:val="single"/>
        </w:rPr>
        <w:t>Section 6.01(b)(xxiv)</w:t>
      </w:r>
      <w:r>
        <w:rPr>
          <w:rFonts w:ascii="Times New Roman" w:hAnsi="Times New Roman"/>
          <w:sz w:val="20"/>
        </w:rPr>
        <w:t xml:space="preserve"> from and after the Effective Date and outstanding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6.05(a)</w:t>
      </w:r>
      <w:r>
        <w:rPr>
          <w:rFonts w:ascii="Times New Roman" w:hAnsi="Times New Roman"/>
          <w:sz w:val="20"/>
        </w:rPr>
        <w:t xml:space="preserve"> hereof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(i) the payment of any dividend or other distribution or the consummation of any redemption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as the case may be, would have complied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(ii) (A) the redemption, repurchase, defeasance, retirement or other acquisition of any (i) Equity Interests, including any accrued and unpaid dividends thereon (“</w:t>
      </w:r>
      <w:r>
        <w:rPr>
          <w:rFonts w:ascii="Times New Roman" w:hAnsi="Times New Roman"/>
          <w:sz w:val="20"/>
          <w:u w:val="single"/>
        </w:rPr>
        <w:t>Treasury Capital Stock</w:t>
      </w:r>
      <w:r>
        <w:rPr>
          <w:rFonts w:ascii="Times New Roman" w:hAnsi="Times New Roman"/>
          <w:sz w:val="20"/>
        </w:rPr>
        <w:t>”) of Bidco or any Restricted Subsidiary or Subordinated Indebtedness of Bidco, any Borrower or any Guarantor or (ii) Equity Interests of any direct or indirect parent company of Bidco, in the case of each of clauses (i) and (ii), in exchange for, or out of the proceeds of the substantially concurrent sale (other than to Bidco or a Restricted Subsidiary) of, Equity Interests of Bidco or any direct or indirect parent company of Bidco to the extent contributed to the capital of Bidco or any Restricted Subsidiary (in each case, other than any Disqualified Equity Interests) (“</w:t>
      </w:r>
      <w:r>
        <w:rPr>
          <w:rFonts w:ascii="Times New Roman" w:hAnsi="Times New Roman"/>
          <w:sz w:val="20"/>
          <w:u w:val="single"/>
        </w:rPr>
        <w:t>Refunding Capital Stock</w:t>
      </w:r>
      <w:r>
        <w:rPr>
          <w:rFonts w:ascii="Times New Roman" w:hAnsi="Times New Roman"/>
          <w:sz w:val="20"/>
        </w:rPr>
        <w:t xml:space="preserve">”), (B) the declaration and payment of dividends on the Treasury Capital Stock out of the proceeds of the substantially concurrent sale (other than to Bidco or a Restricted Subsidiary) of the Refunding Capital Stock and (iii) if immediately prior to the retirement of Treasury Capital Stock, the declaration and payment of dividends thereon was permitted under clause (vi) of this </w:t>
      </w:r>
      <w:r>
        <w:rPr>
          <w:rFonts w:ascii="Times New Roman" w:hAnsi="Times New Roman"/>
          <w:sz w:val="20"/>
          <w:u w:val="single"/>
        </w:rPr>
        <w:t>Section 6.05(b)</w:t>
      </w:r>
      <w:r>
        <w:rPr>
          <w:rFonts w:ascii="Times New Roman" w:hAnsi="Times New Roman"/>
          <w:sz w:val="20"/>
        </w:rPr>
        <w:t xml:space="preserve">, the declaration and payment of dividends on the Refunding Capital Stock (other than Refunding Capital Stock the proceeds of which were used to redeem, repurchase, retire or otherwise acquire any Equity Interests of any direct or indirect parent company of Bidco) in an aggregate amount per year no greater than the aggregate amount of dividends per annum that were declarable and payable on such Treasury Capital Stock immediately prior to such retirement; </w:t>
      </w:r>
    </w:p>
    <w:p>
      <w:pPr>
        <w:pStyle w:val="TextBody"/>
        <w:bidi w:val="0"/>
        <w:spacing w:before="120" w:after="0"/>
        <w:jc w:val="left"/>
        <w:rPr>
          <w:rFonts w:ascii="Times New Roman" w:hAnsi="Times New Roman"/>
          <w:sz w:val="20"/>
        </w:rPr>
      </w:pPr>
      <w:r>
        <w:rPr>
          <w:rFonts w:ascii="Times New Roman" w:hAnsi="Times New Roman"/>
          <w:sz w:val="20"/>
        </w:rPr>
        <w:t xml:space="preserve">(iii) the defeasance, redemption, repurchase, exchange or other acquisition or retirement for value of (i) Subordinated Indebtedness of a Borrower or a Guarantor made by exchange for, or out of the proceeds of the substantially concurrent sale of, new Subordinated Indebtedness of a Borrower or a Guarantor or (ii) Disqualified Equity Interests of a Borrower or a Guarantor made by exchange for, or out of the proceeds of the substantially concurrent sale of, Disqualified Equity Interests of a Borrower or a Guarantor, that, in each case, is incurred in compliance with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(iv) Restricted Payments to Bidco or direct or indirect parent companies of Bidco, the proceeds of which are, or will be, promptly used to redeem, acquire, retire, repurchase or settle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p>
    <w:p>
      <w:pPr>
        <w:pStyle w:val="TextBody"/>
        <w:bidi w:val="0"/>
        <w:spacing w:before="0" w:after="0"/>
        <w:jc w:val="left"/>
        <w:rPr>
          <w:rFonts w:ascii="Times New Roman" w:hAnsi="Times New Roman"/>
          <w:sz w:val="20"/>
        </w:rPr>
      </w:pPr>
      <w:r>
        <w:rPr>
          <w:rFonts w:ascii="Times New Roman" w:hAnsi="Times New Roman"/>
          <w:sz w:val="20"/>
        </w:rPr>
        <w:t xml:space="preserve">Equity Interests (or any options, warrants, restricted stock or stock appreciation rights or similar securities issued with respect to any such Equity Interests) (in each case, other than Disqualified Equity Interests) or Indebtedness or to service Indebtedness incurred by direct or indirect parent companies of Bidco to finance the redemption, acquisition, retirement, repurchase or settlement of such Equity Interest or Indebtedness (or make Restricted Payments to allow any of Bidco’s direct or indirect parent companies to so redeem, retire, acquire or repurchase their Equity Interests or their Indebtedness or to service Indebtedness incurred by direct or indirect parent companies of Bidco to finance the redemption, acquisition, retirement, repurchase or settlement of such Equity Interests or Indebtedness or to service Indebtedness incurred to finance the redemption, retirement, acquisition or repurchase of such Equity Interests or Indebtedness), in each case held directly or indirectly by current or former officers, managers, consultants, members of the board of directors, employees or independent contractors (or their respective spouses, former spouses, successors, executors, administrators, heirs, legatees or distributees) of direct or indirect parent companies of Bidco, Bidco and/or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not to exceed the greater of $112,500,000 and 15% of Consolidated EBITDA for the most recently ended Test Period as of such date, calculated on a Pro Forma Basis, in any calendar year (with unused amounts in any calendar year being carried over to succeeding calendar years subject to a maximum of the greater of $225,000,000 and 30% of Consolidated EBITDA for the most recently ended Test Period as of such date, calculated on a Pro Forma Basis, in any calendar year), in each case, without giving effect to the following proviso; </w:t>
      </w:r>
      <w:r>
        <w:rPr>
          <w:rFonts w:ascii="Times New Roman" w:hAnsi="Times New Roman"/>
          <w:sz w:val="20"/>
          <w:u w:val="single"/>
        </w:rPr>
        <w:t>provided</w:t>
      </w:r>
      <w:r>
        <w:rPr>
          <w:rFonts w:ascii="Times New Roman" w:hAnsi="Times New Roman"/>
          <w:sz w:val="20"/>
        </w:rPr>
        <w:t xml:space="preserve"> that such amount in any calendar year may be increased by: </w:t>
      </w:r>
    </w:p>
    <w:p>
      <w:pPr>
        <w:pStyle w:val="TextBody"/>
        <w:bidi w:val="0"/>
        <w:spacing w:before="120" w:after="0"/>
        <w:jc w:val="left"/>
        <w:rPr>
          <w:rFonts w:ascii="Times New Roman" w:hAnsi="Times New Roman"/>
          <w:sz w:val="20"/>
        </w:rPr>
      </w:pPr>
      <w:r>
        <w:rPr>
          <w:rFonts w:ascii="Times New Roman" w:hAnsi="Times New Roman"/>
          <w:sz w:val="20"/>
        </w:rPr>
        <w:t xml:space="preserve">(A) the cash proceeds from the sale of Equity Interests (other than Disqualified Equity Interests) of Bidco and, to the extent contributed to Bidco, Equity Interests of any of Bidco’s direct or indirect parent companies, in each case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the cash proceeds from the sale of such Equity Interests have not otherwise been applied to the payment of Restricted Payments by virtue of </w:t>
      </w:r>
      <w:r>
        <w:rPr>
          <w:rFonts w:ascii="Times New Roman" w:hAnsi="Times New Roman"/>
          <w:sz w:val="20"/>
          <w:u w:val="single"/>
        </w:rPr>
        <w:t>Section 6.05(a)(A)</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 amount not to exceed the cash proceeds of key man life insurance policies received by Bidco (or by direct or indirect parent companies of Bidco and contributed to Bidco) or the Restricted Subsidiaries after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amount of any bona fide cash bonuses otherwise payable to members of the board of directors, consultants, officers, employees, managers or independent contractors of direct or indirect parent companies of Bidco, Bidco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any Restricted Payments previously made with the cash proceeds described in clauses (A), (B) and (C) of this clause (iv);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cancellation of Indebtedness owing to Bidco or any Restricted Subsidiary from members of the board of directors, consultants, officers, employees, managers or independent contractors (or their respective spouses, former spouses, successors, executors, administrators, heirs, legatees or distributees) of direct or indirect parent companies of Bidco, Bidco or any Restricted Subsidiary in connection with a repurchase of Equity Interests of Bidco or any direct or indirect parent companies of Bidco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clauses (i) and (ii), shall not be deemed to constitute a Restricted Payment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declaration and payment of dividends to holders of any class or series of Disqualified Equity Interests of Bidco or any of its Restricted Subsidiaries or any class or series of Preferred Stock of any Restricted Subsidiary, in each case issued in accordance with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(vi) (A) the declaration and payment of dividends to holders of any class or series of Designated Preferred Stock (other than Disqualified Equity Interests) issued by Bidco or any of its Restricted Subsidiaries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to any direct or indirect parent company of Bidco, the proceeds of which shall be used to fund the payment of dividends to holders of any class or series of Designated Preferred Stock (other than Disqualified Equity Interests) of such parent company issued after the Effective Date, </w:t>
      </w:r>
      <w:r>
        <w:rPr>
          <w:rFonts w:ascii="Times New Roman" w:hAnsi="Times New Roman"/>
          <w:sz w:val="20"/>
          <w:u w:val="single"/>
        </w:rPr>
        <w:t>provided</w:t>
      </w:r>
      <w:r>
        <w:rPr>
          <w:rFonts w:ascii="Times New Roman" w:hAnsi="Times New Roman"/>
          <w:sz w:val="20"/>
        </w:rPr>
        <w:t xml:space="preserve"> that the amount of dividends paid pursuant to this clause (B) shall not exceed the aggregate amount of cash actually contributed to the capital of Bidco from the sale of such Designated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(C) the declaration and payment of dividends on Refunding Capital Stock that is Preferred Stock in excess of the dividends declarable and payable thereon pursuant to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Restricted Payments by any Restricted Subsidiary to Bidco or direct or indirect parent companies of Bidco to the extent the proceeds of such Restricted Payments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(viii) the declaration and payment of dividends or the payment of other distributions by Bidco or a Restricted Subsidiary to, or the making of loans or advances to, any of their respective direct or indirect parent companies to allow payments by Bidco or any direct or indirect parent company of Bidco in respect of withholding or similar taxes payable in connection with any grant or vesting of an Equity Interest to or by, or repurchase, or dividend or other distribution to facilitate a repurchase, of an Equity Interest from, any future, present or former employee, director, officer, manager or consultant (or their respective Controlled Investment Affiliates, Immediate Family Members or permitted transferees), or in connection with any repurchases of Equity Interests in consideration of such payments, including deemed repurchases in connection with the exercise of stock options, warrants or other incentive interests and the vesting of restricted stock and restricted stock units or any deemed repurchases of Equity Interests representing a portion of the exercise price of such options or warrants or other incentive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p>
    <w:p>
      <w:pPr>
        <w:pStyle w:val="TextBody"/>
        <w:bidi w:val="0"/>
        <w:spacing w:before="0" w:after="0"/>
        <w:jc w:val="left"/>
        <w:rPr>
          <w:rFonts w:ascii="Times New Roman" w:hAnsi="Times New Roman"/>
          <w:sz w:val="20"/>
        </w:rPr>
      </w:pPr>
      <w:r>
        <w:rPr>
          <w:rFonts w:ascii="Times New Roman" w:hAnsi="Times New Roman"/>
          <w:sz w:val="20"/>
        </w:rPr>
        <w:t xml:space="preserve">(ix) (a) the declaration and payment of dividends by Bidco on the common stock or Equity Interests of Bidco or any direct or indirect parent company of Bidco following a public offering of such common stock or common equity interests, in an amount in any fiscal year not to exceed the greater of (i) up to 6.0% of the aggregate proceeds received by or contributed to Bidco in or from all such public offerings and (ii) an aggregate amount not to exceed 5.0% of the market capitalization of Bidco or (b) in lieu of all or a portion of the dividends permitted by clause (a), any prepayment, purchase, repurchase, redemption, defeasance, discharge, retirement or other acquisition of Bidco’s Equity Interests (and any equivalent declaration and payment of a distribution of any security exchangeable for such common stock or common equity interests to the extent required by the terms of any such exchangeable securities and any Restricted Payment to any direct or indirect parent company of Bidco to fund the payment by such direct or indirect parent company of Bidco of dividends on such entity’s Equity Interests) for aggregate consideration that, when taken together with dividends permitted by clause (a), does not exceed the amount contemplated by clause (a); </w:t>
      </w:r>
    </w:p>
    <w:p>
      <w:pPr>
        <w:pStyle w:val="TextBody"/>
        <w:bidi w:val="0"/>
        <w:spacing w:before="120" w:after="0"/>
        <w:jc w:val="left"/>
        <w:rPr>
          <w:rFonts w:ascii="Times New Roman" w:hAnsi="Times New Roman"/>
          <w:sz w:val="20"/>
        </w:rPr>
      </w:pPr>
      <w:r>
        <w:rPr>
          <w:rFonts w:ascii="Times New Roman" w:hAnsi="Times New Roman"/>
          <w:sz w:val="20"/>
        </w:rPr>
        <w:t xml:space="preserve">(x) Restricted Payments that are made (a) in an amount not to exceed the amount of Excluded Contributions made since the Effective Date that is not otherwise applied pursuant to clause (35) of the definition of “Permitted Liens” or </w:t>
      </w:r>
      <w:r>
        <w:rPr>
          <w:rFonts w:ascii="Times New Roman" w:hAnsi="Times New Roman"/>
          <w:sz w:val="20"/>
          <w:u w:val="single"/>
        </w:rPr>
        <w:t>Section 6.01(b)(xxv)</w:t>
      </w:r>
      <w:r>
        <w:rPr>
          <w:rFonts w:ascii="Times New Roman" w:hAnsi="Times New Roman"/>
          <w:sz w:val="20"/>
        </w:rPr>
        <w:t xml:space="preserve"> as in effect immediately prior to such Restricted Payments (and after giving Pro Forma Effect thereto) or (b) in an amount equal to the amount of net cash proceeds from an asset sale or disposition in respect of property or assets acquired, if the acquisition of such property or assets was financed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(xi) other Restricted Payments (other than Restricted Debt Payments) in an aggregate amount taken together with all other Restricted Payments made pursuant to this clause (xi) not to exceed the sum of (i) the greater of $225,000,000 and 30% of Consolidated EBITDA for the most recently ended Test Period at the time made, calculated on a Pro Forma Basis and (ii) the Available Restricted Debt Payments Amount; </w:t>
      </w:r>
    </w:p>
    <w:p>
      <w:pPr>
        <w:pStyle w:val="TextBody"/>
        <w:bidi w:val="0"/>
        <w:spacing w:before="360" w:after="0"/>
        <w:jc w:val="left"/>
        <w:rPr>
          <w:rFonts w:ascii="Times New Roman" w:hAnsi="Times New Roman"/>
          <w:sz w:val="20"/>
        </w:rPr>
      </w:pPr>
      <w:r>
        <w:rPr>
          <w:rFonts w:ascii="Times New Roman" w:hAnsi="Times New Roman"/>
          <w:sz w:val="20"/>
        </w:rPr>
        <w:t xml:space="preserve">(xii) distributions or payments of Receivables Fees; </w:t>
      </w:r>
    </w:p>
    <w:p>
      <w:pPr>
        <w:pStyle w:val="TextBody"/>
        <w:bidi w:val="0"/>
        <w:spacing w:before="120" w:after="0"/>
        <w:jc w:val="left"/>
        <w:rPr>
          <w:rFonts w:ascii="Times New Roman" w:hAnsi="Times New Roman"/>
          <w:sz w:val="20"/>
        </w:rPr>
      </w:pPr>
      <w:r>
        <w:rPr>
          <w:rFonts w:ascii="Times New Roman" w:hAnsi="Times New Roman"/>
          <w:sz w:val="20"/>
        </w:rPr>
        <w:t xml:space="preserve">(xiii) Restricted Payments made as part of or to consummate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(xiv) other Restricted Debt Payments in an aggregate amount taken together with all other Restricted Debt Payments made pursuant to this clause (xiv) not to exceed the sum of (i) the greater of $225,000,000 and 30% of Consolidated EBITDA for the most recently ended Test Period at the time made, calculated on a Pro Forma Basis, (ii) the Available Investments Amount and (iii) the Available Restricted Payments Amount; </w:t>
      </w:r>
    </w:p>
    <w:p>
      <w:pPr>
        <w:pStyle w:val="TextBody"/>
        <w:bidi w:val="0"/>
        <w:spacing w:before="120" w:after="0"/>
        <w:jc w:val="left"/>
        <w:rPr>
          <w:rFonts w:ascii="Times New Roman" w:hAnsi="Times New Roman"/>
          <w:sz w:val="20"/>
        </w:rPr>
      </w:pPr>
      <w:r>
        <w:rPr>
          <w:rFonts w:ascii="Times New Roman" w:hAnsi="Times New Roman"/>
          <w:sz w:val="20"/>
        </w:rPr>
        <w:t xml:space="preserve">(xv) the declaration and payment of dividends or the payment of other distributions by Bidco or a Restricted Subsidiary to, or the making of loans or advances to, any of their respective direct or indirect parent companies in amounts required for any direct or indirect parent companies to pay, in each case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franchise, excise and similar taxes and other fees, taxes and expenses required to maintain their corporate existence; </w:t>
      </w:r>
    </w:p>
    <w:p>
      <w:pPr>
        <w:pStyle w:val="TextBody"/>
        <w:bidi w:val="0"/>
        <w:spacing w:before="120" w:after="0"/>
        <w:jc w:val="left"/>
        <w:rPr>
          <w:rFonts w:ascii="Times New Roman" w:hAnsi="Times New Roman"/>
          <w:sz w:val="20"/>
        </w:rPr>
      </w:pPr>
      <w:r>
        <w:rPr>
          <w:rFonts w:ascii="Times New Roman" w:hAnsi="Times New Roman"/>
          <w:sz w:val="20"/>
        </w:rPr>
        <w:t>(B) (1) with respect to any taxable period in which Bidco and/or any of its Subsidiaries is a member of (or Bidco is a disregarded entity for U.S. federal income tax purposes wholly-owned by a member of) a consolidated, combined, unitary or similar tax group (a “</w:t>
      </w:r>
      <w:r>
        <w:rPr>
          <w:rFonts w:ascii="Times New Roman" w:hAnsi="Times New Roman"/>
          <w:sz w:val="20"/>
          <w:u w:val="single"/>
        </w:rPr>
        <w:t>Tax Group</w:t>
      </w:r>
      <w:r>
        <w:rPr>
          <w:rFonts w:ascii="Times New Roman" w:hAnsi="Times New Roman"/>
          <w:sz w:val="20"/>
        </w:rPr>
        <w:t xml:space="preserve">”) for U.S. federal and/or applicable foreign, state or local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p>
    <w:p>
      <w:pPr>
        <w:pStyle w:val="TextBody"/>
        <w:bidi w:val="0"/>
        <w:spacing w:before="0" w:after="0"/>
        <w:jc w:val="left"/>
        <w:rPr>
          <w:rFonts w:ascii="Times New Roman" w:hAnsi="Times New Roman"/>
          <w:sz w:val="20"/>
        </w:rPr>
      </w:pPr>
      <w:r>
        <w:rPr>
          <w:rFonts w:ascii="Times New Roman" w:hAnsi="Times New Roman"/>
          <w:sz w:val="20"/>
        </w:rPr>
        <w:t xml:space="preserve">tax purposes of which Holdings, an Intermediate Parent or any direct or indirect parent of Holdings is the common parent, the portion of U.S. federal, state, and/or local income Taxes of such Tax Group for such taxable period that is attributable to the taxable income of Bidco and/or its direct or indirect consolidated subsidiaries; </w:t>
      </w:r>
      <w:r>
        <w:rPr>
          <w:rFonts w:ascii="Times New Roman" w:hAnsi="Times New Roman"/>
          <w:sz w:val="20"/>
          <w:u w:val="single"/>
        </w:rPr>
        <w:t>provided</w:t>
      </w:r>
      <w:r>
        <w:rPr>
          <w:rFonts w:ascii="Times New Roman" w:hAnsi="Times New Roman"/>
          <w:sz w:val="20"/>
        </w:rPr>
        <w:t xml:space="preserve"> that, for each taxable period, the amount of such payments made in respect of such taxable period in the aggregate shall not exceed the amount of such Taxes that Bidco and/or its applicable Subsidiaries would have been required to pay if they were a stand-alone Tax Group with Bidco as the corporate common parent of such stand-alone Tax Group; and (2) with respect to any taxable period for which Bidco is a partnership for U.S. federal and/or applicable state or local income tax purposes, the portion of the U.S. federal, state or local income Taxes of Bidco’s direct owner(s) (or, where a direct owner is a pass-through entity, indirect owner(s)) for such taxable period that is attributable to the taxable income of Bidco, in an amount not to exceed the product of (x) 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indirect) equity owner of Bidco for the taxable period in question and (y) the taxable income of Bidco for such period, reduced by all taxable losses of Bidco with respect to any prior taxable year of Bidco to the extent such losses were not previously taken into account for purposes of computing distributions permitted under this </w:t>
      </w:r>
      <w:r>
        <w:rPr>
          <w:rFonts w:ascii="Times New Roman" w:hAnsi="Times New Roman"/>
          <w:sz w:val="20"/>
          <w:u w:val="single"/>
        </w:rPr>
        <w:t>Section 6.05(b)(xv)(B)</w:t>
      </w:r>
      <w:r>
        <w:rPr>
          <w:rFonts w:ascii="Times New Roman" w:hAnsi="Times New Roman"/>
          <w:sz w:val="20"/>
        </w:rPr>
        <w:t xml:space="preserve"> and such losses are of a character that would permit such losses to be deducted by the direct or indirect owners of Bidco against the current table income of Bidco (any distributions permitted under this </w:t>
      </w:r>
      <w:r>
        <w:rPr>
          <w:rFonts w:ascii="Times New Roman" w:hAnsi="Times New Roman"/>
          <w:sz w:val="20"/>
          <w:u w:val="single"/>
        </w:rPr>
        <w:t>Section 6.05(b)(xv)(B)</w:t>
      </w:r>
      <w:r>
        <w:rPr>
          <w:rFonts w:ascii="Times New Roman" w:hAnsi="Times New Roman"/>
          <w:sz w:val="20"/>
        </w:rPr>
        <w:t xml:space="preserve"> collectively, “</w:t>
      </w:r>
      <w:r>
        <w:rPr>
          <w:rFonts w:ascii="Times New Roman" w:hAnsi="Times New Roman"/>
          <w:sz w:val="20"/>
          <w:u w:val="single"/>
        </w:rPr>
        <w:t>Tax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customary salary, bonus and other benefits payable to employees, directors, officers and managers of any direct or indirect parent company of Bidco to the extent such salaries, bonuses and other benefits are attributable to the ownership or operation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general corporate operating and overhead costs and expenses of any direct or indirect parent company of Bidco to the extent such costs and expenses are attributable to the ownership or operation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fees and expenses other than to Affiliates of Bidco related to any equity or debt offering of such parent entity (whether or not successful); </w:t>
      </w:r>
    </w:p>
    <w:p>
      <w:pPr>
        <w:pStyle w:val="TextBody"/>
        <w:bidi w:val="0"/>
        <w:spacing w:before="120" w:after="0"/>
        <w:jc w:val="left"/>
        <w:rPr>
          <w:rFonts w:ascii="Times New Roman" w:hAnsi="Times New Roman"/>
          <w:sz w:val="20"/>
        </w:rPr>
      </w:pPr>
      <w:r>
        <w:rPr>
          <w:rFonts w:ascii="Times New Roman" w:hAnsi="Times New Roman"/>
          <w:sz w:val="20"/>
        </w:rPr>
        <w:t xml:space="preserve">(F) reasonable and customary indemnification claims made by members of the board of directors or officers, employees, directors, managers, consultants or independent contractors of such parent entity attributable to the ownership or operations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fees and expenses (x) due and payable by Bidco and its Restricted Subsidiaries related to the Transactions and (y) otherwise permitted to be paid by Bidco and any Restricted Subsidiaries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to the extent constituting a Restricted Payment, amounts due and payable pursuant to the Sponsor Management Agreement or any other investor management agreement entered into with the Investors after the Effective Date, which agreement shall be on terms not materially less favorable to Bidco and its Restricted Subsidiaries than the terms of the Sponsor Management Agreement in effect on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p>
    <w:p>
      <w:pPr>
        <w:pStyle w:val="TextBody"/>
        <w:bidi w:val="0"/>
        <w:spacing w:before="0" w:after="0"/>
        <w:jc w:val="left"/>
        <w:rPr>
          <w:rFonts w:ascii="Times New Roman" w:hAnsi="Times New Roman"/>
          <w:sz w:val="20"/>
        </w:rPr>
      </w:pPr>
      <w:r>
        <w:rPr>
          <w:rFonts w:ascii="Times New Roman" w:hAnsi="Times New Roman"/>
          <w:sz w:val="20"/>
        </w:rPr>
        <w:t xml:space="preserve">(I) to finance any Investment that, if made by Bidco, would be permitted by this Agreement; </w:t>
      </w:r>
      <w:r>
        <w:rPr>
          <w:rFonts w:ascii="Times New Roman" w:hAnsi="Times New Roman"/>
          <w:sz w:val="20"/>
          <w:u w:val="single"/>
        </w:rPr>
        <w:t>provided</w:t>
      </w:r>
      <w:r>
        <w:rPr>
          <w:rFonts w:ascii="Times New Roman" w:hAnsi="Times New Roman"/>
          <w:sz w:val="20"/>
        </w:rPr>
        <w:t xml:space="preserve"> that (A) such Restricted Payment shall be made substantially concurrently with the closing of such Investment and (B) such direct or indirect parent company shall, immediately following the closing thereof, cause (1) all property acquired (whether assets or Equity Interests but not including any loans or advances made pursuant to clause (16) of the definition of “Permitted Investments”) to be contributed to Bidco or its Restricted Subsidiaries or (2) the Person formed or acquired to merge into or amalgamate or consolidate with Bidco or any of the Restricted Subsidiaries to the extent such merger, amalgamation or consolidation is permitted under </w:t>
      </w:r>
      <w:r>
        <w:rPr>
          <w:rFonts w:ascii="Times New Roman" w:hAnsi="Times New Roman"/>
          <w:sz w:val="20"/>
          <w:u w:val="single"/>
        </w:rPr>
        <w:t>Section 6.03</w:t>
      </w:r>
      <w:r>
        <w:rPr>
          <w:rFonts w:ascii="Times New Roman" w:hAnsi="Times New Roman"/>
          <w:sz w:val="20"/>
        </w:rPr>
        <w:t xml:space="preserve"> in order to consummate such Investment (any such property or assets so contributed, merged or amalgamated shall constitute “</w:t>
      </w:r>
      <w:r>
        <w:rPr>
          <w:rFonts w:ascii="Times New Roman" w:hAnsi="Times New Roman"/>
          <w:sz w:val="20"/>
          <w:u w:val="single"/>
        </w:rPr>
        <w:t>Contributed Holdings Investments</w:t>
      </w:r>
      <w:r>
        <w:rPr>
          <w:rFonts w:ascii="Times New Roman" w:hAnsi="Times New Roman"/>
          <w:sz w:val="20"/>
        </w:rPr>
        <w:t xml:space="preserve">” and shall be disregarded for purposes of determining any amount calculated under this Agreement with respect to contributions to the capital of Bidco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(J) amounts that would otherwise be permitted to be paid pursuant to clauses (ii), (v), (vii), (viii), (ix) and (xiii) of </w:t>
      </w:r>
      <w:r>
        <w:rPr>
          <w:rFonts w:ascii="Times New Roman" w:hAnsi="Times New Roman"/>
          <w:sz w:val="20"/>
          <w:u w:val="single"/>
        </w:rPr>
        <w:t>Section 5.17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(xvi) the distribution, by dividend or otherwise, of shares of Equity Interests of, or Indebtedness owed to direct and indirect parent companies of Bidco, Bidco or any Restricted Subsidiary by, Unrestricted Subsidiaries (or a Restricted Subsidiary that owns one or more Unrestricted Subsidiaries and no other material assets) (other than Unrestricted Subsidiaries, the primary assets of which are cash and/or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(xvii) any other Restricted Payment; </w:t>
      </w:r>
      <w:r>
        <w:rPr>
          <w:rFonts w:ascii="Times New Roman" w:hAnsi="Times New Roman"/>
          <w:sz w:val="20"/>
          <w:u w:val="single"/>
        </w:rPr>
        <w:t>provided</w:t>
      </w:r>
      <w:r>
        <w:rPr>
          <w:rFonts w:ascii="Times New Roman" w:hAnsi="Times New Roman"/>
          <w:sz w:val="20"/>
        </w:rPr>
        <w:t xml:space="preserve"> that (i) on a Pro Forma Basis after giving effect to such Restricted Payment, (x) with respect to any Restricted Payment, other than a Restricted Debt Payment, the Senior Secured First Lien Net Leverage Ratio is equal to or less than 4.10 to 1.00 and (y) with respect to any Restricted Debt Payments, the Senior Secured First Lien Net Leverage Ratio is equal to or less than 4.10 to 1.00 and (ii) no Specified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(xviii) redemptions in whole or in part of any of its Equity Interests for another class of its Equity Interests (other than Disqualified Equity Interests) or with proceeds from substantially concurrent equity contributions or issuances of new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(xix) payments to Bidco or direct and indirect parent companies of Bidco to permit such Person to (a) pay cash in lieu of fractional Equity Interests in connection with any dividend, split or combination thereof or any Investment permitted under this Agreement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(xx) payments or distributions to dissenting stockholders pursuant to applicable law, pursuant to or in connection with a consolidation, merger or transfer of all or substantially all of the assets of Bidco and its Restricted Subsidiaries, taken as a whole, that complies with the covenant described under </w:t>
      </w:r>
      <w:r>
        <w:rPr>
          <w:rFonts w:ascii="Times New Roman" w:hAnsi="Times New Roman"/>
          <w:sz w:val="20"/>
          <w:u w:val="single"/>
        </w:rPr>
        <w:t>Section 6.03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p>
    <w:p>
      <w:pPr>
        <w:pStyle w:val="TextBody"/>
        <w:bidi w:val="0"/>
        <w:spacing w:before="0" w:after="0"/>
        <w:jc w:val="left"/>
        <w:rPr>
          <w:rFonts w:ascii="Times New Roman" w:hAnsi="Times New Roman"/>
          <w:sz w:val="20"/>
        </w:rPr>
      </w:pPr>
      <w:r>
        <w:rPr>
          <w:rFonts w:ascii="Times New Roman" w:hAnsi="Times New Roman"/>
          <w:sz w:val="20"/>
        </w:rPr>
        <w:t xml:space="preserve">(xxi) the conversion of any Subordinated Indebtedness to Equity Interests (other than Disqualified Equity Interests) of Bidco or any of its direct or indirect parent companies, and any payment that is intended to prevent any Subordinated Indebtedness from being treated as an “applicable high yield discount obligation” within the meaning of Section 163(i)(1) of the Code; </w:t>
      </w:r>
    </w:p>
    <w:p>
      <w:pPr>
        <w:pStyle w:val="TextBody"/>
        <w:bidi w:val="0"/>
        <w:spacing w:before="120" w:after="0"/>
        <w:jc w:val="left"/>
        <w:rPr>
          <w:rFonts w:ascii="Times New Roman" w:hAnsi="Times New Roman"/>
          <w:sz w:val="20"/>
        </w:rPr>
      </w:pPr>
      <w:r>
        <w:rPr>
          <w:rFonts w:ascii="Times New Roman" w:hAnsi="Times New Roman"/>
          <w:sz w:val="20"/>
        </w:rPr>
        <w:t xml:space="preserve">(xxii) mandatory redemptions of Disqualified Equity Interests issued as a Restricted Payment or as consideration for a Permitted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(xxiii) any Restricted Payment made in connection with a Permitted Intercompany Activity and a Permitted Tax Restructuring.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6.05</w:t>
      </w:r>
      <w:r>
        <w:rPr>
          <w:rFonts w:ascii="Times New Roman" w:hAnsi="Times New Roman"/>
          <w:sz w:val="20"/>
        </w:rPr>
        <w:t xml:space="preserve">, in the event that a proposed Restricted Payment (or a portion thereof) meets the criteria of clauses (i) through (xxiii) of </w:t>
      </w:r>
      <w:r>
        <w:rPr>
          <w:rFonts w:ascii="Times New Roman" w:hAnsi="Times New Roman"/>
          <w:sz w:val="20"/>
          <w:u w:val="single"/>
        </w:rPr>
        <w:t>Section 6.05(b)</w:t>
      </w:r>
      <w:r>
        <w:rPr>
          <w:rFonts w:ascii="Times New Roman" w:hAnsi="Times New Roman"/>
          <w:sz w:val="20"/>
        </w:rPr>
        <w:t xml:space="preserve"> hereof or is entitled to be made pursuant to </w:t>
      </w:r>
      <w:r>
        <w:rPr>
          <w:rFonts w:ascii="Times New Roman" w:hAnsi="Times New Roman"/>
          <w:sz w:val="20"/>
          <w:u w:val="single"/>
        </w:rPr>
        <w:t>Section 6.05(a)</w:t>
      </w:r>
      <w:r>
        <w:rPr>
          <w:rFonts w:ascii="Times New Roman" w:hAnsi="Times New Roman"/>
          <w:sz w:val="20"/>
        </w:rPr>
        <w:t xml:space="preserve"> hereof and/or one or more of the clauses contained in the definition of “Permitted Investments,” Bidco shall be entitled to classify or later reclassify (based on circumstances existing on the date of such reclassification) such Restricted Payment or Investment (or portion thereof) between such clauses (i) through (xxiii) of </w:t>
      </w:r>
      <w:r>
        <w:rPr>
          <w:rFonts w:ascii="Times New Roman" w:hAnsi="Times New Roman"/>
          <w:sz w:val="20"/>
          <w:u w:val="single"/>
        </w:rPr>
        <w:t>Section 6.05(b)</w:t>
      </w:r>
      <w:r>
        <w:rPr>
          <w:rFonts w:ascii="Times New Roman" w:hAnsi="Times New Roman"/>
          <w:sz w:val="20"/>
        </w:rPr>
        <w:t xml:space="preserve"> hereof and </w:t>
      </w:r>
      <w:r>
        <w:rPr>
          <w:rFonts w:ascii="Times New Roman" w:hAnsi="Times New Roman"/>
          <w:sz w:val="20"/>
          <w:u w:val="single"/>
        </w:rPr>
        <w:t>Section 6.05(a)</w:t>
      </w:r>
      <w:r>
        <w:rPr>
          <w:rFonts w:ascii="Times New Roman" w:hAnsi="Times New Roman"/>
          <w:sz w:val="20"/>
        </w:rPr>
        <w:t xml:space="preserve"> hereof and/or one or more of the clauses contained in the definition of “Permitted Investments,” in a manner that otherwise complies with this</w:t>
      </w:r>
      <w:r>
        <w:rPr>
          <w:rFonts w:ascii="Times New Roman" w:hAnsi="Times New Roman"/>
          <w:sz w:val="20"/>
          <w:u w:val="single"/>
        </w:rPr>
        <w:t xml:space="preserve"> Section 6.05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Bidco shall not permit any Unrestricted Subsidiary to become a Restricted Subsidiary except pursuant to </w:t>
      </w:r>
      <w:r>
        <w:rPr>
          <w:rFonts w:ascii="Times New Roman" w:hAnsi="Times New Roman"/>
          <w:sz w:val="20"/>
          <w:u w:val="single"/>
        </w:rPr>
        <w:t>Section 5.13</w:t>
      </w:r>
      <w:r>
        <w:rPr>
          <w:rFonts w:ascii="Times New Roman" w:hAnsi="Times New Roman"/>
          <w:sz w:val="20"/>
        </w:rPr>
        <w:t xml:space="preserve">. For purposes of designating any Restricted Subsidiary as an Unrestricted Subsidiary, all outstanding Investments by Bidco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and/or Permitted Investment in such amount would be permitted at such time, whether pursuant to </w:t>
      </w:r>
      <w:r>
        <w:rPr>
          <w:rFonts w:ascii="Times New Roman" w:hAnsi="Times New Roman"/>
          <w:sz w:val="20"/>
          <w:u w:val="single"/>
        </w:rPr>
        <w:t>Section 6.05(a)</w:t>
      </w:r>
      <w:r>
        <w:rPr>
          <w:rFonts w:ascii="Times New Roman" w:hAnsi="Times New Roman"/>
          <w:sz w:val="20"/>
        </w:rPr>
        <w:t xml:space="preserve"> hereof or under clause (x), (xi), (xvii) or (xviii) of </w:t>
      </w:r>
      <w:r>
        <w:rPr>
          <w:rFonts w:ascii="Times New Roman" w:hAnsi="Times New Roman"/>
          <w:sz w:val="20"/>
          <w:u w:val="single"/>
        </w:rPr>
        <w:t>Section 6.05(b)</w:t>
      </w:r>
      <w:r>
        <w:rPr>
          <w:rFonts w:ascii="Times New Roman" w:hAnsi="Times New Roman"/>
          <w:sz w:val="20"/>
        </w:rPr>
        <w:t xml:space="preserve"> hereof, or pursuant to the definition of “Permitted Investments,” and if such Subsidiary otherwise meets the definition of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amount of all Restricted Payments (other than cash) shall be the Fair Market Value on the date of such Restricted Payment of the asset(s) or securities proposed to be paid, transferred or issued by Bidco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Bidco acting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 Unrestricted Subsidiaries may use value transferred from Bidco and its Restricted Subsidiaries in a Permitted Investment to purchase or otherwise acquire Indebtedness or Equity Interests of Bidco, any director or indirect parent of Bidco or any of Bidco’s Restricted Subsidiaries, and to transfer value to the holders of the Equity Interests or any director or indirect parent of Bidco and to Affiliates thereof. </w:t>
      </w:r>
    </w:p>
    <w:p>
      <w:pPr>
        <w:pStyle w:val="TextBody"/>
        <w:bidi w:val="0"/>
        <w:spacing w:before="240" w:after="0"/>
        <w:jc w:val="left"/>
        <w:rPr>
          <w:rFonts w:ascii="Times New Roman" w:hAnsi="Times New Roman"/>
          <w:sz w:val="20"/>
        </w:rPr>
      </w:pPr>
      <w:r>
        <w:rPr>
          <w:rFonts w:ascii="Times New Roman" w:hAnsi="Times New Roman"/>
          <w:sz w:val="20"/>
        </w:rPr>
        <w:t xml:space="preserve">(g) If Bidco or a Restricted Subsidiary makes a Restricted Payment which at the time of the making of such Restricted Payment would in the good faith determination of Bidco be permitted under the provisions of this Agreement, such Restricted Payment shall be deemed to have been made in compliance with this Agreement notwithstanding any subsequent adjustments made in good faith to Bidco’s financial statements affecting Consolidated Net Income or Consolidated EBITDA of Bidco for any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Restrictive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restrictions contained in </w:t>
      </w:r>
      <w:r>
        <w:rPr>
          <w:rFonts w:ascii="Times New Roman" w:hAnsi="Times New Roman"/>
          <w:sz w:val="20"/>
          <w:u w:val="single"/>
        </w:rPr>
        <w:t>Section 6.06(a)</w:t>
      </w:r>
      <w:r>
        <w:rPr>
          <w:rFonts w:ascii="Times New Roman" w:hAnsi="Times New Roman"/>
          <w:sz w:val="20"/>
        </w:rPr>
        <w:t xml:space="preserve"> hereof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contractual encumbrances or restrictions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contractual encumbrances or restrictions included pursuant to (x) the Loan Documents and related Hedging Obligations or (y) the Senior Secured Notes Documents and the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(iii) purchase money obligations for property acquired in the ordinary course of business and Capitalized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(iv) applicable law or any applicable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(v) any agreement or other instrument of a Person acquired by or merged or consolidated with or into Bidco or any of its Restricted Subsidiaries in existence at the time of such acquisition or at the time it merges with or into Bidco or any of its Restricted Subsidiaries or assumed in connection with the acquisition of assets from such Person (but, in any such case, not created in contemplation thereof), which encumbrance or restriction or condition set forth in such agreement is not applicable to any Person, or the properties or assets of any Person, other than the Person and its Subsidiaries, or the property or assets of the Person and its Subsidiaries, so acquired or the property or assets assumed; </w:t>
      </w:r>
    </w:p>
    <w:p>
      <w:pPr>
        <w:pStyle w:val="TextBody"/>
        <w:bidi w:val="0"/>
        <w:spacing w:before="120" w:after="0"/>
        <w:jc w:val="left"/>
        <w:rPr>
          <w:rFonts w:ascii="Times New Roman" w:hAnsi="Times New Roman"/>
          <w:sz w:val="20"/>
        </w:rPr>
      </w:pPr>
      <w:r>
        <w:rPr>
          <w:rFonts w:ascii="Times New Roman" w:hAnsi="Times New Roman"/>
          <w:sz w:val="20"/>
        </w:rPr>
        <w:t xml:space="preserve">(vi) contracts for the sale of assets or the sale of a Subsidiary, including customary restrictions with respect to a Subsidiary of Bidco pursuant to an agreement that has been entered into for the sale or disposition of all or substantially all of the Equity Interests or assets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(vii) (a) Secured Indebtedness otherwise permitted to be incurred pursuant to </w:t>
      </w:r>
      <w:r>
        <w:rPr>
          <w:rFonts w:ascii="Times New Roman" w:hAnsi="Times New Roman"/>
          <w:sz w:val="20"/>
          <w:u w:val="single"/>
        </w:rPr>
        <w:t>Section 6.01</w:t>
      </w:r>
      <w:r>
        <w:rPr>
          <w:rFonts w:ascii="Times New Roman" w:hAnsi="Times New Roman"/>
          <w:sz w:val="20"/>
        </w:rPr>
        <w:t xml:space="preserve"> hereof and </w:t>
      </w:r>
      <w:r>
        <w:rPr>
          <w:rFonts w:ascii="Times New Roman" w:hAnsi="Times New Roman"/>
          <w:sz w:val="20"/>
          <w:u w:val="single"/>
        </w:rPr>
        <w:t>Section 6.02</w:t>
      </w:r>
      <w:r>
        <w:rPr>
          <w:rFonts w:ascii="Times New Roman" w:hAnsi="Times New Roman"/>
          <w:sz w:val="20"/>
        </w:rPr>
        <w:t xml:space="preserve"> hereof that limit the right of the debtor to dispose of the assets securing such Indebtedness, (b) restrictions on transfers of assets subject to Permitted Liens (but, with respect to any such Permitted Lien, only to the extent that such transfer restrictions apply solely to the assets that are the subject of such Permitted Lien) and (c) restrictions and conditions imposed by any documentation governing (1) other Indebtedness (other than intercompany debt owed to Bidco or the Restricted Subsidiaries) that do not materially impair Bidco’s ability to make payments on the Loans, (2) any documentation governing Indebtedness incurred pursuant to </w:t>
      </w:r>
      <w:r>
        <w:rPr>
          <w:rFonts w:ascii="Times New Roman" w:hAnsi="Times New Roman"/>
          <w:sz w:val="20"/>
          <w:u w:val="single"/>
        </w:rPr>
        <w:t>Section 6.01(a)</w:t>
      </w:r>
      <w:r>
        <w:rPr>
          <w:rFonts w:ascii="Times New Roman" w:hAnsi="Times New Roman"/>
          <w:sz w:val="20"/>
        </w:rPr>
        <w:t xml:space="preserve"> and/or </w:t>
      </w:r>
      <w:r>
        <w:rPr>
          <w:rFonts w:ascii="Times New Roman" w:hAnsi="Times New Roman"/>
          <w:sz w:val="20"/>
          <w:u w:val="single"/>
        </w:rPr>
        <w:t>Sections 6.01(b)(xi)</w:t>
      </w:r>
      <w:r>
        <w:rPr>
          <w:rFonts w:ascii="Times New Roman" w:hAnsi="Times New Roman"/>
          <w:sz w:val="20"/>
        </w:rPr>
        <w:t xml:space="preserve">, </w:t>
      </w:r>
      <w:r>
        <w:rPr>
          <w:rFonts w:ascii="Times New Roman" w:hAnsi="Times New Roman"/>
          <w:sz w:val="20"/>
          <w:u w:val="single"/>
        </w:rPr>
        <w:t>(xvi)</w:t>
      </w:r>
      <w:r>
        <w:rPr>
          <w:rFonts w:ascii="Times New Roman" w:hAnsi="Times New Roman"/>
          <w:sz w:val="20"/>
        </w:rPr>
        <w:t xml:space="preserve">, </w:t>
      </w:r>
      <w:r>
        <w:rPr>
          <w:rFonts w:ascii="Times New Roman" w:hAnsi="Times New Roman"/>
          <w:sz w:val="20"/>
          <w:u w:val="single"/>
        </w:rPr>
        <w:t>(xxiv)</w:t>
      </w:r>
      <w:r>
        <w:rPr>
          <w:rFonts w:ascii="Times New Roman" w:hAnsi="Times New Roman"/>
          <w:sz w:val="20"/>
        </w:rPr>
        <w:t xml:space="preserve"> and </w:t>
      </w:r>
      <w:r>
        <w:rPr>
          <w:rFonts w:ascii="Times New Roman" w:hAnsi="Times New Roman"/>
          <w:sz w:val="20"/>
          <w:u w:val="single"/>
        </w:rPr>
        <w:t>(xxvi)</w:t>
      </w:r>
      <w:r>
        <w:rPr>
          <w:rFonts w:ascii="Times New Roman" w:hAnsi="Times New Roman"/>
          <w:sz w:val="20"/>
        </w:rPr>
        <w:t xml:space="preserve"> and (3) any documentation governing any Refinancing Indebtedness incurred to refinance any such Indebtedness referenced in the foregoing clauses (1) and (2); </w:t>
      </w:r>
    </w:p>
    <w:p>
      <w:pPr>
        <w:pStyle w:val="TextBody"/>
        <w:bidi w:val="0"/>
        <w:spacing w:before="120" w:after="0"/>
        <w:jc w:val="left"/>
        <w:rPr>
          <w:rFonts w:ascii="Times New Roman" w:hAnsi="Times New Roman"/>
          <w:sz w:val="20"/>
        </w:rPr>
      </w:pPr>
      <w:r>
        <w:rPr>
          <w:rFonts w:ascii="Times New Roman" w:hAnsi="Times New Roman"/>
          <w:sz w:val="20"/>
        </w:rPr>
        <w:t xml:space="preserve">(viii) restrictions on cash (or Cash Equivalents) or other deposits or restrictions on or net worth imposed by customers, in each case, under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p>
    <w:p>
      <w:pPr>
        <w:pStyle w:val="TextBody"/>
        <w:bidi w:val="0"/>
        <w:spacing w:before="0" w:after="0"/>
        <w:jc w:val="left"/>
        <w:rPr>
          <w:rFonts w:ascii="Times New Roman" w:hAnsi="Times New Roman"/>
          <w:sz w:val="20"/>
        </w:rPr>
      </w:pPr>
      <w:r>
        <w:rPr>
          <w:rFonts w:ascii="Times New Roman" w:hAnsi="Times New Roman"/>
          <w:sz w:val="20"/>
        </w:rPr>
        <w:t xml:space="preserve">(ix) other Indebtedness, Disqualified Equity Interests or Preferred Stock of Foreign Subsidiaries permitted to be incurred subsequent to the Effective Date pursuant to the provisions of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(x) customary provisions in joint venture agreements or arrangements and other similar agreements relating to such joint venture; </w:t>
      </w:r>
    </w:p>
    <w:p>
      <w:pPr>
        <w:pStyle w:val="TextBody"/>
        <w:bidi w:val="0"/>
        <w:spacing w:before="120" w:after="0"/>
        <w:jc w:val="left"/>
        <w:rPr>
          <w:rFonts w:ascii="Times New Roman" w:hAnsi="Times New Roman"/>
          <w:sz w:val="20"/>
        </w:rPr>
      </w:pPr>
      <w:r>
        <w:rPr>
          <w:rFonts w:ascii="Times New Roman" w:hAnsi="Times New Roman"/>
          <w:sz w:val="20"/>
        </w:rPr>
        <w:t xml:space="preserve">(xi) customary provisions contained in leases, sub-leases, licenses, sub-licenses, asset sale agreements or similar agreements, including with respect to of intellectual property and other agreements, in each case, (i) entered into in the ordinary course of business or (ii) otherwise permitted under this Agreement so long as such restrictions relate only to the assets subject thereto; </w:t>
      </w:r>
    </w:p>
    <w:p>
      <w:pPr>
        <w:pStyle w:val="TextBody"/>
        <w:bidi w:val="0"/>
        <w:spacing w:before="120" w:after="0"/>
        <w:jc w:val="left"/>
        <w:rPr>
          <w:rFonts w:ascii="Times New Roman" w:hAnsi="Times New Roman"/>
          <w:sz w:val="20"/>
        </w:rPr>
      </w:pPr>
      <w:r>
        <w:rPr>
          <w:rFonts w:ascii="Times New Roman" w:hAnsi="Times New Roman"/>
          <w:sz w:val="20"/>
        </w:rPr>
        <w:t xml:space="preserve">(xii) restrictions created in connection with any Receivables Facility that, in the good faith determination of Bidco, are necessary or advisable to effect such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(xiii) restrictions on cash (or Cash Equivalents) or other deposits imposed by agreements entered into in the ordinary course of business (or other restrictions on cash or deposits constituting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(xiv) customary provisions restricting subletting or assignment of any lease governing a leasehold interest of direct or indirect parent companies of Bidco, Bidco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(xv) customary net worth provisions contained in real property leases entered into by Subsidiaries, so long as Bidco has determined in good faith that such net worth provisions could not reasonably be expected to impair the ability of Bidco and its Subsidiaries to meet their ongoing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(xvi) restrictions or conditions contained in any trading, netting, operating, construction, service, supply, purchase, sale or other agreement to which Bidco or any of its Restricted Subsidiaries is a party entered into in the ordinary course of business; </w:t>
      </w:r>
      <w:r>
        <w:rPr>
          <w:rFonts w:ascii="Times New Roman" w:hAnsi="Times New Roman"/>
          <w:sz w:val="20"/>
          <w:u w:val="single"/>
        </w:rPr>
        <w:t>provided</w:t>
      </w:r>
      <w:r>
        <w:rPr>
          <w:rFonts w:ascii="Times New Roman" w:hAnsi="Times New Roman"/>
          <w:sz w:val="20"/>
        </w:rPr>
        <w:t xml:space="preserve"> that such agreement prohibits the encumbrance of solely the property or assets of Bidco or such Restricted Subsidiary that are the subject of such agreement, the payment rights arising thereunder or the proceeds thereof and does not extend to any other asset or property of Bidco or such Restricted Subsidiary or the assets or property of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(xvii) any encumbrance or restriction arising pursuant to an agreement or instrument which, if it relates to any Indebtedness, shall only be permitted if such Indebtedness is permitted to be incurred pursuant to </w:t>
      </w:r>
      <w:r>
        <w:rPr>
          <w:rFonts w:ascii="Times New Roman" w:hAnsi="Times New Roman"/>
          <w:sz w:val="20"/>
          <w:u w:val="single"/>
        </w:rPr>
        <w:t>Section 6.01</w:t>
      </w:r>
      <w:r>
        <w:rPr>
          <w:rFonts w:ascii="Times New Roman" w:hAnsi="Times New Roman"/>
          <w:sz w:val="20"/>
        </w:rPr>
        <w:t xml:space="preserve"> if the encumbrances and restrictions contained in any such agreement or instrument taken as a whole (i) are not materially less favorable to the Permitted Holders than the encumbrances and restrictions contained in this Agreement, together with the security documents associated therewith as in effect on the Effective Date (as determined by Bidco) or (ii) either (A) Bidco determines at the time of entry into such agreement or instrument that such encumbrances or restrictions shall not adversely affect, in any material respect, Bidco’s ability to make principal or interest payments on the Loans or (B) such encumbrance or restriction applies only during the continuance of a default relating to such agreement or instrument; </w:t>
      </w:r>
    </w:p>
    <w:p>
      <w:pPr>
        <w:pStyle w:val="TextBody"/>
        <w:bidi w:val="0"/>
        <w:spacing w:before="120" w:after="0"/>
        <w:jc w:val="left"/>
        <w:rPr>
          <w:rFonts w:ascii="Times New Roman" w:hAnsi="Times New Roman"/>
          <w:sz w:val="20"/>
        </w:rPr>
      </w:pPr>
      <w:r>
        <w:rPr>
          <w:rFonts w:ascii="Times New Roman" w:hAnsi="Times New Roman"/>
          <w:sz w:val="20"/>
        </w:rPr>
        <w:t xml:space="preserve">(xviii) any encumbrance or restriction with respect to a Guarantor or a Foreign Subsidiary or Receivables Subsidiary which was previously an Unrestricted Subsidiary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p>
    <w:p>
      <w:pPr>
        <w:pStyle w:val="TextBody"/>
        <w:bidi w:val="0"/>
        <w:spacing w:before="0" w:after="0"/>
        <w:jc w:val="left"/>
        <w:rPr>
          <w:rFonts w:ascii="Times New Roman" w:hAnsi="Times New Roman"/>
          <w:sz w:val="20"/>
        </w:rPr>
      </w:pPr>
      <w:r>
        <w:rPr>
          <w:rFonts w:ascii="Times New Roman" w:hAnsi="Times New Roman"/>
          <w:sz w:val="20"/>
        </w:rPr>
        <w:t xml:space="preserve">to or by reason of an agreement that such Subsidiary is a party to or entered into before the date on which such Subsidiary became a Restricted Subsidiary; </w:t>
      </w:r>
      <w:r>
        <w:rPr>
          <w:rFonts w:ascii="Times New Roman" w:hAnsi="Times New Roman"/>
          <w:sz w:val="20"/>
          <w:u w:val="single"/>
        </w:rPr>
        <w:t>provided</w:t>
      </w:r>
      <w:r>
        <w:rPr>
          <w:rFonts w:ascii="Times New Roman" w:hAnsi="Times New Roman"/>
          <w:sz w:val="20"/>
        </w:rPr>
        <w:t xml:space="preserve"> that such agreement was not entered into in anticipation of an Unrestricted Subsidiary becoming a Restricted Subsidiary and any such encumbrance or restriction does not extend to any assets or property of Bidco or any other Restricted Subsidiary other than the assets and property of such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(xix) any encumbrances or restrictions imposed by any amendments, extensions, modifications, restatements, renewals, increases, supplements, refundings, replacements or refinancings of the contracts, instruments or obligations referred to in clauses (i) through (xviii) of this </w:t>
      </w:r>
      <w:r>
        <w:rPr>
          <w:rFonts w:ascii="Times New Roman" w:hAnsi="Times New Roman"/>
          <w:sz w:val="20"/>
          <w:u w:val="single"/>
        </w:rPr>
        <w:t>Section 6.06(b)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amendments, extensions, modifications, restatements, renewals, increases, supplements, refundings, replacements or refinancings are, in the good faith judgment of Bidco,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before="36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Financial Performance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Solely with respect to the Revolving Facility, if on the last day of any Test Period (commencing with the Test Period ending March 31, 2020), the sum of (i) the aggregate principal amount of Revolving Loans then outstanding (other than (x) for the first four full fiscal quarters following the Effective Date, Revolving Loans borrowed to finance the Transactions (including Transaction Costs) and (y) any Revolving Loans borrowed to fund any upfront fees or original issue discount imposed pursuant to the “interest rate flex” provisions of the Fee Letter), </w:t>
      </w:r>
      <w:r>
        <w:rPr>
          <w:rFonts w:ascii="Times New Roman" w:hAnsi="Times New Roman"/>
          <w:sz w:val="20"/>
          <w:u w:val="single"/>
        </w:rPr>
        <w:t>plus</w:t>
      </w:r>
      <w:r>
        <w:rPr>
          <w:rFonts w:ascii="Times New Roman" w:hAnsi="Times New Roman"/>
          <w:sz w:val="20"/>
        </w:rPr>
        <w:t xml:space="preserve"> (ii) the aggregate principal amount of Swingline Loans then outstanding </w:t>
      </w:r>
      <w:r>
        <w:rPr>
          <w:rFonts w:ascii="Times New Roman" w:hAnsi="Times New Roman"/>
          <w:sz w:val="20"/>
          <w:u w:val="single"/>
        </w:rPr>
        <w:t>plus</w:t>
      </w:r>
      <w:r>
        <w:rPr>
          <w:rFonts w:ascii="Times New Roman" w:hAnsi="Times New Roman"/>
          <w:sz w:val="20"/>
        </w:rPr>
        <w:t xml:space="preserve"> (iii) the aggregate amount of LC Disbursements that have not been reimbursed within two (2) Business Days by or on behalf of the Borrowers at such time, exceeds the greater of (x) $280,000,000 and (y) 40% of the aggregate principal amount of Revolving Commitments then in effect (after including any Incremental Revolving Commitment Increase then in effect), Bidco and its Restricted Subsidiaries will not permit the Senior Secured First Lien Net Leverage Ratio to exceed 9.00 to 1.00 on the last day of such Test Period. </w:t>
      </w:r>
    </w:p>
    <w:p>
      <w:pPr>
        <w:pStyle w:val="TextBody"/>
        <w:bidi w:val="0"/>
        <w:spacing w:before="480" w:after="0"/>
        <w:jc w:val="center"/>
        <w:rPr>
          <w:rFonts w:ascii="Times New Roman" w:hAnsi="Times New Roman"/>
          <w:sz w:val="20"/>
        </w:rPr>
      </w:pPr>
      <w:r>
        <w:rPr>
          <w:rFonts w:ascii="Times New Roman" w:hAnsi="Times New Roman"/>
          <w:sz w:val="20"/>
        </w:rPr>
        <w:t>ARTICLE VII</w:t>
      </w:r>
      <w:r>
        <w:rPr>
          <w:rFonts w:ascii="Times New Roman" w:hAnsi="Times New Roman"/>
          <w:sz w:val="20"/>
          <w:u w:val="single"/>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any of the following events (any such event,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240" w:after="0"/>
        <w:jc w:val="left"/>
        <w:rPr>
          <w:rFonts w:ascii="Times New Roman" w:hAnsi="Times New Roman"/>
          <w:sz w:val="20"/>
        </w:rPr>
      </w:pPr>
      <w:r>
        <w:rPr>
          <w:rFonts w:ascii="Times New Roman" w:hAnsi="Times New Roman"/>
          <w:sz w:val="20"/>
        </w:rPr>
        <w:t xml:space="preserve">(a) any Loan Party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Loan Party shall fail to pay any interest on any Loan or any fee or any other amount (other than an amount referred to in paragraph (a) of this </w:t>
      </w:r>
      <w:r>
        <w:rPr>
          <w:rFonts w:ascii="Times New Roman" w:hAnsi="Times New Roman"/>
          <w:sz w:val="20"/>
          <w:u w:val="single"/>
        </w:rPr>
        <w:t>Section 7.01</w:t>
      </w:r>
      <w:r>
        <w:rPr>
          <w:rFonts w:ascii="Times New Roman" w:hAnsi="Times New Roman"/>
          <w:sz w:val="20"/>
        </w:rPr>
        <w:t xml:space="preserve">) payable under any Loan Document, when and as the same shall become due and payable, and such failure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or on behalf of Holdings, any Intermediate Parent, Bidco or any of the Restricted Subsidiaries in connection with any Loan Document or any amendment or modification thereof or waiver thereunder, or in any report, certificate, financial statement or other document furnished pursuant to or in connection with any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p>
    <w:p>
      <w:pPr>
        <w:pStyle w:val="TextBody"/>
        <w:bidi w:val="0"/>
        <w:spacing w:before="0" w:after="0"/>
        <w:jc w:val="left"/>
        <w:rPr>
          <w:rFonts w:ascii="Times New Roman" w:hAnsi="Times New Roman"/>
          <w:sz w:val="20"/>
        </w:rPr>
      </w:pPr>
      <w:r>
        <w:rPr>
          <w:rFonts w:ascii="Times New Roman" w:hAnsi="Times New Roman"/>
          <w:sz w:val="20"/>
        </w:rPr>
        <w:t xml:space="preserve">Document or any amendment or modification thereof or waiver thereunder, shall prove to have been incorrect in any material respect when made or deemed made, and such incorrect representation or warranty (if curable) shall remain incorrect for a period of 30 days after written notice thereof from the Administrative Agent to Bidco and the Borrowers; </w:t>
      </w:r>
      <w:r>
        <w:rPr>
          <w:rFonts w:ascii="Times New Roman" w:hAnsi="Times New Roman"/>
          <w:sz w:val="20"/>
          <w:u w:val="single"/>
        </w:rPr>
        <w:t>provided</w:t>
      </w:r>
      <w:r>
        <w:rPr>
          <w:rFonts w:ascii="Times New Roman" w:hAnsi="Times New Roman"/>
          <w:sz w:val="20"/>
        </w:rPr>
        <w:t xml:space="preserve"> that this clause (c) shall be limited on the Effective Date to the Major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(d) (i) Holdings, Bidco or any of the Restricted Subsidiaries shall fail to observe or perform any covenant, condition or agreement contained in </w:t>
      </w:r>
      <w:r>
        <w:rPr>
          <w:rFonts w:ascii="Times New Roman" w:hAnsi="Times New Roman"/>
          <w:sz w:val="20"/>
          <w:u w:val="single"/>
        </w:rPr>
        <w:t>Sections 5.02</w:t>
      </w:r>
      <w:r>
        <w:rPr>
          <w:rFonts w:ascii="Times New Roman" w:hAnsi="Times New Roman"/>
          <w:sz w:val="20"/>
        </w:rPr>
        <w:t xml:space="preserve">, </w:t>
      </w:r>
      <w:r>
        <w:rPr>
          <w:rFonts w:ascii="Times New Roman" w:hAnsi="Times New Roman"/>
          <w:sz w:val="20"/>
          <w:u w:val="single"/>
        </w:rPr>
        <w:t>5.04</w:t>
      </w:r>
      <w:r>
        <w:rPr>
          <w:rFonts w:ascii="Times New Roman" w:hAnsi="Times New Roman"/>
          <w:sz w:val="20"/>
        </w:rPr>
        <w:t xml:space="preserve"> (with respect to the existence of Holdings, any Intermediate Parent, Bidco or such Restricted Subsidiaries), </w:t>
      </w:r>
      <w:r>
        <w:rPr>
          <w:rFonts w:ascii="Times New Roman" w:hAnsi="Times New Roman"/>
          <w:sz w:val="20"/>
          <w:u w:val="single"/>
        </w:rPr>
        <w:t>5.10</w:t>
      </w:r>
      <w:r>
        <w:rPr>
          <w:rFonts w:ascii="Times New Roman" w:hAnsi="Times New Roman"/>
          <w:sz w:val="20"/>
        </w:rPr>
        <w:t xml:space="preserve">, </w:t>
      </w:r>
      <w:r>
        <w:rPr>
          <w:rFonts w:ascii="Times New Roman" w:hAnsi="Times New Roman"/>
          <w:sz w:val="20"/>
          <w:u w:val="single"/>
        </w:rPr>
        <w:t>5.14</w:t>
      </w:r>
      <w:r>
        <w:rPr>
          <w:rFonts w:ascii="Times New Roman" w:hAnsi="Times New Roman"/>
          <w:sz w:val="20"/>
        </w:rPr>
        <w:t xml:space="preserve"> or in </w:t>
      </w:r>
      <w:r>
        <w:rPr>
          <w:rFonts w:ascii="Times New Roman" w:hAnsi="Times New Roman"/>
          <w:sz w:val="20"/>
          <w:u w:val="single"/>
        </w:rPr>
        <w:t>Article VI</w:t>
      </w:r>
      <w:r>
        <w:rPr>
          <w:rFonts w:ascii="Times New Roman" w:hAnsi="Times New Roman"/>
          <w:sz w:val="20"/>
        </w:rPr>
        <w:t xml:space="preserve"> (other than the Financial Performance Covenant); or </w:t>
      </w:r>
    </w:p>
    <w:p>
      <w:pPr>
        <w:pStyle w:val="TextBody"/>
        <w:bidi w:val="0"/>
        <w:spacing w:before="120" w:after="0"/>
        <w:jc w:val="left"/>
        <w:rPr>
          <w:rFonts w:ascii="Times New Roman" w:hAnsi="Times New Roman"/>
          <w:sz w:val="20"/>
        </w:rPr>
      </w:pPr>
      <w:r>
        <w:rPr>
          <w:rFonts w:ascii="Times New Roman" w:hAnsi="Times New Roman"/>
          <w:sz w:val="20"/>
        </w:rPr>
        <w:t xml:space="preserve">(ii) Bidco or any of the Restricted Subsidiaries shall fail to observe or perform the Financial Performance Covenant; </w:t>
      </w:r>
      <w:r>
        <w:rPr>
          <w:rFonts w:ascii="Times New Roman" w:hAnsi="Times New Roman"/>
          <w:sz w:val="20"/>
          <w:u w:val="single"/>
        </w:rPr>
        <w:t>provided</w:t>
      </w:r>
      <w:r>
        <w:rPr>
          <w:rFonts w:ascii="Times New Roman" w:hAnsi="Times New Roman"/>
          <w:sz w:val="20"/>
        </w:rPr>
        <w:t xml:space="preserve"> that (a) any Event of Default under </w:t>
      </w:r>
      <w:r>
        <w:rPr>
          <w:rFonts w:ascii="Times New Roman" w:hAnsi="Times New Roman"/>
          <w:sz w:val="20"/>
          <w:u w:val="single"/>
        </w:rPr>
        <w:t>Section 6.07</w:t>
      </w:r>
      <w:r>
        <w:rPr>
          <w:rFonts w:ascii="Times New Roman" w:hAnsi="Times New Roman"/>
          <w:sz w:val="20"/>
        </w:rPr>
        <w:t xml:space="preserve"> is subject to cure as provided in </w:t>
      </w:r>
      <w:r>
        <w:rPr>
          <w:rFonts w:ascii="Times New Roman" w:hAnsi="Times New Roman"/>
          <w:sz w:val="20"/>
          <w:u w:val="single"/>
        </w:rPr>
        <w:t>Section 7.02</w:t>
      </w:r>
      <w:r>
        <w:rPr>
          <w:rFonts w:ascii="Times New Roman" w:hAnsi="Times New Roman"/>
          <w:sz w:val="20"/>
        </w:rPr>
        <w:t xml:space="preserve"> and an Event of Default with respect to such Section shall not occur until the expiration of the tenth (10th) Business Day subsequent to the date on which the financial statements with respect to the applicable fiscal quarter (or the fiscal year ended on the last day of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and (b) a Default under </w:t>
      </w:r>
      <w:r>
        <w:rPr>
          <w:rFonts w:ascii="Times New Roman" w:hAnsi="Times New Roman"/>
          <w:sz w:val="20"/>
          <w:u w:val="single"/>
        </w:rPr>
        <w:t>Section 6.07</w:t>
      </w:r>
      <w:r>
        <w:rPr>
          <w:rFonts w:ascii="Times New Roman" w:hAnsi="Times New Roman"/>
          <w:sz w:val="20"/>
        </w:rPr>
        <w:t xml:space="preserve"> shall not constitute an Event of Default with respect to the Term Loans unless and until the Revolving Lenders have actually declared all such obligations to be immediately due and payable or terminated the Revolving Commitments in accordance with this Agreement and such declaration has not been rescinded by the Required Revolving Lenders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(e) Holdings, Bidco or any of the Restricted Subsidiaries shall fail to observe or perform any covenant, condition or agreement contained in any Loan Document (other than those specified in paragraph (a), (b) or (d) of this </w:t>
      </w:r>
      <w:r>
        <w:rPr>
          <w:rFonts w:ascii="Times New Roman" w:hAnsi="Times New Roman"/>
          <w:sz w:val="20"/>
          <w:u w:val="single"/>
        </w:rPr>
        <w:t>Section 7.01</w:t>
      </w:r>
      <w:r>
        <w:rPr>
          <w:rFonts w:ascii="Times New Roman" w:hAnsi="Times New Roman"/>
          <w:sz w:val="20"/>
        </w:rPr>
        <w:t xml:space="preserve">), and such failure shall continue unremedied for a period of thirty (30) days after written notice thereof from the Administrative Agent to Bidco and the Borrowers; </w:t>
      </w:r>
      <w:r>
        <w:rPr>
          <w:rFonts w:ascii="Times New Roman" w:hAnsi="Times New Roman"/>
          <w:sz w:val="20"/>
          <w:u w:val="single"/>
        </w:rPr>
        <w:t>provided</w:t>
      </w:r>
      <w:r>
        <w:rPr>
          <w:rFonts w:ascii="Times New Roman" w:hAnsi="Times New Roman"/>
          <w:sz w:val="20"/>
        </w:rPr>
        <w:t xml:space="preserve"> that any Default or Event of Default which may occur as a result of the failure to timely meet any delivery requirements under the Loan Documents shall cease to exist upon any delivery otherwise in compliance with such requirement. </w:t>
      </w:r>
    </w:p>
    <w:p>
      <w:pPr>
        <w:pStyle w:val="TextBody"/>
        <w:bidi w:val="0"/>
        <w:spacing w:before="240" w:after="0"/>
        <w:jc w:val="left"/>
        <w:rPr>
          <w:rFonts w:ascii="Times New Roman" w:hAnsi="Times New Roman"/>
          <w:sz w:val="20"/>
        </w:rPr>
      </w:pPr>
      <w:r>
        <w:rPr>
          <w:rFonts w:ascii="Times New Roman" w:hAnsi="Times New Roman"/>
          <w:sz w:val="20"/>
        </w:rPr>
        <w:t xml:space="preserve">(f) Holdings, Bidco or any of the Restricted Subsidiaries shall fail to make any payment (whether of principal or interest and regardless of amount) in respect of any Material Indebtedness, when and as the same shall become due and payable (after giving effect to any applicable grace period); </w:t>
      </w:r>
    </w:p>
    <w:p>
      <w:pPr>
        <w:pStyle w:val="TextBody"/>
        <w:bidi w:val="0"/>
        <w:spacing w:before="240" w:after="0"/>
        <w:jc w:val="left"/>
        <w:rPr>
          <w:rFonts w:ascii="Times New Roman" w:hAnsi="Times New Roman"/>
          <w:sz w:val="20"/>
        </w:rPr>
      </w:pPr>
      <w:r>
        <w:rPr>
          <w:rFonts w:ascii="Times New Roman" w:hAnsi="Times New Roman"/>
          <w:sz w:val="20"/>
        </w:rPr>
        <w:t xml:space="preserve">(g)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w:t>
      </w:r>
      <w:r>
        <w:rPr>
          <w:rFonts w:ascii="Times New Roman" w:hAnsi="Times New Roman"/>
          <w:sz w:val="20"/>
          <w:u w:val="single"/>
        </w:rPr>
        <w:t>Section 7.01</w:t>
      </w:r>
      <w:r>
        <w:rPr>
          <w:rFonts w:ascii="Times New Roman" w:hAnsi="Times New Roman"/>
          <w:sz w:val="20"/>
        </w:rPr>
        <w:t xml:space="preserve"> will apply to any failure to make any payment required as a result of any such termination or similar event);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p>
    <w:p>
      <w:pPr>
        <w:pStyle w:val="TextBody"/>
        <w:bidi w:val="0"/>
        <w:spacing w:before="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court protection, reorganization or other relief in respect of Holdings, any Intermediate Parent, Bidco, any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any Intermediate Parent, Bidco, any Borrower or any Material Subsidiary or for a material part of its assets, and, in any such case, such proceeding or petition shall continue undismissed and unstayed for 60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(i) Holdings, any Intermediate Parent, Bidco, any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w:t>
      </w:r>
      <w:r>
        <w:rPr>
          <w:rFonts w:ascii="Times New Roman" w:hAnsi="Times New Roman"/>
          <w:sz w:val="20"/>
          <w:u w:val="single"/>
        </w:rPr>
        <w:t>Section 7.01</w:t>
      </w:r>
      <w:r>
        <w:rPr>
          <w:rFonts w:ascii="Times New Roman" w:hAnsi="Times New Roman"/>
          <w:sz w:val="20"/>
        </w:rPr>
        <w:t xml:space="preserve">, (iii) apply for or consent to the appointment of a receiver, trustee, examiner, custodian, sequestrator, conservator or similar official for Holdings, any Intermediate Parent, Bidco, any Borrower or any Material Subsidiary or for a material part of its assets, (iv) file an answer admitting the material allegations of a petition filed against it in any such proceeding or (v) make a general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(j) one or more enforceable judgments for the payment of money in an aggregate amount in excess of $500,000,000 (to the extent not covered by insurance as to which the insurer has been notified of such judgment or order and has not denied coverage) shall be rendered against Holdings, any Intermediate Parent, Bidco and any of the Restricted Subsidiaries or any combination thereof and the same shall remain undischarged for a period of 90 consecutive days during which execution shall not be effectively stayed, or any judgment creditor shall legally attach or levy upon assets of such Loan Party that are material to the businesses and operations of Holdings, any Intermediate Parent, Bidco and the Restricted Subsidiaries, taken as a whole, to enforce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(k) an ERISA Event occurs that has resulted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financing statements or (iii) as a result of acts or omissions of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(m) any material provision of any Loan Document or any Guarantee of the Loan Document Obligations shall for any reason be asserted in writing by any Loan Party not to be a legal, valid and binding obligation of any Loan Party thereto other than as expressly permitted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p>
    <w:p>
      <w:pPr>
        <w:pStyle w:val="TextBody"/>
        <w:bidi w:val="0"/>
        <w:spacing w:before="0" w:after="0"/>
        <w:jc w:val="left"/>
        <w:rPr>
          <w:rFonts w:ascii="Times New Roman" w:hAnsi="Times New Roman"/>
          <w:sz w:val="20"/>
        </w:rPr>
      </w:pPr>
      <w:r>
        <w:rPr>
          <w:rFonts w:ascii="Times New Roman" w:hAnsi="Times New Roman"/>
          <w:sz w:val="20"/>
        </w:rPr>
        <w:t xml:space="preserve">(n) any Guarantees of the Loan Document Obligations by any Loan Party pursuant to the Guarantee Agreement shall cease to be in full force and effect (in each case, other than in accordance with the terms of the Loan Documents); or </w:t>
      </w:r>
    </w:p>
    <w:p>
      <w:pPr>
        <w:pStyle w:val="TextBody"/>
        <w:bidi w:val="0"/>
        <w:spacing w:before="240" w:after="0"/>
        <w:jc w:val="left"/>
        <w:rPr>
          <w:rFonts w:ascii="Times New Roman" w:hAnsi="Times New Roman"/>
          <w:sz w:val="20"/>
        </w:rPr>
      </w:pPr>
      <w:r>
        <w:rPr>
          <w:rFonts w:ascii="Times New Roman" w:hAnsi="Times New Roman"/>
          <w:sz w:val="20"/>
        </w:rPr>
        <w:t xml:space="preserve">(o) a Change of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Holdings, any Intermediate Parent, Bidco or a Borrower described in paragraph (h) or (i) of this </w:t>
      </w:r>
      <w:r>
        <w:rPr>
          <w:rFonts w:ascii="Times New Roman" w:hAnsi="Times New Roman"/>
          <w:sz w:val="20"/>
          <w:u w:val="single"/>
        </w:rPr>
        <w:t>Section 7.01</w:t>
      </w:r>
      <w:r>
        <w:rPr>
          <w:rFonts w:ascii="Times New Roman" w:hAnsi="Times New Roman"/>
          <w:sz w:val="20"/>
        </w:rPr>
        <w:t xml:space="preserve">), and during the continuance of such event (with respect to clauses (b) (with respect to expenses only), (c), (d), (e), (f), (g), (j), (k) and (o) of this </w:t>
      </w:r>
      <w:r>
        <w:rPr>
          <w:rFonts w:ascii="Times New Roman" w:hAnsi="Times New Roman"/>
          <w:sz w:val="20"/>
          <w:u w:val="single"/>
        </w:rPr>
        <w:t>Section 7.01</w:t>
      </w:r>
      <w:r>
        <w:rPr>
          <w:rFonts w:ascii="Times New Roman" w:hAnsi="Times New Roman"/>
          <w:sz w:val="20"/>
        </w:rPr>
        <w:t xml:space="preserve">, at any time up to two years following the first public notice or notice of the Administrative Agent and Lenders of such event), the Administrative Agent may, and at the request of the Required Lenders (or, in the case of an Event of Default under </w:t>
      </w:r>
      <w:r>
        <w:rPr>
          <w:rFonts w:ascii="Times New Roman" w:hAnsi="Times New Roman"/>
          <w:sz w:val="20"/>
          <w:u w:val="single"/>
        </w:rPr>
        <w:t>Section 7.01(d)(ii)</w:t>
      </w:r>
      <w:r>
        <w:rPr>
          <w:rFonts w:ascii="Times New Roman" w:hAnsi="Times New Roman"/>
          <w:sz w:val="20"/>
        </w:rPr>
        <w:t xml:space="preserve"> after giving effect to the proviso, the Required Revolving Lenders (with respect to the Revolving Commitments and the Revolving Loans)) shall, by notice to Bidco and the Borrowers,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Borrowers deposit cash collateral with the Administrative Agent as contemplated by </w:t>
      </w:r>
      <w:r>
        <w:rPr>
          <w:rFonts w:ascii="Times New Roman" w:hAnsi="Times New Roman"/>
          <w:sz w:val="20"/>
          <w:u w:val="single"/>
        </w:rPr>
        <w:t>Section 2.04(j)</w:t>
      </w:r>
      <w:r>
        <w:rPr>
          <w:rFonts w:ascii="Times New Roman" w:hAnsi="Times New Roman"/>
          <w:sz w:val="20"/>
        </w:rPr>
        <w:t xml:space="preserve"> in the aggregate LC Exposure of all outstanding Letters of Credit and thereupon the principal of the Loans and the LC Exposure of all Letters of Credit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Holdings, Bidco or a Borrower described in paragraph (h) or (i) of this </w:t>
      </w:r>
      <w:r>
        <w:rPr>
          <w:rFonts w:ascii="Times New Roman" w:hAnsi="Times New Roman"/>
          <w:sz w:val="20"/>
          <w:u w:val="single"/>
        </w:rPr>
        <w:t>Section 7.01</w:t>
      </w:r>
      <w:r>
        <w:rPr>
          <w:rFonts w:ascii="Times New Roman" w:hAnsi="Times New Roman"/>
          <w:sz w:val="20"/>
        </w:rPr>
        <w:t xml:space="preserv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Any time period to cure any actual or alleged Default or Event of Default may be extended or stayed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any “going concern” or like qualification or exception in connection with (x) an upcoming maturity date of any Indebtedness, (y) any actual failure to satisfy a financial maintenance covenant or any potential inability to satisfy a financial maintenance covenant on a future date or in a future period or (z) any projected Default or Event of Default or a civil investigative demand, subpoena or similar request arising from any investigation by any Governmental Authority or any claim, litigation, investigation or proceeding arising from or relating to any of the foregoing, in each case in connection with financial statements delivered pursuant to </w:t>
      </w:r>
      <w:r>
        <w:rPr>
          <w:rFonts w:ascii="Times New Roman" w:hAnsi="Times New Roman"/>
          <w:sz w:val="20"/>
          <w:u w:val="single"/>
        </w:rPr>
        <w:t>Section 5.01(a)</w:t>
      </w:r>
      <w:r>
        <w:rPr>
          <w:rFonts w:ascii="Times New Roman" w:hAnsi="Times New Roman"/>
          <w:sz w:val="20"/>
        </w:rPr>
        <w:t xml:space="preserve"> shall not be a Default or Event of Default and (ii) any Default or Event of Default which may have occurred shall cease to exist upon compliance with such requirement, including with respect to an Event of Default pursuant to (x) </w:t>
      </w:r>
      <w:r>
        <w:rPr>
          <w:rFonts w:ascii="Times New Roman" w:hAnsi="Times New Roman"/>
          <w:sz w:val="20"/>
          <w:u w:val="single"/>
        </w:rPr>
        <w:t>Section 7.01(a)</w:t>
      </w:r>
      <w:r>
        <w:rPr>
          <w:rFonts w:ascii="Times New Roman" w:hAnsi="Times New Roman"/>
          <w:sz w:val="20"/>
        </w:rPr>
        <w:t xml:space="preserve"> or </w:t>
      </w:r>
      <w:r>
        <w:rPr>
          <w:rFonts w:ascii="Times New Roman" w:hAnsi="Times New Roman"/>
          <w:sz w:val="20"/>
          <w:u w:val="single"/>
        </w:rPr>
        <w:t>Section 7.01(b)</w:t>
      </w:r>
      <w:r>
        <w:rPr>
          <w:rFonts w:ascii="Times New Roman" w:hAnsi="Times New Roman"/>
          <w:sz w:val="20"/>
        </w:rPr>
        <w:t xml:space="preserve">, upon payment of any overdue amounts and (y) the failure to timely meet any delivery requirements under the Loan Documents, upon any delivery otherwise in compliance with such requirement and (iii) the failure of any representation or warranty (other than the Major Representations) to be true and correct on the Effective Date will not constitute a Default or Event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any Loan Document, during the Certain Funds Period none of the Lenders shall: </w:t>
      </w:r>
    </w:p>
    <w:p>
      <w:pPr>
        <w:pStyle w:val="TextBody"/>
        <w:bidi w:val="0"/>
        <w:spacing w:before="240" w:after="0"/>
        <w:jc w:val="left"/>
        <w:rPr>
          <w:rFonts w:ascii="Times New Roman" w:hAnsi="Times New Roman"/>
          <w:sz w:val="20"/>
        </w:rPr>
      </w:pPr>
      <w:r>
        <w:rPr>
          <w:rFonts w:ascii="Times New Roman" w:hAnsi="Times New Roman"/>
          <w:sz w:val="20"/>
        </w:rPr>
        <w:t xml:space="preserve">(a) refuse to participate in or make available any Certain Funds Utilization, provided that the conditions in paragraphs (a) through (l) of </w:t>
      </w:r>
      <w:r>
        <w:rPr>
          <w:rFonts w:ascii="Times New Roman" w:hAnsi="Times New Roman"/>
          <w:sz w:val="20"/>
          <w:u w:val="single"/>
        </w:rPr>
        <w:t>Section 4.01</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p>
    <w:p>
      <w:pPr>
        <w:pStyle w:val="TextBody"/>
        <w:bidi w:val="0"/>
        <w:spacing w:before="0" w:after="0"/>
        <w:jc w:val="left"/>
        <w:rPr>
          <w:rFonts w:ascii="Times New Roman" w:hAnsi="Times New Roman"/>
          <w:sz w:val="20"/>
        </w:rPr>
      </w:pPr>
      <w:r>
        <w:rPr>
          <w:rFonts w:ascii="Times New Roman" w:hAnsi="Times New Roman"/>
          <w:sz w:val="20"/>
        </w:rPr>
        <w:t xml:space="preserve">(b) be entitled to take any action to rescind, terminate or cancel this Agreement (or any provision hereof or obligation hereunder) or any utilization of any Loan or Commitment; </w:t>
      </w:r>
    </w:p>
    <w:p>
      <w:pPr>
        <w:pStyle w:val="TextBody"/>
        <w:bidi w:val="0"/>
        <w:spacing w:before="240" w:after="0"/>
        <w:jc w:val="left"/>
        <w:rPr>
          <w:rFonts w:ascii="Times New Roman" w:hAnsi="Times New Roman"/>
          <w:sz w:val="20"/>
        </w:rPr>
      </w:pPr>
      <w:r>
        <w:rPr>
          <w:rFonts w:ascii="Times New Roman" w:hAnsi="Times New Roman"/>
          <w:sz w:val="20"/>
        </w:rPr>
        <w:t xml:space="preserve">(c) exercise any right of set-off or counterclaim in respect of any utilization of any Loan or Commitment; </w:t>
      </w:r>
    </w:p>
    <w:p>
      <w:pPr>
        <w:pStyle w:val="TextBody"/>
        <w:bidi w:val="0"/>
        <w:spacing w:before="240" w:after="0"/>
        <w:jc w:val="left"/>
        <w:rPr>
          <w:rFonts w:ascii="Times New Roman" w:hAnsi="Times New Roman"/>
          <w:sz w:val="20"/>
        </w:rPr>
      </w:pPr>
      <w:r>
        <w:rPr>
          <w:rFonts w:ascii="Times New Roman" w:hAnsi="Times New Roman"/>
          <w:sz w:val="20"/>
        </w:rPr>
        <w:t xml:space="preserve">(d) accelerate any utilization of any Loan or otherwise demand or require repayment or prepayment of any sum from any Loan Party; or </w:t>
      </w:r>
    </w:p>
    <w:p>
      <w:pPr>
        <w:pStyle w:val="TextBody"/>
        <w:bidi w:val="0"/>
        <w:spacing w:before="240" w:after="0"/>
        <w:jc w:val="left"/>
        <w:rPr>
          <w:rFonts w:ascii="Times New Roman" w:hAnsi="Times New Roman"/>
          <w:sz w:val="20"/>
        </w:rPr>
      </w:pPr>
      <w:r>
        <w:rPr>
          <w:rFonts w:ascii="Times New Roman" w:hAnsi="Times New Roman"/>
          <w:sz w:val="20"/>
        </w:rPr>
        <w:t xml:space="preserve">(e) enforce (or instruct the Administrative Agent and/or Collateral Agent to enforce) any Collateral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unless at any time the conditions in paragraph (i) of </w:t>
      </w:r>
      <w:r>
        <w:rPr>
          <w:rFonts w:ascii="Times New Roman" w:hAnsi="Times New Roman"/>
          <w:sz w:val="20"/>
          <w:u w:val="single"/>
        </w:rPr>
        <w:t>Section 4.01</w:t>
      </w:r>
      <w:r>
        <w:rPr>
          <w:rFonts w:ascii="Times New Roman" w:hAnsi="Times New Roman"/>
          <w:sz w:val="20"/>
        </w:rPr>
        <w:t xml:space="preserve"> is not satisfied (which, in respect of paragraph (i)(ii) of </w:t>
      </w:r>
      <w:r>
        <w:rPr>
          <w:rFonts w:ascii="Times New Roman" w:hAnsi="Times New Roman"/>
          <w:sz w:val="20"/>
          <w:u w:val="single"/>
        </w:rPr>
        <w:t>Section 4.01</w:t>
      </w:r>
      <w:r>
        <w:rPr>
          <w:rFonts w:ascii="Times New Roman" w:hAnsi="Times New Roman"/>
          <w:sz w:val="20"/>
        </w:rPr>
        <w:t xml:space="preserve">, shall allow the relevant Lender to take such action in respect of itself only and shall not permit any other Lender to take such action), </w:t>
      </w:r>
      <w:r>
        <w:rPr>
          <w:rFonts w:ascii="Times New Roman" w:hAnsi="Times New Roman"/>
          <w:sz w:val="20"/>
          <w:u w:val="single"/>
        </w:rPr>
        <w:t>provided</w:t>
      </w:r>
      <w:r>
        <w:rPr>
          <w:rFonts w:ascii="Times New Roman" w:hAnsi="Times New Roman"/>
          <w:sz w:val="20"/>
        </w:rPr>
        <w:t xml:space="preserve"> that, immediately upon the expiry of the Certain Funds Period, all such rights, remedies and entitlements shall be available to the Lenders, notwithstanding that they may not have been used or been available for use during the Certain Funds Period. </w:t>
      </w:r>
    </w:p>
    <w:p>
      <w:pPr>
        <w:pStyle w:val="TextBody"/>
        <w:bidi w:val="0"/>
        <w:spacing w:before="36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 to Cure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contained in </w:t>
      </w:r>
      <w:r>
        <w:rPr>
          <w:rFonts w:ascii="Times New Roman" w:hAnsi="Times New Roman"/>
          <w:sz w:val="20"/>
          <w:u w:val="single"/>
        </w:rPr>
        <w:t>Section 7.01</w:t>
      </w:r>
      <w:r>
        <w:rPr>
          <w:rFonts w:ascii="Times New Roman" w:hAnsi="Times New Roman"/>
          <w:sz w:val="20"/>
        </w:rPr>
        <w:t xml:space="preserve">, in the event that Bidco and the Restricted Subsidiaries fail to comply with the requirements of the Financial Performance Covenant (if applicable) as of the last day of any applicable fiscal quarter of Bidco,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as applicable, Holdings shall have the right to issue Qualified Equity Interests for cash or otherwise receive cash contributions to the capital of Holdings as cash common equity or other Qualified Equity Interests or Subordinated Shareholder Liabilities (which Holdings shall contribute, through its subsidiaries if applicable, to Bidco as cash common equity or other Qualified Equity Interests) (collectively, the “</w:t>
      </w:r>
      <w:r>
        <w:rPr>
          <w:rFonts w:ascii="Times New Roman" w:hAnsi="Times New Roman"/>
          <w:sz w:val="20"/>
          <w:u w:val="single"/>
        </w:rPr>
        <w:t>Cure Right</w:t>
      </w:r>
      <w:r>
        <w:rPr>
          <w:rFonts w:ascii="Times New Roman" w:hAnsi="Times New Roman"/>
          <w:sz w:val="20"/>
        </w:rPr>
        <w:t>”), and upon the receipt by Bidco of the Net Proceeds of such issuance (the “</w:t>
      </w:r>
      <w:r>
        <w:rPr>
          <w:rFonts w:ascii="Times New Roman" w:hAnsi="Times New Roman"/>
          <w:sz w:val="20"/>
          <w:u w:val="single"/>
        </w:rPr>
        <w:t>Cure Amount</w:t>
      </w:r>
      <w:r>
        <w:rPr>
          <w:rFonts w:ascii="Times New Roman" w:hAnsi="Times New Roman"/>
          <w:sz w:val="20"/>
        </w:rPr>
        <w:t xml:space="preserve">”) pursuant to the exercise by Holdings of such Cure Right, the Financial Performance Covenant shall be recalculated giving effect to one of the following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 </w:t>
      </w:r>
    </w:p>
    <w:p>
      <w:pPr>
        <w:pStyle w:val="TextBody"/>
        <w:bidi w:val="0"/>
        <w:spacing w:before="120" w:after="0"/>
        <w:jc w:val="left"/>
        <w:rPr>
          <w:rFonts w:ascii="Times New Roman" w:hAnsi="Times New Roman"/>
          <w:sz w:val="20"/>
        </w:rPr>
      </w:pPr>
      <w:r>
        <w:rPr>
          <w:rFonts w:ascii="Times New Roman" w:hAnsi="Times New Roman"/>
          <w:sz w:val="20"/>
        </w:rPr>
        <w:t xml:space="preserve">(ii) Revolving Borrowings with respect to such applicable fiscal quarter shall be reduced to an amount below the greater of (x) $280,000,000 and (y) 40% of the aggregate principal amount of Revolving Commitments then in effect (after including any Incremental Revolving Commitment Increase then in effect) such that the Financial Performance Covenant would not have been required to have been tested on the last day of such fiscal quarter; and </w:t>
      </w:r>
    </w:p>
    <w:p>
      <w:pPr>
        <w:pStyle w:val="TextBody"/>
        <w:bidi w:val="0"/>
        <w:spacing w:before="240" w:after="0"/>
        <w:jc w:val="left"/>
        <w:rPr>
          <w:rFonts w:ascii="Times New Roman" w:hAnsi="Times New Roman"/>
          <w:sz w:val="20"/>
        </w:rPr>
      </w:pPr>
      <w:r>
        <w:rPr>
          <w:rFonts w:ascii="Times New Roman" w:hAnsi="Times New Roman"/>
          <w:sz w:val="20"/>
        </w:rPr>
        <w:t xml:space="preserve">if, after giving effect to either of the foregoing Pro Forma Adjustments, Bidco and the Restricted Subsidiaries shall then be in compliance with the Senior Secured First Lien Net Leverage Ratio contained in the Financial Performance Covenant or the Financial Performance Covenant is not applicable for such fiscal quarter, Bidco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herein to the contrary, (i) in each four consecutive fiscal quarter period of Bidco there shall be at least one (1) fiscal quarter in which the Cure Right is not exercised, (ii) during the term of this Agreement, the Cure Right shall not be exercised more than five (5) times and (iii) for purposes of this </w:t>
      </w:r>
      <w:r>
        <w:rPr>
          <w:rFonts w:ascii="Times New Roman" w:hAnsi="Times New Roman"/>
          <w:sz w:val="20"/>
          <w:u w:val="single"/>
        </w:rPr>
        <w:t>Section 7.02</w:t>
      </w:r>
      <w:r>
        <w:rPr>
          <w:rFonts w:ascii="Times New Roman" w:hAnsi="Times New Roman"/>
          <w:sz w:val="20"/>
        </w:rPr>
        <w:t xml:space="preserve">, the Cure Amount shall be no greater than the amount required for purposes of complying with the Senior Secured First Lien Net Leverage Ratio contained in the Financial Performance Covenant or reducing the outstanding Revolving Borrowings to below the greater of (x) $280,000.000 and (y) 40% of the aggregate principal amount of Revolving Commitments then in effect (after including any Incremental Revolving Commitment Increase then in effect), as applicable,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w:t>
      </w:r>
      <w:r>
        <w:rPr>
          <w:rFonts w:ascii="Times New Roman" w:hAnsi="Times New Roman"/>
          <w:sz w:val="20"/>
          <w:u w:val="single"/>
        </w:rPr>
        <w:t>Article VI</w:t>
      </w:r>
      <w:r>
        <w:rPr>
          <w:rFonts w:ascii="Times New Roman" w:hAnsi="Times New Roman"/>
          <w:sz w:val="20"/>
        </w:rPr>
        <w:t xml:space="preserve"> of this Agreement. For the avoidance of doubt, to the extent such Cure Amounts are applied to prepay Indebtedness, such reduction may be given effect in determining compliance with the Financial Performance Covenant for fiscal quarters after the fiscal quarter in which such Cure Right was made and there shall not have been a breach of any covenant under </w:t>
      </w:r>
      <w:r>
        <w:rPr>
          <w:rFonts w:ascii="Times New Roman" w:hAnsi="Times New Roman"/>
          <w:sz w:val="20"/>
          <w:u w:val="single"/>
        </w:rPr>
        <w:t>Article VI</w:t>
      </w:r>
      <w:r>
        <w:rPr>
          <w:rFonts w:ascii="Times New Roman" w:hAnsi="Times New Roman"/>
          <w:sz w:val="20"/>
        </w:rPr>
        <w:t xml:space="preserve"> of this Agreement by reason of having no longer included such Cure Amount in any basket during the relevant period. </w:t>
      </w:r>
    </w:p>
    <w:p>
      <w:pPr>
        <w:pStyle w:val="TextBody"/>
        <w:bidi w:val="0"/>
        <w:spacing w:before="36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Application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exercise of remedies provided for in </w:t>
      </w:r>
      <w:r>
        <w:rPr>
          <w:rFonts w:ascii="Times New Roman" w:hAnsi="Times New Roman"/>
          <w:sz w:val="20"/>
          <w:u w:val="single"/>
        </w:rPr>
        <w:t>Section 7.01</w:t>
      </w:r>
      <w:r>
        <w:rPr>
          <w:rFonts w:ascii="Times New Roman" w:hAnsi="Times New Roman"/>
          <w:sz w:val="20"/>
        </w:rPr>
        <w:t xml:space="preserve">, any amounts received on account of the Secured Obligations shall be applied by the Administrative Agent, in accordance with the following provision and/or the similar provisions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any applicable intercreditor agreement then in effect and contemplated by this Agreement, the Collateral Agent shall apply the proceeds of any collection or sale of Collateral, including any Collateral consisting of cash,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reasonable and documented or invoiced out-of-pocket costs and expenses incurred by the Administrative Agent and the Collateral Agent in connection with such collection or sale or otherwise in connection with this Agreement, any other Loan Document or any of the Secured Obligations, including all reasonable and documented or invoiced out-of-pocket court costs and the fees and expenses of its agents and legal counsel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 of the Initial Term Loans or the Amendment No. 1 Refinancing Term Loans, to occur on or prior to or otherwise in connection with the Effective Date) and to the extent reasonably determined by the Administrative Agent to be necessary, one local counsel in each relevant material jurisdiction and, in the case of an actual or perceived conflict of interest where the Collateral Agent or any Lender affected by such conflict notifies the Borrower of the existence of such conflict and thereafter retains its own counsel, one additional conflicts counsel and (y) the fees and expenses of any other advisor or consultant, to the reasonable, documented and invoiced fees, charges and disbursements of such advisor or consultant, but solely to the extent that such consultant or advisor has been retained with the Borrower’s consent (such consent not to be unreasonably withheld or delayed)), the repayment of all advances made by the Administrative Agent or the Collateral Agent hereunder or under any other Loan Document on behalf of any Grantor and any other costs or expenses incurred in connection with the exercise of any right or remedy hereunder or under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p>
    <w:p>
      <w:pPr>
        <w:pStyle w:val="TextBody"/>
        <w:bidi w:val="0"/>
        <w:spacing w:before="0" w:after="0"/>
        <w:jc w:val="left"/>
        <w:rPr>
          <w:rFonts w:ascii="Times New Roman" w:hAnsi="Times New Roman"/>
          <w:sz w:val="20"/>
        </w:rPr>
      </w:pPr>
      <w:r>
        <w:rPr>
          <w:rFonts w:ascii="Times New Roman" w:hAnsi="Times New Roman"/>
          <w:sz w:val="20"/>
        </w:rPr>
        <w:t xml:space="preserve">SECOND, to the payment in full of the Secured Obligations (the amounts so applied to be distributed among the Secured Parties pro rata in accordance with the amounts of the Secured Obligations owed to them on the date of any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THIRD, to any agent of any junior secured debt, in accordance with any applicable intercreditor agreement then in effect and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FOURTH, to the Loan Parties, their successors or assigns, or as a court of competent jurisdiction may otherwise direct.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Agent shall have sole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 </w:t>
      </w:r>
    </w:p>
    <w:p>
      <w:pPr>
        <w:pStyle w:val="TextBody"/>
        <w:bidi w:val="0"/>
        <w:spacing w:before="480" w:after="0"/>
        <w:jc w:val="center"/>
        <w:rPr>
          <w:rFonts w:ascii="Times New Roman" w:hAnsi="Times New Roman"/>
          <w:sz w:val="20"/>
        </w:rPr>
      </w:pPr>
      <w:r>
        <w:rPr>
          <w:rFonts w:ascii="Times New Roman" w:hAnsi="Times New Roman"/>
          <w:sz w:val="20"/>
        </w:rPr>
        <w:t>ARTICLE VIII</w:t>
      </w:r>
      <w:r>
        <w:rPr>
          <w:rFonts w:ascii="Times New Roman" w:hAnsi="Times New Roman"/>
          <w:sz w:val="20"/>
          <w:u w:val="single"/>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 and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Lenders and the Issuing Bank hereby irrevocably appoints Barclays Bank PLC to act on its behalf as the Administrative Agent and Collateral Agent hereunder and under the other Loan Documents and authorizes the Administrative Agent to take such actions on its behalf and to exercise such powers as are delegated to the Administrative Agent and Collateral Agent by the terms hereof or thereof, together with such actions and powers as are reasonably incidental thereto. The provisions of this </w:t>
      </w:r>
      <w:r>
        <w:rPr>
          <w:rFonts w:ascii="Times New Roman" w:hAnsi="Times New Roman"/>
          <w:sz w:val="20"/>
          <w:u w:val="single"/>
        </w:rPr>
        <w:t>Article VIII</w:t>
      </w:r>
      <w:r>
        <w:rPr>
          <w:rFonts w:ascii="Times New Roman" w:hAnsi="Times New Roman"/>
          <w:sz w:val="20"/>
        </w:rPr>
        <w:t xml:space="preserve"> are solely for the benefit of the Administrative Agent and the Collateral Agent, the Lenders and the Issuing Bank, and neither Bidco nor any other Loan Party shall have rights as a third party beneficiary of any of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also act as the “Collateral Agent” under the Loan Documents, and each of the Lenders and the Issuing Bank hereby irrevocably appoints and authorizes the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Administrative Agent and Collateral Agent pursuant to </w:t>
      </w:r>
      <w:r>
        <w:rPr>
          <w:rFonts w:ascii="Times New Roman" w:hAnsi="Times New Roman"/>
          <w:sz w:val="20"/>
          <w:u w:val="single"/>
        </w:rPr>
        <w:t>Section 8.05</w:t>
      </w:r>
      <w:r>
        <w:rPr>
          <w:rFonts w:ascii="Times New Roman" w:hAnsi="Times New Roman"/>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hAnsi="Times New Roman"/>
          <w:sz w:val="20"/>
          <w:u w:val="single"/>
        </w:rPr>
        <w:t>Article VIII</w:t>
      </w:r>
      <w:r>
        <w:rPr>
          <w:rFonts w:ascii="Times New Roman" w:hAnsi="Times New Roman"/>
          <w:sz w:val="20"/>
        </w:rPr>
        <w:t xml:space="preserve"> and</w:t>
      </w:r>
      <w:r>
        <w:rPr>
          <w:rFonts w:ascii="Times New Roman" w:hAnsi="Times New Roman"/>
          <w:sz w:val="20"/>
          <w:u w:val="single"/>
        </w:rPr>
        <w:t xml:space="preserve"> Article IX</w:t>
      </w:r>
      <w:r>
        <w:rPr>
          <w:rFonts w:ascii="Times New Roman" w:hAnsi="Times New Roman"/>
          <w:sz w:val="20"/>
        </w:rPr>
        <w:t xml:space="preserve"> (including </w:t>
      </w:r>
      <w:r>
        <w:rPr>
          <w:rFonts w:ascii="Times New Roman" w:hAnsi="Times New Roman"/>
          <w:sz w:val="20"/>
          <w:u w:val="single"/>
        </w:rPr>
        <w:t>Section 9.03</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as a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Bidco or any Subsidiary or other Affiliate thereof as if such Person were not the Administrative Agent hereunder and without any duty to account therefor to the Lenders. </w:t>
      </w:r>
    </w:p>
    <w:p>
      <w:pPr>
        <w:pStyle w:val="TextBody"/>
        <w:bidi w:val="0"/>
        <w:spacing w:before="36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have any duties or obligations except those expressly set forth herein and in the other Loan Documents. Without limiting the generality of the foregoing,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Bidco or any of its Affiliates that is communicated to or obtained by the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and in the last paragraph of </w:t>
      </w:r>
      <w:r>
        <w:rPr>
          <w:rFonts w:ascii="Times New Roman" w:hAnsi="Times New Roman"/>
          <w:sz w:val="20"/>
          <w:u w:val="single"/>
        </w:rPr>
        <w:t>Section 7.01</w:t>
      </w:r>
      <w:r>
        <w:rPr>
          <w:rFonts w:ascii="Times New Roman" w:hAnsi="Times New Roman"/>
          <w:sz w:val="20"/>
        </w:rPr>
        <w:t xml:space="preserve">) or (ii) in the absence of its own gross negligence, bad faith or willful misconduct as determined by a court of competent jurisdiction by final and non-appealable judgment; </w:t>
      </w:r>
      <w:r>
        <w:rPr>
          <w:rFonts w:ascii="Times New Roman" w:hAnsi="Times New Roman"/>
          <w:sz w:val="20"/>
          <w:u w:val="single"/>
        </w:rPr>
        <w:t>provided</w:t>
      </w:r>
      <w:r>
        <w:rPr>
          <w:rFonts w:ascii="Times New Roman" w:hAnsi="Times New Roman"/>
          <w:sz w:val="20"/>
        </w:rPr>
        <w:t xml:space="preserve"> that the Administrative Agent shall be deemed not to have knowledge of any Default unless and until written notice describing such Default is given to the Administrative Agent by Bidco, a Borrower, a Lender or the Issuing Bank; and </w:t>
      </w:r>
    </w:p>
    <w:p>
      <w:pPr>
        <w:pStyle w:val="TextBody"/>
        <w:bidi w:val="0"/>
        <w:spacing w:before="240" w:after="0"/>
        <w:jc w:val="left"/>
        <w:rPr>
          <w:rFonts w:ascii="Times New Roman" w:hAnsi="Times New Roman"/>
          <w:sz w:val="20"/>
        </w:rPr>
      </w:pPr>
      <w:r>
        <w:rPr>
          <w:rFonts w:ascii="Times New Roman" w:hAnsi="Times New Roman"/>
          <w:sz w:val="20"/>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p>
    <w:p>
      <w:pPr>
        <w:pStyle w:val="TextBody"/>
        <w:bidi w:val="0"/>
        <w:spacing w:before="0" w:after="0"/>
        <w:jc w:val="left"/>
        <w:rPr>
          <w:rFonts w:ascii="Times New Roman" w:hAnsi="Times New Roman"/>
          <w:sz w:val="20"/>
        </w:rPr>
      </w:pPr>
      <w:r>
        <w:rPr>
          <w:rFonts w:ascii="Times New Roman" w:hAnsi="Times New Roman"/>
          <w:sz w:val="20"/>
        </w:rPr>
        <w:t xml:space="preserve">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36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Bidco), independent accountants and other experts selected by it, and shall not be liable for any action taken or not taken by it in accordance with the advice of any such counsel, accountants or experts. </w:t>
      </w:r>
    </w:p>
    <w:p>
      <w:pPr>
        <w:pStyle w:val="TextBody"/>
        <w:bidi w:val="0"/>
        <w:spacing w:before="36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Delegation of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hAnsi="Times New Roman"/>
          <w:sz w:val="20"/>
          <w:u w:val="single"/>
        </w:rPr>
        <w:t>Article VIII</w:t>
      </w:r>
      <w:r>
        <w:rPr>
          <w:rFonts w:ascii="Times New Roman" w:hAnsi="Times New Roman"/>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w:t>
      </w:r>
    </w:p>
    <w:p>
      <w:pPr>
        <w:pStyle w:val="TextBody"/>
        <w:bidi w:val="0"/>
        <w:spacing w:before="36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Resignation of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Subject to the appointment and acceptance of a successor Administrative Agent as provided in this paragraph, the Administrative Agent may resign upon thirty (30) days’ notice to the Lenders, the Issuing Banks, Bidco and the Borrowers. Upon receipt of any such notice of resignation, the Required Lenders shall have the right, with Bidco’s consent (unless a Specified Event of Default has occurred and is continuing)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such resignation shall nevertheless be effective and the retiring Administrative Agent may (but shall not be obligated to) on behalf of 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Times New Roman" w:hAnsi="Times New Roman"/>
          <w:sz w:val="20"/>
          <w:u w:val="single"/>
        </w:rPr>
        <w:t>Resignation Effective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 Administrative Agent shall notify Bidco, the Borrowers and the Lenders that no qualifying Person accepted such appointment, then such resignation shall nonetheless become effective in accordance with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p>
    <w:p>
      <w:pPr>
        <w:pStyle w:val="TextBody"/>
        <w:bidi w:val="0"/>
        <w:spacing w:before="0" w:after="0"/>
        <w:jc w:val="left"/>
        <w:rPr>
          <w:rFonts w:ascii="Times New Roman" w:hAnsi="Times New Roman"/>
          <w:sz w:val="20"/>
        </w:rPr>
      </w:pPr>
      <w:r>
        <w:rPr>
          <w:rFonts w:ascii="Times New Roman" w:hAnsi="Times New Roman"/>
          <w:sz w:val="20"/>
        </w:rPr>
        <w:t>If the Person serving as Administrative Agent is a Defaulting Lender, the Required Lenders and Holdings may, to the extent permitted by applicable law, by notice in writing to such Person remove such Person as Administrative Agent and, with the consent of Bidco, appoint a successor. If no such successor shall have been so appointed by the Required Lenders and shall have accepted such appointment within thirty (30) days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all steps necessary to assign or otherwise transfer the security to the successor Administrative Agent (and perfect such transfer or assignment) have been completed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w:t>
      </w:r>
      <w:r>
        <w:rPr>
          <w:rFonts w:ascii="Times New Roman" w:hAnsi="Times New Roman"/>
          <w:sz w:val="20"/>
          <w:u w:val="single"/>
        </w:rPr>
        <w:t>Section 8.06</w:t>
      </w:r>
      <w:r>
        <w:rPr>
          <w:rFonts w:ascii="Times New Roman" w:hAnsi="Times New Roman"/>
          <w:sz w:val="20"/>
        </w:rPr>
        <w:t xml:space="preserve">.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Section 9.04</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sz w:val="20"/>
          <w:u w:val="single"/>
        </w:rPr>
        <w:t>Section 2.04(l)</w:t>
      </w:r>
      <w:r>
        <w:rPr>
          <w:rFonts w:ascii="Times New Roman" w:hAnsi="Times New Roman"/>
          <w:sz w:val="20"/>
        </w:rPr>
        <w:t xml:space="preserve">, any resignation by Barclays Bank PLC as Administrative Agent pursuant to this </w:t>
      </w:r>
      <w:r>
        <w:rPr>
          <w:rFonts w:ascii="Times New Roman" w:hAnsi="Times New Roman"/>
          <w:sz w:val="20"/>
          <w:u w:val="single"/>
        </w:rPr>
        <w:t>Section 8.06</w:t>
      </w:r>
      <w:r>
        <w:rPr>
          <w:rFonts w:ascii="Times New Roman" w:hAnsi="Times New Roman"/>
          <w:sz w:val="20"/>
        </w:rPr>
        <w:t xml:space="preserve"> shall, unless Barclays Bank PLC gives notice to Bidco and the Borrowers otherwise, also constitute its resignation as an Issuing Bank and Swingline Lender and such resignation as an Issuing Bank and Swingline Lender shall become effective simultaneously with the discharge of the Administrative Agent from its duties and obligations as set forth in the immediately preceding paragraph (except as to already outstanding Letters of Credit, as to which such Issuing Bank shall continue in such capacities until the LC Exposure relating thereto shall be reduced to zero, or until the successor Administrative Agent shall succeed to the role of an Issuing Bank in accordance with the next sentence and perform the actions required by the next sentence). Upon the acceptance of a successor’s appointment as Administrative Agent hereunder, unless Barclays Bank PLC and such successor give notice to Bidco and the Borrowers otherwise,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Non-Reliance on Administrative Agent and Other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and the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 </w:t>
      </w:r>
    </w:p>
    <w:p>
      <w:pPr>
        <w:pStyle w:val="TextBody"/>
        <w:bidi w:val="0"/>
        <w:spacing w:before="36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No Other Duties,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the Issuing Bank 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Administrative Agent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p>
    <w:p>
      <w:pPr>
        <w:pStyle w:val="TextBody"/>
        <w:bidi w:val="0"/>
        <w:spacing w:before="0" w:after="0"/>
        <w:jc w:val="left"/>
        <w:rPr>
          <w:rFonts w:ascii="Times New Roman" w:hAnsi="Times New Roman"/>
          <w:sz w:val="20"/>
        </w:rPr>
      </w:pPr>
      <w:r>
        <w:rPr>
          <w:rFonts w:ascii="Times New Roman" w:hAnsi="Times New Roman"/>
          <w:sz w:val="20"/>
        </w:rPr>
        <w:t xml:space="preserve">demand on the Borrowers)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interim receiver,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the Issuing Bank any plan of reorganization, arrangement, adjustment or composition affecting the Secured Obligations or the rights of any Lender or the Issuing Bank to authorize the Administrative Agent to vote in respect of the claim of any Lender or the Issuing Bank or in any such proceeding. </w:t>
      </w:r>
    </w:p>
    <w:p>
      <w:pPr>
        <w:pStyle w:val="TextBody"/>
        <w:bidi w:val="0"/>
        <w:spacing w:before="36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No Waiver; Cumulative Remedies; Enforcement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failure by any Lender, any Issuing Bank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Article VII</w:t>
      </w:r>
      <w:r>
        <w:rPr>
          <w:rFonts w:ascii="Times New Roman" w:hAnsi="Times New Roman"/>
          <w:sz w:val="20"/>
        </w:rPr>
        <w:t xml:space="preserve"> for the benefit of all the Lenders and the Issuing Banks;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Banks or the Swingline Lender from exercising the rights and remedies that inure to its benefit (solely in its capacity as Issuing Bank or Swingline Lender, as the case may be) hereunder and under the other Loan Documents, (c) any Lender from exercising setoff rights in accordance with </w:t>
      </w:r>
      <w:r>
        <w:rPr>
          <w:rFonts w:ascii="Times New Roman" w:hAnsi="Times New Roman"/>
          <w:sz w:val="20"/>
          <w:u w:val="single"/>
        </w:rPr>
        <w:t>Section 9.08</w:t>
      </w:r>
      <w:r>
        <w:rPr>
          <w:rFonts w:ascii="Times New Roman" w:hAnsi="Times New Roman"/>
          <w:sz w:val="20"/>
        </w:rPr>
        <w:t xml:space="preserve"> (subject to the terms of </w:t>
      </w:r>
      <w:r>
        <w:rPr>
          <w:rFonts w:ascii="Times New Roman" w:hAnsi="Times New Roman"/>
          <w:sz w:val="20"/>
          <w:u w:val="single"/>
        </w:rPr>
        <w:t>Section 2.17</w:t>
      </w:r>
      <w:r>
        <w:rPr>
          <w:rFonts w:ascii="Times New Roman" w:hAnsi="Times New Roman"/>
          <w:sz w:val="20"/>
        </w:rPr>
        <w:t xml:space="preserve">), or (d) any Lender from filing proofs of claim or appearing and filing pleadings on its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p>
    <w:p>
      <w:pPr>
        <w:pStyle w:val="TextBody"/>
        <w:bidi w:val="0"/>
        <w:spacing w:before="0" w:after="0"/>
        <w:jc w:val="left"/>
        <w:rPr>
          <w:rFonts w:ascii="Times New Roman" w:hAnsi="Times New Roman"/>
          <w:sz w:val="20"/>
        </w:rPr>
      </w:pPr>
      <w:r>
        <w:rPr>
          <w:rFonts w:ascii="Times New Roman" w:hAnsi="Times New Roman"/>
          <w:sz w:val="20"/>
        </w:rPr>
        <w:t xml:space="preserve">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Article VII</w:t>
      </w:r>
      <w:r>
        <w:rPr>
          <w:rFonts w:ascii="Times New Roman" w:hAnsi="Times New Roman"/>
          <w:sz w:val="20"/>
        </w:rPr>
        <w:t xml:space="preserve"> and (ii) in addition to the matters set forth in clauses (b), (c) and (d) of the preceding proviso and subject to </w:t>
      </w:r>
      <w:r>
        <w:rPr>
          <w:rFonts w:ascii="Times New Roman" w:hAnsi="Times New Roman"/>
          <w:sz w:val="20"/>
          <w:u w:val="single"/>
        </w:rPr>
        <w:t>Section 2.17</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36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Withholding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sz w:val="20"/>
          <w:u w:val="single"/>
        </w:rPr>
        <w:t>Section 2.16</w:t>
      </w:r>
      <w:r>
        <w:rPr>
          <w:rFonts w:ascii="Times New Roman" w:hAnsi="Times New Roman"/>
          <w:sz w:val="20"/>
        </w:rPr>
        <w:t xml:space="preserve">, to the extent required by any applicable Requirements of Law (as determined in good faith by the Administrative Agent), the Administrative Agent may deduct or withhold from any payment to any Lender an amount equivalent to any applicable withholding Tax. Without limiting or expanding the provisions of </w:t>
      </w:r>
      <w:r>
        <w:rPr>
          <w:rFonts w:ascii="Times New Roman" w:hAnsi="Times New Roman"/>
          <w:sz w:val="20"/>
          <w:u w:val="single"/>
        </w:rPr>
        <w:t>Section 2.16</w:t>
      </w:r>
      <w:r>
        <w:rPr>
          <w:rFonts w:ascii="Times New Roman" w:hAnsi="Times New Roman"/>
          <w:sz w:val="20"/>
        </w:rPr>
        <w:t xml:space="preserve">,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 w:hAnsi="Times New Roman"/>
          <w:sz w:val="20"/>
          <w:u w:val="single"/>
        </w:rPr>
        <w:t>Section 8.11</w:t>
      </w:r>
      <w:r>
        <w:rPr>
          <w:rFonts w:ascii="Times New Roman" w:hAnsi="Times New Roman"/>
          <w:sz w:val="20"/>
        </w:rPr>
        <w:t xml:space="preserve">. For the avoidance of doubt, a “Lender” shall, for purposes of this </w:t>
      </w:r>
      <w:r>
        <w:rPr>
          <w:rFonts w:ascii="Times New Roman" w:hAnsi="Times New Roman"/>
          <w:sz w:val="20"/>
          <w:u w:val="single"/>
        </w:rPr>
        <w:t>Section 8.11</w:t>
      </w:r>
      <w:r>
        <w:rPr>
          <w:rFonts w:ascii="Times New Roman" w:hAnsi="Times New Roman"/>
          <w:sz w:val="20"/>
        </w:rPr>
        <w:t xml:space="preserve">, include any Issuing Bank and the Swingline Lender. The agreements in this </w:t>
      </w:r>
      <w:r>
        <w:rPr>
          <w:rFonts w:ascii="Times New Roman" w:hAnsi="Times New Roman"/>
          <w:sz w:val="20"/>
          <w:u w:val="single"/>
        </w:rPr>
        <w:t>Section 8.11</w:t>
      </w:r>
      <w:r>
        <w:rPr>
          <w:rFonts w:ascii="Times New Roman" w:hAnsi="Times New Roman"/>
          <w:sz w:val="20"/>
        </w:rPr>
        <w:t xml:space="preserve"> shall survive the resignation and/or replacement of the Administrative Agent, any assignment of rights by, or the replacement of, a Lender, the termination of the Commitments and the repayment, satisfaction or discharge of all other Loan Document Obligations. </w:t>
      </w:r>
    </w:p>
    <w:p>
      <w:pPr>
        <w:pStyle w:val="TextBody"/>
        <w:bidi w:val="0"/>
        <w:spacing w:before="36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29 CFR § 2510.3-101, as modified by Section 3(42) of ERISA) of one or more Benefit Plans in connection with the Loans, the Letters of Credit or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p>
    <w:p>
      <w:pPr>
        <w:pStyle w:val="TextBody"/>
        <w:bidi w:val="0"/>
        <w:spacing w:before="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and (C) the entrance into, participation in, administration of and performance of the Loans, the Letters of Credit, the Commitments and this Agreement satisfies the requirements of sub-sections (a) through (g) of Part I of PTE 84-14.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Agent and their respective Affiliates, and not, for the avoidance of doubt, to or for the benefit of Bidco or any other Loan Party,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480" w:after="0"/>
        <w:jc w:val="center"/>
        <w:rPr>
          <w:rFonts w:ascii="Times New Roman" w:hAnsi="Times New Roman"/>
          <w:sz w:val="20"/>
        </w:rPr>
      </w:pPr>
      <w:r>
        <w:rPr>
          <w:rFonts w:ascii="Times New Roman" w:hAnsi="Times New Roman"/>
          <w:sz w:val="20"/>
        </w:rPr>
        <w:t>ARTICLE IX</w:t>
      </w:r>
      <w:r>
        <w:rPr>
          <w:rFonts w:ascii="Times New Roman" w:hAnsi="Times New Roman"/>
          <w:sz w:val="20"/>
          <w:u w:val="single"/>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Holdings, Bidco, a Borrower, the Administrative Agent, any Issuing Bank or the Swingline Lender, to the address, fax number, e-mail address or telephone number specified for such Person on </w:t>
      </w:r>
      <w:r>
        <w:rPr>
          <w:rFonts w:ascii="Times New Roman" w:hAnsi="Times New Roman"/>
          <w:sz w:val="20"/>
          <w:u w:val="single"/>
        </w:rPr>
        <w:t>Schedule 9.01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Bidco).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any Issuing Bank or the Swingline Lender pursuant to </w:t>
      </w:r>
      <w:r>
        <w:rPr>
          <w:rFonts w:ascii="Times New Roman" w:hAnsi="Times New Roman"/>
          <w:sz w:val="20"/>
          <w:u w:val="single"/>
        </w:rPr>
        <w:t>Article II</w:t>
      </w:r>
      <w:r>
        <w:rPr>
          <w:rFonts w:ascii="Times New Roman" w:hAnsi="Times New Roman"/>
          <w:sz w:val="20"/>
        </w:rPr>
        <w:t xml:space="preserve"> if such Lender, the Issuing Bank or Swingline Lender, as applicable, has notified the Administrative Agent that it is incapable of receiving notices under such Article by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Holdings, Bidco, the Borrowers, any Lender, any Issuing Bank or any other Person for losses, claims, damages, liabilities or expenses of any kind (whether in tort, contract or otherwise) arising out of Bidco,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Holdings, Bidco, the Borrowers, any Lender, any Issuing Bank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Holdings, Bidco, the Borrowers, the Administrative Agent, any Issuing Bank and the Swingline Lender may change its address, electronic mail address, fax or telephone number, if applicable, for notices and other communications or website hereunder by notice to the other parties hereto. Each other Lender may change its address, fax or telephone number for notices and other communications hereunder by notice to Bidco, the Borrowers, the Administrative Agent, any Issuing Bank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Issuing Bank and Lenders</w:t>
      </w:r>
      <w:r>
        <w:rPr>
          <w:rFonts w:ascii="Times New Roman" w:hAnsi="Times New Roman"/>
          <w:sz w:val="20"/>
        </w:rPr>
        <w:t xml:space="preserve">. The Administrative Agent, each Issuing Bank and the Lenders shall be entitled to rely and act upon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p>
    <w:p>
      <w:pPr>
        <w:pStyle w:val="TextBody"/>
        <w:bidi w:val="0"/>
        <w:spacing w:before="0" w:after="0"/>
        <w:jc w:val="left"/>
        <w:rPr>
          <w:rFonts w:ascii="Times New Roman" w:hAnsi="Times New Roman"/>
          <w:sz w:val="20"/>
        </w:rPr>
      </w:pPr>
      <w:r>
        <w:rPr>
          <w:rFonts w:ascii="Times New Roman" w:hAnsi="Times New Roman"/>
          <w:sz w:val="20"/>
        </w:rPr>
        <w:t xml:space="preserve">notices purportedly given by or on behalf of Bidco or the Borrowers even if (i) such notices were not made in a manner specified herein, were incomplete or were not preceded or followed by any other form of notice specified herein, or (ii) the terms thereof, as understood by the recipient, varied from any confirmation thereof. Bidco shall indemnify the Administrative Agent, each Issuing Bank, each Lender and the Related Parties from all losses, costs, expenses and liabilities resulting from the reliance by such Person on each notice purportedly given by or on behalf of Bidco in the absence of gross negligence or willful misconduct as determined in a final and non-appealable judgment by a court of competent jurisdiction. All telephonic communications with the Administrative Agent may be recorded by the Administrative Agent and each of the parties hereto hereby consents to such recording. </w:t>
      </w:r>
    </w:p>
    <w:p>
      <w:pPr>
        <w:pStyle w:val="TextBody"/>
        <w:bidi w:val="0"/>
        <w:spacing w:before="36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w:t>
      </w:r>
      <w:r>
        <w:rPr>
          <w:rFonts w:ascii="Times New Roman" w:hAnsi="Times New Roman"/>
          <w:sz w:val="20"/>
          <w:u w:val="single"/>
        </w:rPr>
        <w:t>Section 9.02</w:t>
      </w:r>
      <w:r>
        <w:rPr>
          <w:rFonts w:ascii="Times New Roman" w:hAnsi="Times New Roman"/>
          <w:sz w:val="20"/>
        </w:rPr>
        <w:t xml:space="preserve">,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Bidco or Holdings in any case shall entitle Bidco or Holdings to any other or further notice or demand in similar or other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2.19</w:t>
      </w:r>
      <w:r>
        <w:rPr>
          <w:rFonts w:ascii="Times New Roman" w:hAnsi="Times New Roman"/>
          <w:sz w:val="20"/>
        </w:rPr>
        <w:t xml:space="preserve"> with respect to any Incremental Facility Amendment, </w:t>
      </w:r>
      <w:r>
        <w:rPr>
          <w:rFonts w:ascii="Times New Roman" w:hAnsi="Times New Roman"/>
          <w:sz w:val="20"/>
          <w:u w:val="single"/>
        </w:rPr>
        <w:t>Section 2.20</w:t>
      </w:r>
      <w:r>
        <w:rPr>
          <w:rFonts w:ascii="Times New Roman" w:hAnsi="Times New Roman"/>
          <w:sz w:val="20"/>
        </w:rPr>
        <w:t xml:space="preserve"> with respect to any Refinancing Amendment or </w:t>
      </w:r>
      <w:r>
        <w:rPr>
          <w:rFonts w:ascii="Times New Roman" w:hAnsi="Times New Roman"/>
          <w:sz w:val="20"/>
          <w:u w:val="single"/>
        </w:rPr>
        <w:t>Section 2.23</w:t>
      </w:r>
      <w:r>
        <w:rPr>
          <w:rFonts w:ascii="Times New Roman" w:hAnsi="Times New Roman"/>
          <w:sz w:val="20"/>
        </w:rPr>
        <w:t xml:space="preserve"> with respect to any Permitted Amendment, neither this Agreement, any Loan Document nor any provision hereof or thereof may be waived, amended or modified except, in the case of this Agreement, pursuant to an agreement or agreements in writing entered into by Holdings, Bidco, the Borrowers,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(other than with respect to any waiver, amendment or modification contemplated in the first proviso below)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hAnsi="Times New Roman"/>
          <w:sz w:val="20"/>
          <w:u w:val="single"/>
        </w:rPr>
        <w:t>provided</w:t>
      </w:r>
      <w:r>
        <w:rPr>
          <w:rFonts w:ascii="Times New Roman" w:hAnsi="Times New Roman"/>
          <w:sz w:val="20"/>
        </w:rPr>
        <w:t xml:space="preserve"> that no such agreement shall (i) increase the Commitment of any Lender without the written consent of such Lender (it being understood that a waiver of any condition precedent set forth in </w:t>
      </w:r>
      <w:r>
        <w:rPr>
          <w:rFonts w:ascii="Times New Roman" w:hAnsi="Times New Roman"/>
          <w:sz w:val="20"/>
          <w:u w:val="single"/>
        </w:rPr>
        <w:t>Section 4.02</w:t>
      </w:r>
      <w:r>
        <w:rPr>
          <w:rFonts w:ascii="Times New Roman" w:hAnsi="Times New Roman"/>
          <w:sz w:val="20"/>
        </w:rPr>
        <w:t xml:space="preserve">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Borrowers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p>
    <w:p>
      <w:pPr>
        <w:pStyle w:val="TextBody"/>
        <w:bidi w:val="0"/>
        <w:spacing w:before="0" w:after="0"/>
        <w:jc w:val="left"/>
        <w:rPr>
          <w:rFonts w:ascii="Times New Roman" w:hAnsi="Times New Roman"/>
          <w:sz w:val="20"/>
        </w:rPr>
      </w:pPr>
      <w:r>
        <w:rPr>
          <w:rFonts w:ascii="Times New Roman" w:hAnsi="Times New Roman"/>
          <w:sz w:val="20"/>
        </w:rPr>
        <w:t xml:space="preserve">component definitions thereof shall not constitute a reduction of interest or fees); </w:t>
      </w:r>
      <w:r>
        <w:rPr>
          <w:rFonts w:ascii="Times New Roman" w:hAnsi="Times New Roman"/>
          <w:sz w:val="20"/>
          <w:u w:val="single"/>
        </w:rPr>
        <w:t>provided</w:t>
      </w:r>
      <w:r>
        <w:rPr>
          <w:rFonts w:ascii="Times New Roman" w:hAnsi="Times New Roman"/>
          <w:sz w:val="20"/>
        </w:rPr>
        <w:t xml:space="preserve"> that only the consent of the Required Lenders shall be necessary to waive any obligation of the Borrowers to pay default interest pursuant to </w:t>
      </w:r>
      <w:r>
        <w:rPr>
          <w:rFonts w:ascii="Times New Roman" w:hAnsi="Times New Roman"/>
          <w:sz w:val="20"/>
          <w:u w:val="single"/>
        </w:rPr>
        <w:t>Section 2.12(c)</w:t>
      </w:r>
      <w:r>
        <w:rPr>
          <w:rFonts w:ascii="Times New Roman" w:hAnsi="Times New Roman"/>
          <w:sz w:val="20"/>
        </w:rPr>
        <w:t xml:space="preserve">,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w:t>
      </w:r>
      <w:r>
        <w:rPr>
          <w:rFonts w:ascii="Times New Roman" w:hAnsi="Times New Roman"/>
          <w:sz w:val="20"/>
          <w:u w:val="single"/>
        </w:rPr>
        <w:t>Section 2.09</w:t>
      </w:r>
      <w:r>
        <w:rPr>
          <w:rFonts w:ascii="Times New Roman" w:hAnsi="Times New Roman"/>
          <w:sz w:val="20"/>
        </w:rPr>
        <w:t xml:space="preserve">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this </w:t>
      </w:r>
      <w:r>
        <w:rPr>
          <w:rFonts w:ascii="Times New Roman" w:hAnsi="Times New Roman"/>
          <w:sz w:val="20"/>
          <w:u w:val="single"/>
        </w:rPr>
        <w:t>Section 9.02</w:t>
      </w:r>
      <w:r>
        <w:rPr>
          <w:rFonts w:ascii="Times New Roman" w:hAnsi="Times New Roman"/>
          <w:sz w:val="20"/>
        </w:rPr>
        <w:t xml:space="preserve"> without the written consent of each Lender directly and adversely affected thereby; </w:t>
      </w:r>
      <w:r>
        <w:rPr>
          <w:rFonts w:ascii="Times New Roman" w:hAnsi="Times New Roman"/>
          <w:sz w:val="20"/>
          <w:u w:val="single"/>
        </w:rPr>
        <w:t>provided</w:t>
      </w:r>
      <w:r>
        <w:rPr>
          <w:rFonts w:ascii="Times New Roman" w:hAnsi="Times New Roman"/>
          <w:sz w:val="20"/>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Guarantee Agreement (except as expressly provided in the Loan Documents) without the written consent of each Lender (other than a Defaulting Lender), or (vii) release all or substantially all the Collateral from the Liens of the Security Documents, without the written consent of each Lender (other than a Defaulting Lender), except as expressly provided in the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no such agreement shall amend, modify or otherwise affect the rights or duties of the Administrative Agent or any Issuing Bank or the Swingline Lender without the prior written consent of the Administrative Agent, such Issuing Bank or the Swingline Lender, as the case may be, (B) any provision of this Agreement or any other Loan Document may be amended by an agreement in writing entered into by Holdings, Bidco, the Borrowers and the Administrative Agent to cure any ambiguity, omission, mistake, defect or inconsistency (as reasonably determined by the Administrative Agent and Bidco)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Bidco, the Borrowers and the requisite percentage in interest of the affected Class of Lenders stating that would be required to consent thereto under this </w:t>
      </w:r>
      <w:r>
        <w:rPr>
          <w:rFonts w:ascii="Times New Roman" w:hAnsi="Times New Roman"/>
          <w:sz w:val="20"/>
          <w:u w:val="single"/>
        </w:rPr>
        <w:t>Section 9.02</w:t>
      </w:r>
      <w:r>
        <w:rPr>
          <w:rFonts w:ascii="Times New Roman" w:hAnsi="Times New Roman"/>
          <w:sz w:val="20"/>
        </w:rPr>
        <w:t xml:space="preserve"> if such Class of Lenders were the only Class of Lenders hereunder at the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this Agreement may be amended (or amended and restated) with the written consent of the Required Lenders, the Administrative Agent, Holdings, Bidco and the Borrowers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Bidco without the need to obtain the consent of any other Lender if such amendment or waiver is delivered in order (i) to comply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p>
    <w:p>
      <w:pPr>
        <w:pStyle w:val="TextBody"/>
        <w:bidi w:val="0"/>
        <w:spacing w:before="0" w:after="0"/>
        <w:jc w:val="left"/>
        <w:rPr>
          <w:rFonts w:ascii="Times New Roman" w:hAnsi="Times New Roman"/>
          <w:sz w:val="20"/>
        </w:rPr>
      </w:pPr>
      <w:r>
        <w:rPr>
          <w:rFonts w:ascii="Times New Roman" w:hAnsi="Times New Roman"/>
          <w:sz w:val="20"/>
        </w:rPr>
        <w:t xml:space="preserve">with local law or advice of local counsel, (ii) to cure ambiguities, defects, omissions or inconsistencies or to make related modifications to provisions of other Loan Documents, (iii) to cause any guarantee, collateral security document or other document to be consistent with this Agreement and the other Loan Documents, (iv) to give effect to the provisions of </w:t>
      </w:r>
      <w:r>
        <w:rPr>
          <w:rFonts w:ascii="Times New Roman" w:hAnsi="Times New Roman"/>
          <w:sz w:val="20"/>
          <w:u w:val="single"/>
        </w:rPr>
        <w:t>Section 2.13(b)</w:t>
      </w:r>
      <w:r>
        <w:rPr>
          <w:rFonts w:ascii="Times New Roman" w:hAnsi="Times New Roman"/>
          <w:sz w:val="20"/>
        </w:rPr>
        <w:t xml:space="preserve"> or (v) to integrate any Incremental Facility or Credit Agreement Refinancing Indebtedness in a manner consistent with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(c) In connection with any proposed amendment, modification, waiver or termination (a “</w:t>
      </w:r>
      <w:r>
        <w:rPr>
          <w:rFonts w:ascii="Times New Roman" w:hAnsi="Times New Roman"/>
          <w:sz w:val="20"/>
          <w:u w:val="single"/>
        </w:rPr>
        <w:t>Proposed Change</w:t>
      </w:r>
      <w:r>
        <w:rPr>
          <w:rFonts w:ascii="Times New Roman" w:hAnsi="Times New Roman"/>
          <w:sz w:val="20"/>
        </w:rPr>
        <w:t xml:space="preserve">”) requiring the consent of all Lenders or all directly and adversely affected Lenders, if the consent of the Required Lenders (and, to the extent any Proposed Change requires the consent of Lenders holding Loans of any Class pursuant to clause (iv) of paragraph (b) of this </w:t>
      </w:r>
      <w:r>
        <w:rPr>
          <w:rFonts w:ascii="Times New Roman" w:hAnsi="Times New Roman"/>
          <w:sz w:val="20"/>
          <w:u w:val="single"/>
        </w:rPr>
        <w:t>Section 9.02</w:t>
      </w:r>
      <w:r>
        <w:rPr>
          <w:rFonts w:ascii="Times New Roman" w:hAnsi="Times New Roman"/>
          <w:sz w:val="20"/>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w:t>
      </w:r>
      <w:r>
        <w:rPr>
          <w:rFonts w:ascii="Times New Roman" w:hAnsi="Times New Roman"/>
          <w:sz w:val="20"/>
          <w:u w:val="single"/>
        </w:rPr>
        <w:t>Section 9.02</w:t>
      </w:r>
      <w:r>
        <w:rPr>
          <w:rFonts w:ascii="Times New Roman" w:hAnsi="Times New Roman"/>
          <w:sz w:val="20"/>
        </w:rPr>
        <w:t xml:space="preserve"> being referred to as a “</w:t>
      </w:r>
      <w:r>
        <w:rPr>
          <w:rFonts w:ascii="Times New Roman" w:hAnsi="Times New Roman"/>
          <w:sz w:val="20"/>
          <w:u w:val="single"/>
        </w:rPr>
        <w:t>Non-Consenting Lender</w:t>
      </w:r>
      <w:r>
        <w:rPr>
          <w:rFonts w:ascii="Times New Roman" w:hAnsi="Times New Roman"/>
          <w:sz w:val="20"/>
        </w:rPr>
        <w:t xml:space="preserve">”), then, so long as the Lender that is acting as Administrative Agent is not a Non-Consenting Lender, Bidco or any Borrower may, at its option and at its sole expense and effort, upon notice to such Non-Consenting Lender and the Administrative Agent, either (i) if no Specified Event of Default exists, permanently prepay all of the Loans of any Class owing by it to, and terminating any Commitments of, such Non-Consenting Lender or (ii) require such Non-Consenting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to an Eligible Assignee that shall assume such obligations (which Eligible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with respect to this clause (ii), (a) Bidco shall have received the prior written consent of the Administrative Agent to the extent such consent would be required under </w:t>
      </w:r>
      <w:r>
        <w:rPr>
          <w:rFonts w:ascii="Times New Roman" w:hAnsi="Times New Roman"/>
          <w:sz w:val="20"/>
          <w:u w:val="single"/>
        </w:rPr>
        <w:t>Section 9.04(b)</w:t>
      </w:r>
      <w:r>
        <w:rPr>
          <w:rFonts w:ascii="Times New Roman" w:hAnsi="Times New Roman"/>
          <w:sz w:val="20"/>
        </w:rPr>
        <w:t xml:space="preserve">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w:t>
      </w:r>
      <w:r>
        <w:rPr>
          <w:rFonts w:ascii="Times New Roman" w:hAnsi="Times New Roman"/>
          <w:sz w:val="20"/>
          <w:u w:val="single"/>
        </w:rPr>
        <w:t>Section 2.10(a)(i)</w:t>
      </w:r>
      <w:r>
        <w:rPr>
          <w:rFonts w:ascii="Times New Roman" w:hAnsi="Times New Roman"/>
          <w:sz w:val="20"/>
        </w:rPr>
        <w:t xml:space="preserve">) from the Eligible Assignee (to the extent of such outstanding principal and accrued interest and fees) or the Borrowers (in the case of all other amounts) and (c) unless waived, the Borrowers or such Eligible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Each party hereto agrees that an assignment required pursuant to this </w:t>
      </w:r>
      <w:r>
        <w:rPr>
          <w:rFonts w:ascii="Times New Roman" w:hAnsi="Times New Roman"/>
          <w:sz w:val="20"/>
          <w:u w:val="single"/>
        </w:rPr>
        <w:t>Section 9.02(c)</w:t>
      </w:r>
      <w:r>
        <w:rPr>
          <w:rFonts w:ascii="Times New Roman" w:hAnsi="Times New Roman"/>
          <w:sz w:val="20"/>
        </w:rPr>
        <w:t xml:space="preserve"> may be effected pursuant to an Assignment and Assumption executed by Bidco or a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w:t>
      </w:r>
      <w:r>
        <w:rPr>
          <w:rFonts w:ascii="Times New Roman" w:hAnsi="Times New Roman"/>
          <w:sz w:val="20"/>
          <w:u w:val="single"/>
        </w:rPr>
        <w:t>Section 9.04</w:t>
      </w:r>
      <w:r>
        <w:rPr>
          <w:rFonts w:ascii="Times New Roman" w:hAnsi="Times New Roman"/>
          <w:sz w:val="20"/>
        </w:rPr>
        <w:t xml:space="preserve"> on behalf of a Non-Consenting Lender and any such documentation so executed by the Administrative Agent shall be effective for purposes of documenting an assignment pursuant to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Agreement or the other Loan Documents to the contrary, (i)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Disqualified Lender shall have any right to approve or disapprove any amendment, waiver or consent hereunder or under any of the Loan Documents other than as expressly provided in</w:t>
      </w:r>
      <w:r>
        <w:rPr>
          <w:rFonts w:ascii="Times New Roman" w:hAnsi="Times New Roman"/>
          <w:sz w:val="20"/>
          <w:u w:val="single"/>
        </w:rPr>
        <w:t xml:space="preserve"> Section 9.04(h)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in this Agreement or the other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hAnsi="Times New Roman"/>
          <w:sz w:val="20"/>
          <w:u w:val="single"/>
        </w:rPr>
        <w:t>provided</w:t>
      </w:r>
      <w:r>
        <w:rPr>
          <w:rFonts w:ascii="Times New Roman" w:hAnsi="Times New Roman"/>
          <w:sz w:val="20"/>
        </w:rPr>
        <w:t xml:space="preserve"> that such Affiliated Lender shall be entitled to vote in accordance with its sole discretion in connection with any plan of reorganization (a)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Bidco, (b) that would deprive such Affiliated Lender of its pro rata share of any payments to which it is entitled or (c) if such plan of reorganization requires the consent of each Lender or each affected Lender.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or the other Loan Documents to the contrary, only the consent of the Required Revolving Lenders shall be necessary to (1) waive or consent to a waiver of an Event of Default under </w:t>
      </w:r>
      <w:r>
        <w:rPr>
          <w:rFonts w:ascii="Times New Roman" w:hAnsi="Times New Roman"/>
          <w:sz w:val="20"/>
          <w:u w:val="single"/>
        </w:rPr>
        <w:t>Section 7.01(d)(ii)</w:t>
      </w:r>
      <w:r>
        <w:rPr>
          <w:rFonts w:ascii="Times New Roman" w:hAnsi="Times New Roman"/>
          <w:sz w:val="20"/>
        </w:rPr>
        <w:t xml:space="preserve"> or waive or amend the conditions set forth in </w:t>
      </w:r>
      <w:r>
        <w:rPr>
          <w:rFonts w:ascii="Times New Roman" w:hAnsi="Times New Roman"/>
          <w:sz w:val="20"/>
          <w:u w:val="single"/>
        </w:rPr>
        <w:t>Section 4.02</w:t>
      </w:r>
      <w:r>
        <w:rPr>
          <w:rFonts w:ascii="Times New Roman" w:hAnsi="Times New Roman"/>
          <w:sz w:val="20"/>
        </w:rPr>
        <w:t xml:space="preserve"> (and </w:t>
      </w:r>
      <w:r>
        <w:rPr>
          <w:rFonts w:ascii="Times New Roman" w:hAnsi="Times New Roman"/>
          <w:sz w:val="20"/>
          <w:u w:val="single"/>
        </w:rPr>
        <w:t>Section 4.02</w:t>
      </w:r>
      <w:r>
        <w:rPr>
          <w:rFonts w:ascii="Times New Roman" w:hAnsi="Times New Roman"/>
          <w:sz w:val="20"/>
        </w:rPr>
        <w:t xml:space="preserve"> may not be waived or amended in a manner that affects the making of any Revolving Borrowing without the consent of the Required Revolving Lenders), (2) modify or amend </w:t>
      </w:r>
      <w:r>
        <w:rPr>
          <w:rFonts w:ascii="Times New Roman" w:hAnsi="Times New Roman"/>
          <w:sz w:val="20"/>
          <w:u w:val="single"/>
        </w:rPr>
        <w:t>Section 6.07</w:t>
      </w:r>
      <w:r>
        <w:rPr>
          <w:rFonts w:ascii="Times New Roman" w:hAnsi="Times New Roman"/>
          <w:sz w:val="20"/>
        </w:rPr>
        <w:t xml:space="preserve"> (and </w:t>
      </w:r>
      <w:r>
        <w:rPr>
          <w:rFonts w:ascii="Times New Roman" w:hAnsi="Times New Roman"/>
          <w:sz w:val="20"/>
          <w:u w:val="single"/>
        </w:rPr>
        <w:t>Section 6.07</w:t>
      </w:r>
      <w:r>
        <w:rPr>
          <w:rFonts w:ascii="Times New Roman" w:hAnsi="Times New Roman"/>
          <w:sz w:val="20"/>
        </w:rPr>
        <w:t xml:space="preserve"> may not be modified or amended without the consent of the Required Revolving Lenders) or </w:t>
      </w:r>
      <w:r>
        <w:rPr>
          <w:rFonts w:ascii="Times New Roman" w:hAnsi="Times New Roman"/>
          <w:sz w:val="20"/>
          <w:u w:val="single"/>
        </w:rPr>
        <w:t>Section 7.02</w:t>
      </w:r>
      <w:r>
        <w:rPr>
          <w:rFonts w:ascii="Times New Roman" w:hAnsi="Times New Roman"/>
          <w:sz w:val="20"/>
        </w:rPr>
        <w:t xml:space="preserve">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in this Agreement or the other Loan Documents to the contrary, this Agreement may be amended, supplemented or otherwise modified to effect any requisite changes to the definition of “LIBO Rate” as set forth therein and such other related changes as may be applicable thereto, in each case, with only the consent of the Persons set forth in such definition of “LIBO Rate”. </w:t>
      </w:r>
    </w:p>
    <w:p>
      <w:pPr>
        <w:pStyle w:val="TextBody"/>
        <w:bidi w:val="0"/>
        <w:spacing w:before="36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pay, if the Effective Date occurs and the Transactions have been consummated, (i) all reasonable and documented and invoiced out-of-pocket costs and expenses incurred by the Administrative Agent, the Joint Lead Arrangers, each Issuing Bank, the Swingline Lender, the Lenders and their respective Affiliates (without duplication) (limited, in the case of (x) legal fees and expenses, to the reasonable and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Administrative Agent, each Issuing Bank or any Lender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p>
    <w:p>
      <w:pPr>
        <w:pStyle w:val="TextBody"/>
        <w:bidi w:val="0"/>
        <w:spacing w:before="0" w:after="0"/>
        <w:jc w:val="left"/>
        <w:rPr>
          <w:rFonts w:ascii="Times New Roman" w:hAnsi="Times New Roman"/>
          <w:sz w:val="20"/>
        </w:rPr>
      </w:pPr>
      <w:r>
        <w:rPr>
          <w:rFonts w:ascii="Times New Roman" w:hAnsi="Times New Roman"/>
          <w:sz w:val="20"/>
        </w:rPr>
        <w:t xml:space="preserve">been retained with Bidco’s consent in writing (such consent not to be unreasonably withheld or delayed)), in each case for the 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Administrative Agent, each Issuing Bank or any Lender, including the fees, charges and disbursements of counsel for the Administrative Agent, the Issuing Banks and the Lenders (without duplication) (limited, in the case of (x) legal fees and expenses, to the reasonable, documented and invoiced fees, charges and disbursements of one primary counsel and to the extent reasonably determined by the Administrative Agent to be necessary, one local counsel in each relevant material jurisdiction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Bidco’s written consent (such consent not to be unreasonably withheld or delayed), in connection with the enforcement or protection of any rights or remedies (A) in connection with the Loan Documents (including all such costs and expenses incurred during any legal proceeding, including any proceeding under any Debtor Relief Laws), including its rights under this </w:t>
      </w:r>
      <w:r>
        <w:rPr>
          <w:rFonts w:ascii="Times New Roman" w:hAnsi="Times New Roman"/>
          <w:sz w:val="20"/>
          <w:u w:val="single"/>
        </w:rPr>
        <w:t>Section 9.03</w:t>
      </w:r>
      <w:r>
        <w:rPr>
          <w:rFonts w:ascii="Times New Roman" w:hAnsi="Times New Roman"/>
          <w:sz w:val="20"/>
        </w:rPr>
        <w:t xml:space="preserve"> or (B) in connection with the Loans made or Letters of Credit issued hereunder, including all such out-of-pocket costs and expenses incurred during any workout, restructuring or negotiations in respect of such Loans or Letters of Credit. </w:t>
      </w:r>
    </w:p>
    <w:p>
      <w:pPr>
        <w:pStyle w:val="TextBody"/>
        <w:bidi w:val="0"/>
        <w:spacing w:before="240" w:after="0"/>
        <w:jc w:val="left"/>
        <w:rPr>
          <w:rFonts w:ascii="Times New Roman" w:hAnsi="Times New Roman"/>
          <w:sz w:val="20"/>
        </w:rPr>
      </w:pPr>
      <w:r>
        <w:rPr>
          <w:rFonts w:ascii="Times New Roman" w:hAnsi="Times New Roman"/>
          <w:sz w:val="20"/>
        </w:rPr>
        <w:t>(b) Without duplication of the expense reimbursement obligations pursuant to clause (a) above, the Borrowers shall indemnify the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incurred by or asserted against any Indemnitee by any third party or by Bidco, any Intermediate Parent, Holdings or any Subsidiary to the extent arising out of, in connection with, or as a result of any actual or prospective claim, litigation, investigation or proceeding, whether based on contract, tort or any other theory, whether brought by a third party or by Bidco, any Intermediate Parent, Holdings or any Subsidiary or their Affiliates and regardless of whether any Indemnitee is a party thereto relating to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or the syndication of the credit facilities provided for herein, (ii) any Loan or Letter of Credit or the use of the proceeds therefrom or (iii) to the extent in any way arising from or relating to any of the foregoing, any Release or threat of Release of Hazardous Materials on, at, to or from any real property or facility owned, leased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p>
    <w:p>
      <w:pPr>
        <w:pStyle w:val="TextBody"/>
        <w:bidi w:val="0"/>
        <w:spacing w:before="0" w:after="0"/>
        <w:jc w:val="left"/>
        <w:rPr>
          <w:rFonts w:ascii="Times New Roman" w:hAnsi="Times New Roman"/>
          <w:sz w:val="20"/>
        </w:rPr>
      </w:pPr>
      <w:r>
        <w:rPr>
          <w:rFonts w:ascii="Times New Roman" w:hAnsi="Times New Roman"/>
          <w:sz w:val="20"/>
        </w:rPr>
        <w:t xml:space="preserve">operated by Holdings, any Intermediate Parent, Bidco or any Subsidiary, or any other Environmental Liability of Holdings, any Intermediate Parent, Bidco or any Subsidiary;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Loan Documents by such Indemnitee or its Related Parties (as determined by a court of competent jurisdiction in a final and non-appealable judgment), (y) arise from disputes between or among Indemnitees (other than disputes involving claims against the Administrative Agent, the Collateral Agent or the Joint Lead Arrangers, any Issuing Bank or the Swingline Lender, in each case, in their respective capacities) that do not involve an act or omission by Holdings, Bidco or any Restricted Subsidiary or (z) resulted from any settlement effected without Bidco’s prior written consent (such consent not to be unreasonably withheld or delayed), but if settled with Bidco’s prior written consent, Bidco will indemnify and hold harmless each Indemnitee from and against any and all losses, claims, damages, liabilities and expenses by reason of such settlement in accordance with this paragraph;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Bidco shall not, without the prior written consent of the applicable Indemnitee (which consent shall not be unreasonably withheld, delayed or conditioned), effect any settlement of any pending or threatened claim, litigation, investigation or proceeding in respect of which indemnity could have been sought hereunder by such Indemnitee unless (a) such settlement includes a full and unconditional release of such Indemnitee in form and substance reasonably satisfactory to such Indemnitee from all liability on claims that are the subject matter of such claim, litigation, investigation or proceeding and (b) does not include any statement as to or any admission of fault, culpability or a failure to act by or on behalf of such Indemnitee and (2) to the extent of any amounts paid to an Indemnitee in respect of this </w:t>
      </w:r>
      <w:r>
        <w:rPr>
          <w:rFonts w:ascii="Times New Roman" w:hAnsi="Times New Roman"/>
          <w:sz w:val="20"/>
          <w:u w:val="single"/>
        </w:rPr>
        <w:t>Section 9.03</w:t>
      </w:r>
      <w:r>
        <w:rPr>
          <w:rFonts w:ascii="Times New Roman" w:hAnsi="Times New Roman"/>
          <w:sz w:val="20"/>
        </w:rPr>
        <w:t xml:space="preserve">, such Indemnitee, by its acceptance of the benefits hereof, agrees to refund and return any and all amounts paid by the Borrowers to it if, pursuant to the operation of any of the foregoing clauses (w) through (z), such Indemnitee was not entitled to receipt of such amount.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Borrowers fail to pay any amount required to be paid by it to any Agent or any Lender under paragraph (a) or (b) of this </w:t>
      </w:r>
      <w:r>
        <w:rPr>
          <w:rFonts w:ascii="Times New Roman" w:hAnsi="Times New Roman"/>
          <w:sz w:val="20"/>
          <w:u w:val="single"/>
        </w:rPr>
        <w:t>Section 9.03</w:t>
      </w:r>
      <w:r>
        <w:rPr>
          <w:rFonts w:ascii="Times New Roman" w:hAnsi="Times New Roman"/>
          <w:sz w:val="20"/>
        </w:rPr>
        <w:t xml:space="preserve">, each Lender severally agrees to pay to such Agent or such Lender, as the case may be, such Lender’s pro rata share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such Agent or such Lender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w:t>
      </w:r>
      <w:r>
        <w:rPr>
          <w:rFonts w:ascii="Times New Roman" w:hAnsi="Times New Roman"/>
          <w:sz w:val="20"/>
          <w:u w:val="single"/>
        </w:rPr>
        <w:t>Section 2.02(a)</w:t>
      </w:r>
      <w:r>
        <w:rPr>
          <w:rFonts w:ascii="Times New Roman" w:hAnsi="Times New Roman"/>
          <w:sz w:val="20"/>
        </w:rPr>
        <w:t xml:space="preserve"> (which shall apply </w:t>
      </w:r>
      <w:r>
        <w:rPr>
          <w:rFonts w:ascii="Times New Roman" w:hAnsi="Times New Roman"/>
          <w:i/>
          <w:sz w:val="20"/>
        </w:rPr>
        <w:t xml:space="preserve">mutatis mutandis </w:t>
      </w:r>
      <w:r>
        <w:rPr>
          <w:rFonts w:ascii="Times New Roman" w:hAnsi="Times New Roman"/>
          <w:sz w:val="20"/>
        </w:rPr>
        <w:t xml:space="preserve">to the Lenders’ obligations under this paragraph (c)).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the Borrowers fail to pay any amount required to be paid by it to any Issuing Bank under paragraph (a) or (b) of this </w:t>
      </w:r>
      <w:r>
        <w:rPr>
          <w:rFonts w:ascii="Times New Roman" w:hAnsi="Times New Roman"/>
          <w:sz w:val="20"/>
          <w:u w:val="single"/>
        </w:rPr>
        <w:t>Section 9.03</w:t>
      </w:r>
      <w:r>
        <w:rPr>
          <w:rFonts w:ascii="Times New Roman" w:hAnsi="Times New Roman"/>
          <w:sz w:val="20"/>
        </w:rPr>
        <w:t xml:space="preserve">, each Revolving Lender severally agrees to pay to such Issuing Bank such Revolving Lender’s pro rata share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such Issuing Bank in its capacity as such. For purposes hereof, a Revolving Lender’s “pro rata share” shall be determined based upon its share of the aggregate Revolving Exposures. The obligations of the Revolving Lenders under this paragraph (d) are subject to the last sentence of </w:t>
      </w:r>
      <w:r>
        <w:rPr>
          <w:rFonts w:ascii="Times New Roman" w:hAnsi="Times New Roman"/>
          <w:sz w:val="20"/>
          <w:u w:val="single"/>
        </w:rPr>
        <w:t>Section 2.02(a)</w:t>
      </w:r>
      <w:r>
        <w:rPr>
          <w:rFonts w:ascii="Times New Roman" w:hAnsi="Times New Roman"/>
          <w:sz w:val="20"/>
        </w:rPr>
        <w:t xml:space="preserve"> (which shall apply </w:t>
      </w:r>
      <w:r>
        <w:rPr>
          <w:rFonts w:ascii="Times New Roman" w:hAnsi="Times New Roman"/>
          <w:i/>
          <w:sz w:val="20"/>
        </w:rPr>
        <w:t xml:space="preserve">mutatis mutandis </w:t>
      </w:r>
      <w:r>
        <w:rPr>
          <w:rFonts w:ascii="Times New Roman" w:hAnsi="Times New Roman"/>
          <w:sz w:val="20"/>
        </w:rPr>
        <w:t xml:space="preserve">to the Revolving Lenders’ obligations under this paragraph (d)).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no party hereto nor any Affiliate of any party hereto, nor any officer, director, employee, agent, controlling person, advisor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p>
    <w:p>
      <w:pPr>
        <w:pStyle w:val="TextBody"/>
        <w:bidi w:val="0"/>
        <w:spacing w:before="0" w:after="0"/>
        <w:jc w:val="left"/>
        <w:rPr>
          <w:rFonts w:ascii="Times New Roman" w:hAnsi="Times New Roman"/>
          <w:sz w:val="20"/>
        </w:rPr>
      </w:pPr>
      <w:r>
        <w:rPr>
          <w:rFonts w:ascii="Times New Roman" w:hAnsi="Times New Roman"/>
          <w:sz w:val="20"/>
        </w:rPr>
        <w:t xml:space="preserve">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loss of profits, business or anticipated savings) (whether or not the claim therefor is based on contract, tort or duty imposed by any applicable legal requirement)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hAnsi="Times New Roman"/>
          <w:sz w:val="20"/>
          <w:u w:val="single"/>
        </w:rPr>
        <w:t>provided</w:t>
      </w:r>
      <w:r>
        <w:rPr>
          <w:rFonts w:ascii="Times New Roman" w:hAnsi="Times New Roman"/>
          <w:sz w:val="20"/>
        </w:rPr>
        <w:t xml:space="preserve"> that the foregoing shall in no event limit the Borrowers’ indemnification obligations under clause (b) above. </w:t>
      </w:r>
    </w:p>
    <w:p>
      <w:pPr>
        <w:pStyle w:val="TextBody"/>
        <w:bidi w:val="0"/>
        <w:spacing w:before="240" w:after="0"/>
        <w:jc w:val="left"/>
        <w:rPr>
          <w:rFonts w:ascii="Times New Roman" w:hAnsi="Times New Roman"/>
          <w:sz w:val="20"/>
        </w:rPr>
      </w:pPr>
      <w:r>
        <w:rPr>
          <w:rFonts w:ascii="Times New Roman" w:hAnsi="Times New Roman"/>
          <w:sz w:val="20"/>
        </w:rPr>
        <w:t xml:space="preserve">(f) In case any proceeding is instituted involving any Indemnitee for which indemnification is to be sought hereunder by such Indemnitee, then such Indemnitee will promptly notify Bidco and the Borrowers of the commencement of any proceeding;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do so will not relieve the Borrowers from any liability that it may have to such Indemnitee hereunder, except to the extent that the Borrowers are materially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Agreement, to the extent permitted by applicable law, no party hereto nor any Indemnitee shall assert, and each hereby waives, any claim against any other Person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except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(h) All amounts due under this </w:t>
      </w:r>
      <w:r>
        <w:rPr>
          <w:rFonts w:ascii="Times New Roman" w:hAnsi="Times New Roman"/>
          <w:sz w:val="20"/>
          <w:u w:val="single"/>
        </w:rPr>
        <w:t>Section 9.03</w:t>
      </w:r>
      <w:r>
        <w:rPr>
          <w:rFonts w:ascii="Times New Roman" w:hAnsi="Times New Roman"/>
          <w:sz w:val="20"/>
        </w:rPr>
        <w:t xml:space="preserve"> shall be payable not later than ten (10) Business Days after written demand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or otherwise transfer any of their rights or obligations hereunder without the prior written consent of each Lender, each Issuing Bank and the acknowledgement of the Administrative Agent (and any attempted assignment or transfer by the Borrowers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w:t>
      </w:r>
      <w:r>
        <w:rPr>
          <w:rFonts w:ascii="Times New Roman" w:hAnsi="Times New Roman"/>
          <w:sz w:val="20"/>
          <w:u w:val="single"/>
        </w:rPr>
        <w:t>Section 9.04</w:t>
      </w:r>
      <w:r>
        <w:rPr>
          <w:rFonts w:ascii="Times New Roman" w:hAnsi="Times New Roman"/>
          <w:sz w:val="20"/>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w:t>
      </w:r>
      <w:r>
        <w:rPr>
          <w:rFonts w:ascii="Times New Roman" w:hAnsi="Times New Roman"/>
          <w:sz w:val="20"/>
          <w:u w:val="single"/>
        </w:rPr>
        <w:t>Section 9.04</w:t>
      </w:r>
      <w:r>
        <w:rPr>
          <w:rFonts w:ascii="Times New Roman" w:hAnsi="Times New Roman"/>
          <w:sz w:val="20"/>
        </w:rPr>
        <w:t xml:space="preserve">), the Indemnitees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p>
    <w:p>
      <w:pPr>
        <w:pStyle w:val="TextBody"/>
        <w:bidi w:val="0"/>
        <w:spacing w:before="0" w:after="0"/>
        <w:jc w:val="left"/>
        <w:rPr>
          <w:rFonts w:ascii="Times New Roman" w:hAnsi="Times New Roman"/>
          <w:sz w:val="20"/>
        </w:rPr>
      </w:pPr>
      <w:r>
        <w:rPr>
          <w:rFonts w:ascii="Times New Roman" w:hAnsi="Times New Roman"/>
          <w:sz w:val="20"/>
        </w:rPr>
        <w:t xml:space="preserve">(b) (i) Subject to the conditions set forth in paragraphs (b)(ii), (f) and (j)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Bidco) not to be unreasonably withheld or delayed) of (A) Bidco; </w:t>
      </w:r>
      <w:r>
        <w:rPr>
          <w:rFonts w:ascii="Times New Roman" w:hAnsi="Times New Roman"/>
          <w:sz w:val="20"/>
          <w:u w:val="single"/>
        </w:rPr>
        <w:t>provided</w:t>
      </w:r>
      <w:r>
        <w:rPr>
          <w:rFonts w:ascii="Times New Roman" w:hAnsi="Times New Roman"/>
          <w:sz w:val="20"/>
        </w:rPr>
        <w:t xml:space="preserve"> that no consent of Bidco shall be required for an assignment (w) by any Joint Lead Arranger (or its Affiliate) to the extent that an assignment by such Joint Lead Arranger (or such Affiliate) is made in the primary syndication to Eligible Assignees to whom Bidco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or an Affiliate of a Revolving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assignee contemplated by the immediately preceding proviso shall be entitled to receive any greater payment under </w:t>
      </w:r>
      <w:r>
        <w:rPr>
          <w:rFonts w:ascii="Times New Roman" w:hAnsi="Times New Roman"/>
          <w:sz w:val="20"/>
          <w:u w:val="single"/>
        </w:rPr>
        <w:t>Section 2.14</w:t>
      </w:r>
      <w:r>
        <w:rPr>
          <w:rFonts w:ascii="Times New Roman" w:hAnsi="Times New Roman"/>
          <w:sz w:val="20"/>
        </w:rPr>
        <w:t xml:space="preserve"> than the applicable assignor would have been entitled to receive with respect to the assignment made to such assignee, unless the assignment to such assignee is made with Bidco’s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shall have the right to withhold its consent to any assignment if in order for such assignment to comply with applicable law, Bidco would be required to obtain the consent of, or make any filing or registration with, any Governmental Authority, (B)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a Term Loan to (x) a Lender, an Affiliate of a Lender or an Approved Fund or (y) subject to </w:t>
      </w:r>
      <w:r>
        <w:rPr>
          <w:rFonts w:ascii="Times New Roman" w:hAnsi="Times New Roman"/>
          <w:sz w:val="20"/>
          <w:u w:val="single"/>
        </w:rPr>
        <w:t>Section 9.04(f)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an Affiliated Lender, Holdings, Bidco or any of its Subsidiaries and (C) solely in the case of Revolving Loans and Revolving Commitments, each Issuing Bank and the Swingline Lender (not to be unreasonably withheld or delayed); </w:t>
      </w:r>
      <w:r>
        <w:rPr>
          <w:rFonts w:ascii="Times New Roman" w:hAnsi="Times New Roman"/>
          <w:sz w:val="20"/>
          <w:u w:val="single"/>
        </w:rPr>
        <w:t>provided</w:t>
      </w:r>
      <w:r>
        <w:rPr>
          <w:rFonts w:ascii="Times New Roman" w:hAnsi="Times New Roman"/>
          <w:sz w:val="20"/>
        </w:rPr>
        <w:t xml:space="preserve"> that, for the avoidance of doubt, no consent of any Issuing Bank or the Swingline Lender shall be required for an assignment of all or any portion of a Term Loan or Term Commitment. Notwithstanding anything in this </w:t>
      </w:r>
      <w:r>
        <w:rPr>
          <w:rFonts w:ascii="Times New Roman" w:hAnsi="Times New Roman"/>
          <w:sz w:val="20"/>
          <w:u w:val="single"/>
        </w:rPr>
        <w:t>Section 9.04</w:t>
      </w:r>
      <w:r>
        <w:rPr>
          <w:rFonts w:ascii="Times New Roman" w:hAnsi="Times New Roman"/>
          <w:sz w:val="20"/>
        </w:rPr>
        <w:t xml:space="preserve"> to the contrary, if Bidco has not given the Administrative Agent written notice of its objection to an assignment of Term Loans within ten (10) Business Days after written notice of such assignment, Bidco shall be deemed to have consented to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$2,500,000 (and integral multiples thereof) or, in the case of a Term Loan, $1,000,000 (and integral multiples thereof), unless Bidco and the Administrative Agent otherwise consent (in each case, such consent not to be unreasonably withheld or delayed); </w:t>
      </w:r>
      <w:r>
        <w:rPr>
          <w:rFonts w:ascii="Times New Roman" w:hAnsi="Times New Roman"/>
          <w:sz w:val="20"/>
          <w:u w:val="single"/>
        </w:rPr>
        <w:t>provided</w:t>
      </w:r>
      <w:r>
        <w:rPr>
          <w:rFonts w:ascii="Times New Roman" w:hAnsi="Times New Roman"/>
          <w:sz w:val="20"/>
        </w:rPr>
        <w:t xml:space="preserve"> that no such consent of Bidco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Times New Roman" w:hAnsi="Times New Roman"/>
          <w:sz w:val="20"/>
          <w:u w:val="single"/>
        </w:rPr>
        <w:t>provided</w:t>
      </w:r>
      <w:r>
        <w:rPr>
          <w:rFonts w:ascii="Times New Roman" w:hAnsi="Times New Roman"/>
          <w:sz w:val="20"/>
        </w:rPr>
        <w:t xml:space="preserv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in its sole discretion, may elect to waive or reduce such processing and recordation fee;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and Assumption shall include a representation by the assignee that the assignee is not a Disqualified Lender or an Affiliate of a Disqualified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assignments made pursuant to </w:t>
      </w:r>
      <w:r>
        <w:rPr>
          <w:rFonts w:ascii="Times New Roman" w:hAnsi="Times New Roman"/>
          <w:sz w:val="20"/>
          <w:u w:val="single"/>
        </w:rPr>
        <w:t>Section 2.18(b)</w:t>
      </w:r>
      <w:r>
        <w:rPr>
          <w:rFonts w:ascii="Times New Roman" w:hAnsi="Times New Roman"/>
          <w:sz w:val="20"/>
        </w:rPr>
        <w:t xml:space="preserve"> or </w:t>
      </w:r>
      <w:r>
        <w:rPr>
          <w:rFonts w:ascii="Times New Roman" w:hAnsi="Times New Roman"/>
          <w:sz w:val="20"/>
          <w:u w:val="single"/>
        </w:rPr>
        <w:t>Section 9.02(c)</w:t>
      </w:r>
      <w:r>
        <w:rPr>
          <w:rFonts w:ascii="Times New Roman" w:hAnsi="Times New Roman"/>
          <w:sz w:val="20"/>
        </w:rPr>
        <w:t xml:space="preserve"> shall not require the signature of the assigning Lender to become effective, (D) the assignee, if it shall not be a Lender, shall deliver to the Administrative Agent any tax forms required by </w:t>
      </w:r>
      <w:r>
        <w:rPr>
          <w:rFonts w:ascii="Times New Roman" w:hAnsi="Times New Roman"/>
          <w:sz w:val="20"/>
          <w:u w:val="single"/>
        </w:rPr>
        <w:t>Section 2.16(e)</w:t>
      </w:r>
      <w:r>
        <w:rPr>
          <w:rFonts w:ascii="Times New Roman" w:hAnsi="Times New Roman"/>
          <w:sz w:val="20"/>
        </w:rPr>
        <w:t xml:space="preserve"> and an Administrative Questionnaire in which the assignee designates one or more credit contacts to whom all syndicate-level information (which may contain Material Non-Public Information about Bidco, the Loan Parties and their Related Parties or their respective securities) will be made available and who may receive such information in accordance with the assignee’s compliance procedures and applicable laws, including Federal and state securities laws and (E) unless Bidco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w:t>
      </w:r>
      <w:r>
        <w:rPr>
          <w:rFonts w:ascii="Times New Roman" w:hAnsi="Times New Roman"/>
          <w:sz w:val="20"/>
          <w:u w:val="single"/>
        </w:rPr>
        <w:t>Section 2.04(b)</w:t>
      </w:r>
      <w:r>
        <w:rPr>
          <w:rFonts w:ascii="Times New Roman" w:hAnsi="Times New Roman"/>
          <w:sz w:val="20"/>
        </w:rPr>
        <w:t xml:space="preserve"> by an amount not to exceed the difference between the assignor’s Revolving Commitment prior to such assignment and the assignor’s Revolving Commitment following such assignment; </w:t>
      </w:r>
      <w:r>
        <w:rPr>
          <w:rFonts w:ascii="Times New Roman" w:hAnsi="Times New Roman"/>
          <w:sz w:val="20"/>
          <w:u w:val="single"/>
        </w:rPr>
        <w:t>provided</w:t>
      </w:r>
      <w:r>
        <w:rPr>
          <w:rFonts w:ascii="Times New Roman" w:hAnsi="Times New Roman"/>
          <w:sz w:val="20"/>
        </w:rPr>
        <w:t xml:space="preserve"> that no such consent of Bidco shall be required if a Specified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(b)(v) of this </w:t>
      </w:r>
      <w:r>
        <w:rPr>
          <w:rFonts w:ascii="Times New Roman" w:hAnsi="Times New Roman"/>
          <w:sz w:val="20"/>
          <w:u w:val="single"/>
        </w:rPr>
        <w:t>Section 9.04</w:t>
      </w:r>
      <w:r>
        <w:rPr>
          <w:rFonts w:ascii="Times New Roman" w:hAnsi="Times New Roman"/>
          <w:sz w:val="20"/>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Times New Roman" w:hAnsi="Times New Roman"/>
          <w:sz w:val="20"/>
          <w:u w:val="single"/>
        </w:rPr>
        <w:t>Sections 2.14</w:t>
      </w:r>
      <w:r>
        <w:rPr>
          <w:rFonts w:ascii="Times New Roman" w:hAnsi="Times New Roman"/>
          <w:sz w:val="20"/>
        </w:rPr>
        <w:t>,</w:t>
      </w:r>
      <w:r>
        <w:rPr>
          <w:rFonts w:ascii="Times New Roman" w:hAnsi="Times New Roman"/>
          <w:sz w:val="20"/>
          <w:u w:val="single"/>
        </w:rPr>
        <w:t xml:space="preserve">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to any fees payable hereunder that have accrued for such Lender’s account but have not yet been paid). Any assignment or transfer by a Lender of rights or obligations under this Agreement that does not comply with this </w:t>
      </w:r>
      <w:r>
        <w:rPr>
          <w:rFonts w:ascii="Times New Roman" w:hAnsi="Times New Roman"/>
          <w:sz w:val="20"/>
          <w:u w:val="single"/>
        </w:rPr>
        <w:t>Section 9.04</w:t>
      </w:r>
      <w:r>
        <w:rPr>
          <w:rFonts w:ascii="Times New Roman" w:hAnsi="Times New Roman"/>
          <w:sz w:val="20"/>
        </w:rPr>
        <w:t xml:space="preserve"> shall be treated for purposes of this Agreement as a sale by such Lender of a participation in such rights and obligations in accordance with paragraph (c)(i) of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Bidco,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Notwithstanding the foregoing, in no event shall the Administrative Agent be obligated to ascertain, monitor or inquire as to whether any Lender is an Affiliated Lender, nor shall the Administrative Agent be obligated to monitor the aggregate amount of the Loans held by Affiliated Lenders. The entries in the Register shall be conclusive absent manifest error, and Holdings, Bidco, the Administrative Agent, the Issuing Banks and the Lenders shall treat each Person whose name is recorded in the Register pursuant to the terms hereof as a Lender hereunder for all purposes of this Agreement, notwithstanding notice to the contrary. In addition,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shall maintain on the Register information regarding the designation, and revocation of designation, of any Lender as a Defaulting Lender. The Register shall be available for inspection by Bidco, the Borrowers, the Issuing Banks (with respect to Revolving Lenders only), the Collateral Agent, affiliates of the Administrative Agent and any Lender (in each case as to its own interest, but not the interest of any other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and an assignee, the assignee’s completed Administrative Questionnaire and any tax forms required by </w:t>
      </w:r>
      <w:r>
        <w:rPr>
          <w:rFonts w:ascii="Times New Roman" w:hAnsi="Times New Roman"/>
          <w:sz w:val="20"/>
          <w:u w:val="single"/>
        </w:rPr>
        <w:t>Section 2.16(e)</w:t>
      </w:r>
      <w:r>
        <w:rPr>
          <w:rFonts w:ascii="Times New Roman" w:hAnsi="Times New Roman"/>
          <w:sz w:val="20"/>
        </w:rPr>
        <w:t xml:space="preserve"> (unless the assignee shall already be a Lender hereunder), the processing and recordation fee referred to in paragraph (b) of this </w:t>
      </w:r>
      <w:r>
        <w:rPr>
          <w:rFonts w:ascii="Times New Roman" w:hAnsi="Times New Roman"/>
          <w:sz w:val="20"/>
          <w:u w:val="single"/>
        </w:rPr>
        <w:t>Section 9.04</w:t>
      </w:r>
      <w:r>
        <w:rPr>
          <w:rFonts w:ascii="Times New Roman" w:hAnsi="Times New Roman"/>
          <w:sz w:val="20"/>
        </w:rPr>
        <w:t xml:space="preserve"> and any written consent to such assignment required by paragraph (b) of this </w:t>
      </w:r>
      <w:r>
        <w:rPr>
          <w:rFonts w:ascii="Times New Roman" w:hAnsi="Times New Roman"/>
          <w:sz w:val="20"/>
          <w:u w:val="single"/>
        </w:rPr>
        <w:t>Section 9.04</w:t>
      </w:r>
      <w:r>
        <w:rPr>
          <w:rFonts w:ascii="Times New Roman" w:hAnsi="Times New Roman"/>
          <w:sz w:val="20"/>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Bidco, the Borrowers, the Administrative Agent, the Issuing Banks or the Swingline Lender, sell participations to one or more banks or other Persons (other than to a Person that is not an Eligible Assignee)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Holdings, Bidco,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clauses (i), (ii), (iii), (vi) and (vii) of the first proviso to </w:t>
      </w:r>
      <w:r>
        <w:rPr>
          <w:rFonts w:ascii="Times New Roman" w:hAnsi="Times New Roman"/>
          <w:sz w:val="20"/>
          <w:u w:val="single"/>
        </w:rPr>
        <w:t>Section 9.02(b)</w:t>
      </w:r>
      <w:r>
        <w:rPr>
          <w:rFonts w:ascii="Times New Roman" w:hAnsi="Times New Roman"/>
          <w:sz w:val="20"/>
        </w:rPr>
        <w:t xml:space="preserve"> that directly and adversely affects such Participant. Subject to paragraph (c)(iii) of this Section, Bidco agrees that each Participant shall be entitled to the benefits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2.16</w:t>
      </w:r>
      <w:r>
        <w:rPr>
          <w:rFonts w:ascii="Times New Roman" w:hAnsi="Times New Roman"/>
          <w:sz w:val="20"/>
        </w:rPr>
        <w:t xml:space="preserve"> (subject to the obligations and limitations thereof and </w:t>
      </w:r>
      <w:r>
        <w:rPr>
          <w:rFonts w:ascii="Times New Roman" w:hAnsi="Times New Roman"/>
          <w:sz w:val="20"/>
          <w:u w:val="single"/>
        </w:rPr>
        <w:t>Section 2.18</w:t>
      </w:r>
      <w:r>
        <w:rPr>
          <w:rFonts w:ascii="Times New Roman" w:hAnsi="Times New Roman"/>
          <w:sz w:val="20"/>
        </w:rPr>
        <w:t xml:space="preserve">, it being understood that any tax forms required by </w:t>
      </w:r>
      <w:r>
        <w:rPr>
          <w:rFonts w:ascii="Times New Roman" w:hAnsi="Times New Roman"/>
          <w:sz w:val="20"/>
          <w:u w:val="single"/>
        </w:rPr>
        <w:t>Section 2.16(e)</w:t>
      </w:r>
      <w:r>
        <w:rPr>
          <w:rFonts w:ascii="Times New Roman" w:hAnsi="Times New Roman"/>
          <w:sz w:val="20"/>
        </w:rPr>
        <w:t xml:space="preserve"> shall be provided solely to the participating Lender) to the same extent as if it were a Lender and had acquired its interest by assignment pursuant to paragraph (b) of this </w:t>
      </w:r>
      <w:r>
        <w:rPr>
          <w:rFonts w:ascii="Times New Roman" w:hAnsi="Times New Roman"/>
          <w:sz w:val="20"/>
          <w:u w:val="single"/>
        </w:rPr>
        <w:t>Section 9.04</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9.08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2.17(c)</w:t>
      </w:r>
      <w:r>
        <w:rPr>
          <w:rFonts w:ascii="Times New Roman" w:hAnsi="Times New Roman"/>
          <w:sz w:val="20"/>
        </w:rPr>
        <w:t xml:space="preserve"> as though it were a Lender. </w:t>
      </w:r>
    </w:p>
    <w:p>
      <w:pPr>
        <w:pStyle w:val="TextBody"/>
        <w:bidi w:val="0"/>
        <w:spacing w:before="120" w:after="0"/>
        <w:jc w:val="left"/>
        <w:rPr>
          <w:rFonts w:ascii="Times New Roman" w:hAnsi="Times New Roman"/>
          <w:sz w:val="20"/>
        </w:rPr>
      </w:pPr>
      <w:r>
        <w:rPr>
          <w:rFonts w:ascii="Times New Roman" w:hAnsi="Times New Roman"/>
          <w:sz w:val="20"/>
        </w:rPr>
        <w:t xml:space="preserve">(ii) Each Lender that sells a participation shall, acting solely for this purpose as a non-fiduciary agent of Bidco, maintain a register on which it enters the name and address of each Participant and the principal amounts (and related interest amounts) of each participant’s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p>
    <w:p>
      <w:pPr>
        <w:pStyle w:val="TextBody"/>
        <w:bidi w:val="0"/>
        <w:spacing w:before="0" w:after="0"/>
        <w:jc w:val="left"/>
        <w:rPr>
          <w:rFonts w:ascii="Times New Roman" w:hAnsi="Times New Roman"/>
          <w:sz w:val="20"/>
        </w:rPr>
      </w:pPr>
      <w:r>
        <w:rPr>
          <w:rFonts w:ascii="Times New Roman" w:hAnsi="Times New Roman"/>
          <w:sz w:val="20"/>
        </w:rPr>
        <w:t>in the Loans or other obligations under this Agreement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(iii) A Participant (other than a Revolving Lender pursuant to </w:t>
      </w:r>
      <w:r>
        <w:rPr>
          <w:rFonts w:ascii="Times New Roman" w:hAnsi="Times New Roman"/>
          <w:sz w:val="20"/>
          <w:u w:val="single"/>
        </w:rPr>
        <w:t>Section 2.04(e)</w:t>
      </w:r>
      <w:r>
        <w:rPr>
          <w:rFonts w:ascii="Times New Roman" w:hAnsi="Times New Roman"/>
          <w:sz w:val="20"/>
        </w:rPr>
        <w:t xml:space="preserve">) shall not be entitled to receive any greater payment under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Bidco’s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without the consent of Bidco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Times New Roman" w:hAnsi="Times New Roman"/>
          <w:sz w:val="20"/>
          <w:u w:val="single"/>
        </w:rPr>
        <w:t>Section 9.04</w:t>
      </w:r>
      <w:r>
        <w:rPr>
          <w:rFonts w:ascii="Times New Roman" w:hAnsi="Times New Roman"/>
          <w:sz w:val="20"/>
        </w:rPr>
        <w:t xml:space="preserve">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Bidco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any Lender may, at any time, assign all or a portion of its rights and obligations under this Agreement to an Affiliated Lender subject to the following limitations: </w:t>
      </w:r>
    </w:p>
    <w:p>
      <w:pPr>
        <w:pStyle w:val="TextBody"/>
        <w:bidi w:val="0"/>
        <w:spacing w:before="120" w:after="0"/>
        <w:jc w:val="left"/>
        <w:rPr>
          <w:rFonts w:ascii="Times New Roman" w:hAnsi="Times New Roman"/>
          <w:sz w:val="20"/>
        </w:rPr>
      </w:pPr>
      <w:r>
        <w:rPr>
          <w:rFonts w:ascii="Times New Roman" w:hAnsi="Times New Roman"/>
          <w:sz w:val="20"/>
        </w:rPr>
        <w:t xml:space="preserve">(i) Affiliated Lenders (other than Affiliated Debt Funds) will not receive information provided solely to Lenders by the Administrative Agent or any Lender and will not be permitted to attend or participate in meetings attended solely by the Lenders and the Administrative Agent, other than the right to receives notices of Borrowings, notices of prepayments and other administrative notices in respect of its Loans or Commitments required to be delivered to Lenders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p>
    <w:p>
      <w:pPr>
        <w:pStyle w:val="TextBody"/>
        <w:bidi w:val="0"/>
        <w:spacing w:before="0" w:after="0"/>
        <w:jc w:val="left"/>
        <w:rPr>
          <w:rFonts w:ascii="Times New Roman" w:hAnsi="Times New Roman"/>
          <w:sz w:val="20"/>
        </w:rPr>
      </w:pPr>
      <w:r>
        <w:rPr>
          <w:rFonts w:ascii="Times New Roman" w:hAnsi="Times New Roman"/>
          <w:sz w:val="20"/>
        </w:rPr>
        <w:t xml:space="preserve">(ii) for purposes of any amendment, waiver or modification of any Loan Document (including such modifications pursuant to </w:t>
      </w:r>
      <w:r>
        <w:rPr>
          <w:rFonts w:ascii="Times New Roman" w:hAnsi="Times New Roman"/>
          <w:sz w:val="20"/>
          <w:u w:val="single"/>
        </w:rPr>
        <w:t>Section 9.02</w:t>
      </w:r>
      <w:r>
        <w:rPr>
          <w:rFonts w:ascii="Times New Roman" w:hAnsi="Times New Roman"/>
          <w:sz w:val="20"/>
        </w:rPr>
        <w:t xml:space="preserve">), or, subject to </w:t>
      </w:r>
      <w:r>
        <w:rPr>
          <w:rFonts w:ascii="Times New Roman" w:hAnsi="Times New Roman"/>
          <w:sz w:val="20"/>
          <w:u w:val="single"/>
        </w:rPr>
        <w:t>Section 9.02(e)</w:t>
      </w:r>
      <w:r>
        <w:rPr>
          <w:rFonts w:ascii="Times New Roman" w:hAnsi="Times New Roman"/>
          <w:sz w:val="20"/>
        </w:rPr>
        <w:t xml:space="preserve">, any plan of reorganization pursuant to the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 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Times New Roman" w:hAnsi="Times New Roman"/>
          <w:sz w:val="20"/>
          <w:u w:val="single"/>
        </w:rPr>
        <w:t>provided</w:t>
      </w:r>
      <w:r>
        <w:rPr>
          <w:rFonts w:ascii="Times New Roman" w:hAnsi="Times New Roman"/>
          <w:sz w:val="20"/>
        </w:rPr>
        <w:t xml:space="preserve"> that Affiliated Debt Funds, will not be subject to such voting limitations and will be entitled to vote as any other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Affiliated Debt Funds may not account for more than 49.9% of the “Required Lenders” in any Required Lender vote;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principal amount of Term Loans purchased by assignment pursuant to this </w:t>
      </w:r>
      <w:r>
        <w:rPr>
          <w:rFonts w:ascii="Times New Roman" w:hAnsi="Times New Roman"/>
          <w:sz w:val="20"/>
          <w:u w:val="single"/>
        </w:rPr>
        <w:t>Section 9.04</w:t>
      </w:r>
      <w:r>
        <w:rPr>
          <w:rFonts w:ascii="Times New Roman" w:hAnsi="Times New Roman"/>
          <w:sz w:val="20"/>
        </w:rPr>
        <w:t xml:space="preserve"> and held at any one time by Affiliated Lenders (other than Affiliated Debt Funds) may not exceed 25% of the aggregate principal amount of all Term Loans outstanding at the time of such purchase, after giving effect to any substantially simultaneous cancellations thereof; </w:t>
      </w:r>
    </w:p>
    <w:p>
      <w:pPr>
        <w:pStyle w:val="TextBody"/>
        <w:bidi w:val="0"/>
        <w:spacing w:before="120" w:after="0"/>
        <w:jc w:val="left"/>
        <w:rPr>
          <w:rFonts w:ascii="Times New Roman" w:hAnsi="Times New Roman"/>
          <w:sz w:val="20"/>
        </w:rPr>
      </w:pPr>
      <w:r>
        <w:rPr>
          <w:rFonts w:ascii="Times New Roman" w:hAnsi="Times New Roman"/>
          <w:sz w:val="20"/>
        </w:rPr>
        <w:t xml:space="preserve">(iv) Affiliated Lenders shall clearly identify themselves as an Affiliated Lender in the loan assignment documentation. In no event shall the Administrative Agent be obligated to ascertain, monitor or inquire as to whether any lender is an Affiliated Lender or Affiliated Debt Fund nor shall the Administrative Agent be obligated to monitor the number of Affiliated Lenders or Affiliated Debt Funds or the aggregate amount of Term Loans or Incremental Term Loans held by Affiliated Lenders or Affiliated Debt Funds; </w:t>
      </w:r>
    </w:p>
    <w:p>
      <w:pPr>
        <w:pStyle w:val="TextBody"/>
        <w:bidi w:val="0"/>
        <w:spacing w:before="120" w:after="0"/>
        <w:jc w:val="left"/>
        <w:rPr>
          <w:rFonts w:ascii="Times New Roman" w:hAnsi="Times New Roman"/>
          <w:sz w:val="20"/>
        </w:rPr>
      </w:pPr>
      <w:r>
        <w:rPr>
          <w:rFonts w:ascii="Times New Roman" w:hAnsi="Times New Roman"/>
          <w:sz w:val="20"/>
        </w:rPr>
        <w:t xml:space="preserve">(v) 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and </w:t>
      </w:r>
    </w:p>
    <w:p>
      <w:pPr>
        <w:pStyle w:val="TextBody"/>
        <w:bidi w:val="0"/>
        <w:spacing w:before="120" w:after="0"/>
        <w:jc w:val="left"/>
        <w:rPr>
          <w:rFonts w:ascii="Times New Roman" w:hAnsi="Times New Roman"/>
          <w:sz w:val="20"/>
        </w:rPr>
      </w:pPr>
      <w:r>
        <w:rPr>
          <w:rFonts w:ascii="Times New Roman" w:hAnsi="Times New Roman"/>
          <w:sz w:val="20"/>
        </w:rPr>
        <w:t xml:space="preserve">(vi) Affiliated Lenders may not purchase Revolving Loans, including pursuant to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p>
    <w:p>
      <w:pPr>
        <w:pStyle w:val="TextBody"/>
        <w:bidi w:val="0"/>
        <w:spacing w:before="0" w:after="0"/>
        <w:jc w:val="left"/>
        <w:rPr>
          <w:rFonts w:ascii="Times New Roman" w:hAnsi="Times New Roman"/>
          <w:sz w:val="20"/>
        </w:rPr>
      </w:pPr>
      <w:r>
        <w:rPr>
          <w:rFonts w:ascii="Times New Roman" w:hAnsi="Times New Roman"/>
          <w:sz w:val="20"/>
        </w:rPr>
        <w:t>(g) Any Lender may, at any time, assign all or a portion of its Term Loans (but not Revolving Loans) to Holdings or any of its subsidiaries, through (x) Dutch auctions or other offers to purchase open to all Lenders on a pro rata basis in accordance with procedures of the type described in</w:t>
      </w:r>
      <w:r>
        <w:rPr>
          <w:rFonts w:ascii="Times New Roman" w:hAnsi="Times New Roman"/>
          <w:sz w:val="20"/>
          <w:u w:val="single"/>
        </w:rPr>
        <w:t xml:space="preserve"> Section 2.10(a)(ii)</w:t>
      </w:r>
      <w:r>
        <w:rPr>
          <w:rFonts w:ascii="Times New Roman" w:hAnsi="Times New Roman"/>
          <w:sz w:val="20"/>
        </w:rPr>
        <w:t xml:space="preserve"> or other customary procedures acceptable to the Administrative Agent and/or (y) open market purchases on a non-pro rata basis,</w:t>
      </w:r>
      <w:r>
        <w:rPr>
          <w:rFonts w:ascii="Times New Roman" w:hAnsi="Times New Roman"/>
          <w:sz w:val="20"/>
          <w:u w:val="single"/>
        </w:rPr>
        <w:t xml:space="preserve"> provided</w:t>
      </w:r>
      <w:r>
        <w:rPr>
          <w:rFonts w:ascii="Times New Roman" w:hAnsi="Times New Roman"/>
          <w:sz w:val="20"/>
        </w:rPr>
        <w:t xml:space="preserve"> that (i) the Borrowers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foregoing, no assignment may be made or participation sold to a Disqualified Lender without the prior written consent of Bidco; </w:t>
      </w:r>
      <w:r>
        <w:rPr>
          <w:rFonts w:ascii="Times New Roman" w:hAnsi="Times New Roman"/>
          <w:sz w:val="20"/>
          <w:u w:val="single"/>
        </w:rPr>
        <w:t>provided</w:t>
      </w:r>
      <w:r>
        <w:rPr>
          <w:rFonts w:ascii="Times New Roman" w:hAnsi="Times New Roman"/>
          <w:sz w:val="20"/>
        </w:rPr>
        <w:t xml:space="preserve"> that,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Bidco to such Lender and the Administrative Agent and otherwise in accordance with </w:t>
      </w:r>
      <w:r>
        <w:rPr>
          <w:rFonts w:ascii="Times New Roman" w:hAnsi="Times New Roman"/>
          <w:sz w:val="20"/>
          <w:u w:val="single"/>
        </w:rPr>
        <w:t>Section 2.18(b)</w:t>
      </w:r>
      <w:r>
        <w:rPr>
          <w:rFonts w:ascii="Times New Roman" w:hAnsi="Times New Roman"/>
          <w:sz w:val="20"/>
        </w:rPr>
        <w:t xml:space="preserve">, as applicable: (1) such Lender shall promptly assign all Loans and Commitments held by such Lender to an Eligible Assignee; </w:t>
      </w:r>
      <w:r>
        <w:rPr>
          <w:rFonts w:ascii="Times New Roman" w:hAnsi="Times New Roman"/>
          <w:sz w:val="20"/>
          <w:u w:val="single"/>
        </w:rPr>
        <w:t>provided</w:t>
      </w:r>
      <w:r>
        <w:rPr>
          <w:rFonts w:ascii="Times New Roman" w:hAnsi="Times New Roman"/>
          <w:sz w:val="20"/>
        </w:rPr>
        <w:t xml:space="preserve"> that (A) the Administrative Agent shall not have any obligation to Bidco, such Lender or any other Person to find such a replacement Lender, (B) Bidco shall not have any obligation to such Disqualified Lender or any other Person to find such a replacement Lender or accept or consent to any such assignment to itself or any other Person subject to Bidco’s consent in accordance with </w:t>
      </w:r>
      <w:r>
        <w:rPr>
          <w:rFonts w:ascii="Times New Roman" w:hAnsi="Times New Roman"/>
          <w:sz w:val="20"/>
          <w:u w:val="single"/>
        </w:rPr>
        <w:t>Section 9.04(b)(i)</w:t>
      </w:r>
      <w:r>
        <w:rPr>
          <w:rFonts w:ascii="Times New Roman" w:hAnsi="Times New Roman"/>
          <w:sz w:val="20"/>
        </w:rPr>
        <w:t xml:space="preserve">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p>
    <w:p>
      <w:pPr>
        <w:pStyle w:val="TextBody"/>
        <w:bidi w:val="0"/>
        <w:spacing w:before="0" w:after="0"/>
        <w:jc w:val="left"/>
        <w:rPr>
          <w:rFonts w:ascii="Times New Roman" w:hAnsi="Times New Roman"/>
          <w:sz w:val="20"/>
        </w:rPr>
      </w:pPr>
      <w:r>
        <w:rPr>
          <w:rFonts w:ascii="Times New Roman" w:hAnsi="Times New Roman"/>
          <w:sz w:val="20"/>
        </w:rPr>
        <w:t xml:space="preserve">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the foregoing, any Affiliated Lender shall be permitted, at its option, to contribute any Term Loans so assigned to such Affiliated Lender pursuant to this </w:t>
      </w:r>
      <w:r>
        <w:rPr>
          <w:rFonts w:ascii="Times New Roman" w:hAnsi="Times New Roman"/>
          <w:sz w:val="20"/>
          <w:u w:val="single"/>
        </w:rPr>
        <w:t>Section 9.04</w:t>
      </w:r>
      <w:r>
        <w:rPr>
          <w:rFonts w:ascii="Times New Roman" w:hAnsi="Times New Roman"/>
          <w:sz w:val="20"/>
        </w:rPr>
        <w:t xml:space="preserve"> to Holdings or any of its subsidiaries for purposes of cancellation, which contribution may be made (including, with Bidco’s consent, to Bidco, whether through Holdings or any Intermediate Parent or otherwise), in exchange for Qualified Equity Interests of Holdings, any Intermediate Parent or Bidco or Indebtedness of Bidco to the extent such Indebtedness is permitted to be incurred pursuant to </w:t>
      </w:r>
      <w:r>
        <w:rPr>
          <w:rFonts w:ascii="Times New Roman" w:hAnsi="Times New Roman"/>
          <w:sz w:val="20"/>
          <w:u w:val="single"/>
        </w:rPr>
        <w:t>Section 6.01</w:t>
      </w:r>
      <w:r>
        <w:rPr>
          <w:rFonts w:ascii="Times New Roman" w:hAnsi="Times New Roman"/>
          <w:sz w:val="20"/>
        </w:rPr>
        <w:t xml:space="preserve"> at such time. </w:t>
      </w:r>
    </w:p>
    <w:p>
      <w:pPr>
        <w:pStyle w:val="TextBody"/>
        <w:bidi w:val="0"/>
        <w:spacing w:before="240" w:after="0"/>
        <w:jc w:val="left"/>
        <w:rPr>
          <w:rFonts w:ascii="Times New Roman" w:hAnsi="Times New Roman"/>
          <w:sz w:val="20"/>
        </w:rPr>
      </w:pPr>
      <w:r>
        <w:rPr>
          <w:rFonts w:ascii="Times New Roman" w:hAnsi="Times New Roman"/>
          <w:sz w:val="20"/>
        </w:rPr>
        <w:t>(j) Notwithstanding anything to the contrary in any Loan Document, on or prior to the expiry of the Certain Funds Period: (i) any assignment transfer, sub-participation or other syndication by a Lender of all or a portion of its rights and obligations under this Agreement (including all or a portion of its Commitment and the Loans at the time owing to it) shall require the prior written consent of Bidco (in its sole discretion) and (ii) if any Lender as at the date of this Agreement (an “</w:t>
      </w:r>
      <w:r>
        <w:rPr>
          <w:rFonts w:ascii="Times New Roman" w:hAnsi="Times New Roman"/>
          <w:sz w:val="20"/>
          <w:u w:val="single"/>
        </w:rPr>
        <w:t>Existing Lender</w:t>
      </w:r>
      <w:r>
        <w:rPr>
          <w:rFonts w:ascii="Times New Roman" w:hAnsi="Times New Roman"/>
          <w:sz w:val="20"/>
        </w:rPr>
        <w:t xml:space="preserve">”) assigns, transfers, sub-participates or syndicates its rights and obligations under this Agreement (including all or a portion of its Commitment and the Loans at the time owing to it) to an Eligible Assignee, the Existing Lender shall remain on risk and liable to fund any amount which any Eligible Assignee (or subsequent Eligible Assignee) is obliged to fund during the Certain Funds Period but has failed to fund on that date, as if such transfer never occurred. </w:t>
      </w:r>
    </w:p>
    <w:p>
      <w:pPr>
        <w:pStyle w:val="TextBody"/>
        <w:bidi w:val="0"/>
        <w:spacing w:before="240" w:after="0"/>
        <w:jc w:val="left"/>
        <w:rPr>
          <w:rFonts w:ascii="Times New Roman" w:hAnsi="Times New Roman"/>
          <w:sz w:val="20"/>
        </w:rPr>
      </w:pPr>
      <w:r>
        <w:rPr>
          <w:rFonts w:ascii="Times New Roman" w:hAnsi="Times New Roman"/>
          <w:sz w:val="20"/>
        </w:rPr>
        <w:t xml:space="preserve">(k) Each party agrees that in case of any assignment, transfer and/or novation permitted under, and made in accordance with, the provisions of this Agreement or any Loan Document, any security interest provided pursuant to a Security Document and the guarantees given under this Agreement shall be preserved for the benefit of the Collateral Agent, the new Lender, the Participant and the remaining Secured Parties (including for purposes of article 1278 and article 1281 of the Luxembourg Civil Code). </w:t>
      </w:r>
    </w:p>
    <w:p>
      <w:pPr>
        <w:pStyle w:val="TextBody"/>
        <w:bidi w:val="0"/>
        <w:spacing w:before="36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w:t>
      </w:r>
      <w:r>
        <w:rPr>
          <w:rFonts w:ascii="Times New Roman" w:hAnsi="Times New Roman"/>
          <w:sz w:val="20"/>
          <w:u w:val="single"/>
        </w:rPr>
        <w:t>8.11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p>
    <w:p>
      <w:pPr>
        <w:pStyle w:val="TextBody"/>
        <w:bidi w:val="0"/>
        <w:spacing w:before="0" w:after="0"/>
        <w:jc w:val="left"/>
        <w:rPr>
          <w:rFonts w:ascii="Times New Roman" w:hAnsi="Times New Roman"/>
          <w:sz w:val="20"/>
        </w:rPr>
      </w:pPr>
      <w:r>
        <w:rPr>
          <w:rFonts w:ascii="Times New Roman" w:hAnsi="Times New Roman"/>
          <w:sz w:val="20"/>
        </w:rPr>
        <w:t xml:space="preserve">arrangements reasonably satisfactory to the applicable Issuing Bank),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 w:hAnsi="Times New Roman"/>
          <w:sz w:val="20"/>
          <w:u w:val="single"/>
        </w:rPr>
        <w:t>Section 2.04(e)</w:t>
      </w:r>
      <w:r>
        <w:rPr>
          <w:rFonts w:ascii="Times New Roman" w:hAnsi="Times New Roman"/>
          <w:sz w:val="20"/>
        </w:rPr>
        <w:t xml:space="preserve"> or</w:t>
      </w:r>
      <w:r>
        <w:rPr>
          <w:rFonts w:ascii="Times New Roman" w:hAnsi="Times New Roman"/>
          <w:sz w:val="20"/>
          <w:u w:val="single"/>
        </w:rPr>
        <w:t xml:space="preserve"> (f)</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 For the avoidance of doubt, the words “execution,” “signed,” “signature,” and words of like import in this Agreement, any other Loan Document or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36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hAnsi="Times New Roman"/>
          <w:sz w:val="20"/>
          <w:u w:val="single"/>
        </w:rPr>
        <w:t>Section 9.07</w:t>
      </w:r>
      <w:r>
        <w:rPr>
          <w:rFonts w:ascii="Times New Roman" w:hAnsi="Times New Roman"/>
          <w:sz w:val="20"/>
        </w:rPr>
        <w:t xml:space="preserve">, if and to the extent that the enforceability of any provisions in this Agreement relating to Defaulting Lenders shall be limited by Debtor Relief Laws or the Legal Reservations, as determined in good faith by the Administrative Agent, the Issuing Banks or the Swingline Lender, as applicable, then such provisions shall be deemed to be in effect only to the extent not so limited. </w:t>
      </w:r>
    </w:p>
    <w:p>
      <w:pPr>
        <w:pStyle w:val="TextBody"/>
        <w:bidi w:val="0"/>
        <w:spacing w:before="36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a Borrower (excluding, for the avoidance of doubt, any Settlement Assets except to effect Settlement Payments such Lender is obligated to make to a third party in respect of such Settlement Assets or as otherwise agreed in writing between the applicable Borrower and such Lender) against any of and all the obligations of the Borrowers then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p>
    <w:p>
      <w:pPr>
        <w:pStyle w:val="TextBody"/>
        <w:bidi w:val="0"/>
        <w:spacing w:before="0" w:after="0"/>
        <w:jc w:val="left"/>
        <w:rPr>
          <w:rFonts w:ascii="Times New Roman" w:hAnsi="Times New Roman"/>
          <w:sz w:val="20"/>
        </w:rPr>
      </w:pPr>
      <w:r>
        <w:rPr>
          <w:rFonts w:ascii="Times New Roman" w:hAnsi="Times New Roman"/>
          <w:sz w:val="20"/>
        </w:rPr>
        <w:t xml:space="preserve">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2.21</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applicable Borrower and the Administrative Agent of such setoff and application; </w:t>
      </w:r>
      <w:r>
        <w:rPr>
          <w:rFonts w:ascii="Times New Roman" w:hAnsi="Times New Roman"/>
          <w:sz w:val="20"/>
          <w:u w:val="single"/>
        </w:rPr>
        <w:t>provided</w:t>
      </w:r>
      <w:r>
        <w:rPr>
          <w:rFonts w:ascii="Times New Roman" w:hAnsi="Times New Roman"/>
          <w:sz w:val="20"/>
        </w:rPr>
        <w:t xml:space="preserve"> that any failure to give or any delay in giving such notice shall not affect the validity of any such setoff and application under this </w:t>
      </w:r>
      <w:r>
        <w:rPr>
          <w:rFonts w:ascii="Times New Roman" w:hAnsi="Times New Roman"/>
          <w:sz w:val="20"/>
          <w:u w:val="single"/>
        </w:rPr>
        <w:t>Section 9.08</w:t>
      </w:r>
      <w:r>
        <w:rPr>
          <w:rFonts w:ascii="Times New Roman" w:hAnsi="Times New Roman"/>
          <w:sz w:val="20"/>
        </w:rPr>
        <w:t xml:space="preserve">. The rights of each Lender and each Issuing Bank under this </w:t>
      </w:r>
      <w:r>
        <w:rPr>
          <w:rFonts w:ascii="Times New Roman" w:hAnsi="Times New Roman"/>
          <w:sz w:val="20"/>
          <w:u w:val="single"/>
        </w:rPr>
        <w:t>Section 9.08</w:t>
      </w:r>
      <w:r>
        <w:rPr>
          <w:rFonts w:ascii="Times New Roman" w:hAnsi="Times New Roman"/>
          <w:sz w:val="20"/>
        </w:rPr>
        <w:t xml:space="preserve"> are in addition to other rights and remedies (including other rights of setoff) that such Lender or such Issuing Bank may have. Notwithstanding the foregoing, no amount set off from any Loan Party (other than the Borrowers) shall be applied to any Excluded Swap Obligation of such Loan Party (other than the Borrowers). </w:t>
      </w:r>
    </w:p>
    <w:p>
      <w:pPr>
        <w:pStyle w:val="TextBody"/>
        <w:bidi w:val="0"/>
        <w:spacing w:before="36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to enforce any award or judgment or exercise any rights under the Security Documents against any Collateral in any other forum in which Collateral is located.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w:t>
      </w:r>
      <w:r>
        <w:rPr>
          <w:rFonts w:ascii="Times New Roman" w:hAnsi="Times New Roman"/>
          <w:sz w:val="20"/>
          <w:u w:val="single"/>
        </w:rPr>
        <w:t>Section 9.09</w:t>
      </w:r>
      <w:r>
        <w:rPr>
          <w:rFonts w:ascii="Times New Roman" w:hAnsi="Times New Roman"/>
          <w:sz w:val="20"/>
        </w:rPr>
        <w:t xml:space="preserve">.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w:t>
      </w:r>
      <w:r>
        <w:rPr>
          <w:rFonts w:ascii="Times New Roman" w:hAnsi="Times New Roman"/>
          <w:sz w:val="20"/>
          <w:u w:val="single"/>
        </w:rPr>
        <w:t>Section 9.01</w:t>
      </w:r>
      <w:r>
        <w:rPr>
          <w:rFonts w:ascii="Times New Roman" w:hAnsi="Times New Roman"/>
          <w:sz w:val="20"/>
        </w:rPr>
        <w:t xml:space="preserve">. Nothing in any Loan Document will affect the right of any party to this Agreement to serve process in any other manner permitted by law. Without limiting the other provisions of this </w:t>
      </w:r>
      <w:r>
        <w:rPr>
          <w:rFonts w:ascii="Times New Roman" w:hAnsi="Times New Roman"/>
          <w:sz w:val="20"/>
          <w:u w:val="single"/>
        </w:rPr>
        <w:t>Section 9.09</w:t>
      </w:r>
      <w:r>
        <w:rPr>
          <w:rFonts w:ascii="Times New Roman" w:hAnsi="Times New Roman"/>
          <w:sz w:val="20"/>
        </w:rPr>
        <w:t xml:space="preserve"> and in addition to the service of process provided for herein, the Finco Borrower, Bidco and Holdings hereby irrevocably designate, appoints and empowers the U.S. Borrower (and the U.S. Borrower hereby irrevocably accepts such appointment), as its authorized designee, appointee and agent to receive, accept and acknowledge for and on its behalf, and in respect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p>
    <w:p>
      <w:pPr>
        <w:pStyle w:val="TextBody"/>
        <w:bidi w:val="0"/>
        <w:spacing w:before="0" w:after="0"/>
        <w:jc w:val="left"/>
        <w:rPr>
          <w:rFonts w:ascii="Times New Roman" w:hAnsi="Times New Roman"/>
          <w:sz w:val="20"/>
        </w:rPr>
      </w:pPr>
      <w:r>
        <w:rPr>
          <w:rFonts w:ascii="Times New Roman" w:hAnsi="Times New Roman"/>
          <w:sz w:val="20"/>
        </w:rPr>
        <w:t xml:space="preserve">its property, service of any and all legal process, summons, notices and documents which may be served in any such action or proceeding. If for any reason the U.S. Borrower shall cease to be available to act as such, the Finco Borrower, Bidco and Holdings agree to promptly designate a new authorized designee, appointee and agent in New York City on the terms and for the purposes of this provision reasonably satisfactory to the Administrative Agent under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w:t>
      </w:r>
      <w:r>
        <w:rPr>
          <w:rFonts w:ascii="Times New Roman" w:hAnsi="Times New Roman"/>
          <w:sz w:val="20"/>
          <w:u w:val="single"/>
        </w:rPr>
        <w:t>Section 9.12</w:t>
      </w:r>
      <w:r>
        <w:rPr>
          <w:rFonts w:ascii="Times New Roman" w:hAnsi="Times New Roman"/>
          <w:sz w:val="20"/>
        </w:rPr>
        <w:t xml:space="preserve"> shall constitute a breach of this </w:t>
      </w:r>
      <w:r>
        <w:rPr>
          <w:rFonts w:ascii="Times New Roman" w:hAnsi="Times New Roman"/>
          <w:sz w:val="20"/>
          <w:u w:val="single"/>
        </w:rPr>
        <w:t>Section 9.12</w:t>
      </w:r>
      <w:r>
        <w:rPr>
          <w:rFonts w:ascii="Times New Roman" w:hAnsi="Times New Roman"/>
          <w:sz w:val="20"/>
        </w:rPr>
        <w:t xml:space="preserve"> by the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hAnsi="Times New Roman"/>
          <w:sz w:val="20"/>
          <w:u w:val="single"/>
        </w:rPr>
        <w:t>provided</w:t>
      </w:r>
      <w:r>
        <w:rPr>
          <w:rFonts w:ascii="Times New Roman" w:hAnsi="Times New Roman"/>
          <w:sz w:val="20"/>
        </w:rPr>
        <w:t xml:space="preserve"> that (x) solely to the extent permitted by law and other than in connection with routine audits and reviews by regulatory and self-regulatory authorities, each Lender and the Administrative Agent shall notify Bidco and the Borrowers as promptly as practicable of any such requested or required disclosure in connection with any legal or regulatory proceeding and (y) in the case of clause (ii) only, each Lender and the Administrative Agent shall use commercially reasonable efforts to ensure that such Information is kept confidential in connection with the exercise of such remedies;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any Lender or the Administrative Agent be obligated or required to return any materials furnished by Bidco or any Subsidiary of Holdings, (iii) to any other party to this Agreement, (iv) subject to an agreement containing confidentiality undertakings substantially similar to those of this </w:t>
      </w:r>
      <w:r>
        <w:rPr>
          <w:rFonts w:ascii="Times New Roman" w:hAnsi="Times New Roman"/>
          <w:sz w:val="20"/>
          <w:u w:val="single"/>
        </w:rPr>
        <w:t>Section 9.12</w:t>
      </w:r>
      <w:r>
        <w:rPr>
          <w:rFonts w:ascii="Times New Roman" w:hAnsi="Times New Roman"/>
          <w:sz w:val="20"/>
        </w:rPr>
        <w:t xml:space="preserve">, to (A) any assignee of or Participant in, or any prospective assignee of or Participant in, any of its rights or obligations under this Agreement, (B) any actual or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p>
    <w:p>
      <w:pPr>
        <w:pStyle w:val="TextBody"/>
        <w:bidi w:val="0"/>
        <w:spacing w:before="0" w:after="0"/>
        <w:jc w:val="left"/>
        <w:rPr>
          <w:rFonts w:ascii="Times New Roman" w:hAnsi="Times New Roman"/>
          <w:sz w:val="20"/>
        </w:rPr>
      </w:pPr>
      <w:r>
        <w:rPr>
          <w:rFonts w:ascii="Times New Roman" w:hAnsi="Times New Roman"/>
          <w:sz w:val="20"/>
        </w:rPr>
        <w:t xml:space="preserve">counterparty (or its advisors) to any Swap Agreement or derivative transaction relating to any Loan Party or its Subsidiaries and its obligations under the Loan Documents or (C) any pledgee referred to in </w:t>
      </w:r>
      <w:r>
        <w:rPr>
          <w:rFonts w:ascii="Times New Roman" w:hAnsi="Times New Roman"/>
          <w:sz w:val="20"/>
          <w:u w:val="single"/>
        </w:rPr>
        <w:t>Section 9.04(d)</w:t>
      </w:r>
      <w:r>
        <w:rPr>
          <w:rFonts w:ascii="Times New Roman" w:hAnsi="Times New Roman"/>
          <w:sz w:val="20"/>
        </w:rPr>
        <w:t xml:space="preserve">, (v) if required by any rating agency; </w:t>
      </w:r>
      <w:r>
        <w:rPr>
          <w:rFonts w:ascii="Times New Roman" w:hAnsi="Times New Roman"/>
          <w:sz w:val="20"/>
          <w:u w:val="single"/>
        </w:rPr>
        <w:t>provided</w:t>
      </w:r>
      <w:r>
        <w:rPr>
          <w:rFonts w:ascii="Times New Roman" w:hAnsi="Times New Roman"/>
          <w:sz w:val="20"/>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w:t>
      </w:r>
      <w:r>
        <w:rPr>
          <w:rFonts w:ascii="Times New Roman" w:hAnsi="Times New Roman"/>
          <w:sz w:val="20"/>
          <w:u w:val="single"/>
        </w:rPr>
        <w:t>e.g</w:t>
      </w:r>
      <w:r>
        <w:rPr>
          <w:rFonts w:ascii="Times New Roman" w:hAnsi="Times New Roman"/>
          <w:sz w:val="20"/>
        </w:rPr>
        <w:t xml:space="preserve">., identities of parties, maturity dates, interest rates, etc.) on a confidential basis, or (vii) to the extent such Information (x) becomes publicly available other than as a result of a breach of this </w:t>
      </w:r>
      <w:r>
        <w:rPr>
          <w:rFonts w:ascii="Times New Roman" w:hAnsi="Times New Roman"/>
          <w:sz w:val="20"/>
          <w:u w:val="single"/>
        </w:rPr>
        <w:t>Section 9.12</w:t>
      </w:r>
      <w:r>
        <w:rPr>
          <w:rFonts w:ascii="Times New Roman" w:hAnsi="Times New Roman"/>
          <w:sz w:val="20"/>
        </w:rPr>
        <w:t>, (y) becomes available to the Administrative Agent, any Issuing Bank, any Lender or any of their respective Affiliates on a nonconfidential basis from a source other than Holdings, Bidco or any Subsidiary, which source is not known by the recipient of such information to be subject to a confidentiality obligation or (z) is independently developed without the use of other Information. For the purposes hereof, “</w:t>
      </w:r>
      <w:r>
        <w:rPr>
          <w:rFonts w:ascii="Times New Roman" w:hAnsi="Times New Roman"/>
          <w:sz w:val="20"/>
          <w:u w:val="single"/>
        </w:rPr>
        <w:t>Information</w:t>
      </w:r>
      <w:r>
        <w:rPr>
          <w:rFonts w:ascii="Times New Roman" w:hAnsi="Times New Roman"/>
          <w:sz w:val="20"/>
        </w:rPr>
        <w:t xml:space="preserve">” means all information received from or on behalf of Holdings or Bidco relating to Holdings, Bidco, any other Subsidiary or their business, other than any such information that is available to the Administrative Agent, any Issuing Bank or any Lender on a nonconfidential basis prior to disclosure by Holdings, Bidco or any Subsidiary; </w:t>
      </w:r>
      <w:r>
        <w:rPr>
          <w:rFonts w:ascii="Times New Roman" w:hAnsi="Times New Roman"/>
          <w:sz w:val="20"/>
          <w:u w:val="single"/>
        </w:rPr>
        <w:t>provided</w:t>
      </w:r>
      <w:r>
        <w:rPr>
          <w:rFonts w:ascii="Times New Roman" w:hAnsi="Times New Roman"/>
          <w:sz w:val="20"/>
        </w:rPr>
        <w:t xml:space="preserve"> that, in the case of information received from Holdings, Bidco or any Subsidiary after the Effective Date, such information is clearly identified at the time of delivery as confidential. Any Person required to maintain the confidentiality of Information as provided in this </w:t>
      </w:r>
      <w:r>
        <w:rPr>
          <w:rFonts w:ascii="Times New Roman" w:hAnsi="Times New Roman"/>
          <w:sz w:val="20"/>
          <w:u w:val="single"/>
        </w:rPr>
        <w:t>Section 9.12</w:t>
      </w:r>
      <w:r>
        <w:rPr>
          <w:rFonts w:ascii="Times New Roman" w:hAnsi="Times New Roman"/>
          <w:sz w:val="20"/>
        </w:rPr>
        <w:t xml:space="preserve">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Bidco’s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ACKNOWLEDGES THAT INFORMATION (AS DEFINED IN </w:t>
      </w:r>
      <w:r>
        <w:rPr>
          <w:rFonts w:ascii="Times New Roman" w:hAnsi="Times New Roman"/>
          <w:sz w:val="20"/>
          <w:u w:val="single"/>
        </w:rPr>
        <w:t>SECTION 9.12(A)</w:t>
      </w:r>
      <w:r>
        <w:rPr>
          <w:rFonts w:ascii="Times New Roman" w:hAnsi="Times New Roman"/>
          <w:sz w:val="20"/>
        </w:rPr>
        <w:t xml:space="preserve">) FURNISHED TO IT PURSUANT TO THIS AGREEMENT MAY INCLUDE MATERIAL NON-PUBLIC INFORMATION CONCERNING HOLDINGS, BIDCO,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ALL INFORMATION, INCLUDING REQUESTS FOR WAIVERS AND AMENDMENTS FURNISHED BY BIDCO, THE BORROWERS OR THE ADMINISTRATIVE AGENT PURSUANT TO, OR IN THE COURSE OF ADMINISTERING, THIS AGREEMENT, WILL BE SYNDICATE-LEVEL INFORMATION, WHICH MAY CONTAIN MATERIAL NON-PUBLIC INFORMATION ABOUT HOLDINGS, BIDCO, THE LOAN PARTIES AND THEIR RELATED PARTIES OR THEIR RESPECTIVE SECURITIES. ACCORDINGLY, EACH LENDER REPRESENTS TO BIDCO AND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36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that is subject to the USA PATRIOT Act and the Beneficial Ownership Regulation and the Administrative Agent (for itself and not on behalf of any Lender) hereby notifies Bidco and the Borrowers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p>
    <w:p>
      <w:pPr>
        <w:pStyle w:val="TextBody"/>
        <w:bidi w:val="0"/>
        <w:spacing w:before="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Release of Liens and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or designation permitted by this Agreement as a result of which such Subsidiary Loan Party ceases to be a Restricted Subsidiary (including pursuant to a permitted merger with a Subsidiary that is not a Loan Party or a designation as an Unrestricted Subsidiary) or becomes an Excluded Subsidiary (other than solely as a result of becoming a Non-Wholly Owned Subsidiary) or (2) at the written election of Bidco or any Borrower, in connection with a transaction permitted under this Agreement, as a result of which such Subsidiary Loan Party ceases to be a Wholly Owned Subsidiary, unless the primary purpose (as reasonably determined by Bidco) of such transaction was to release such Subsidiary Loan Party from its obligations under the Loan Documents; </w:t>
      </w:r>
      <w:r>
        <w:rPr>
          <w:rFonts w:ascii="Times New Roman" w:hAnsi="Times New Roman"/>
          <w:sz w:val="20"/>
          <w:u w:val="single"/>
        </w:rPr>
        <w:t>provided</w:t>
      </w:r>
      <w:r>
        <w:rPr>
          <w:rFonts w:ascii="Times New Roman" w:hAnsi="Times New Roman"/>
          <w:sz w:val="20"/>
        </w:rPr>
        <w:t xml:space="preserve"> that, if so required by this Agreement, the Required Lenders shall have consented to such transaction and the terms of such consent shall not have provided otherwise. Upon any sale, disposition or other transfer by any Loan Party (other than to Holdings, any Intermediate Parent, Bidco, any Borrower or any Subsidiary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Loan Documents and all security interests created by the Security Documents shall be automatically released. In connection with any termination or release pursuant to this </w:t>
      </w:r>
      <w:r>
        <w:rPr>
          <w:rFonts w:ascii="Times New Roman" w:hAnsi="Times New Roman"/>
          <w:sz w:val="20"/>
          <w:u w:val="single"/>
        </w:rPr>
        <w:t>Section 9.14</w:t>
      </w:r>
      <w:r>
        <w:rPr>
          <w:rFonts w:ascii="Times New Roman" w:hAnsi="Times New Roman"/>
          <w:sz w:val="20"/>
        </w:rPr>
        <w:t xml:space="preserve">, the Administrative Agent or the Collateral Agent, as the case may be, shall execute and deliver to any Loan Party, at such Loan Party’s expense, all documents that such Loan Party shall reasonably request to file or register in any office, or to evidence such termination or release, so long as Bidco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or the Collateral Agent, as the case may be, will, at the Borrowers’ expense, execute and deliver to the applicable Loan Party or file or register in any office such documents as such Loan Party may reasonably request to subordinate its Lien on any property granted to or held by the Administrative Agent or the Collateral Agent, as the case may be, under any Loan Document to the holder of any Lien on such property that is permitted by clause (6) of the definition of “Permitted Liens” (solely with respect to the reference to </w:t>
      </w:r>
      <w:r>
        <w:rPr>
          <w:rFonts w:ascii="Times New Roman" w:hAnsi="Times New Roman"/>
          <w:sz w:val="20"/>
          <w:u w:val="single"/>
        </w:rPr>
        <w:t>Section 6.01(b)(iii)</w:t>
      </w:r>
      <w:r>
        <w:rPr>
          <w:rFonts w:ascii="Times New Roman" w:hAnsi="Times New Roman"/>
          <w:sz w:val="20"/>
        </w:rPr>
        <w:t xml:space="preserve">) and clause (8) of the definition of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Lenders and the Issuing Banks irrevocably authorizes the Administrative Agent or the Collateral Agent, as the case may be, to provide any release or evidence of release, termination or subordination contemplated by this </w:t>
      </w:r>
      <w:r>
        <w:rPr>
          <w:rFonts w:ascii="Times New Roman" w:hAnsi="Times New Roman"/>
          <w:sz w:val="20"/>
          <w:u w:val="single"/>
        </w:rPr>
        <w:t>Section 9.14</w:t>
      </w:r>
      <w:r>
        <w:rPr>
          <w:rFonts w:ascii="Times New Roman" w:hAnsi="Times New Roman"/>
          <w:sz w:val="20"/>
        </w:rPr>
        <w:t xml:space="preserve">.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No Advisory or Fiduciary Responsibility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all aspects of each transaction contemplated hereby (including in connection with any amendment, waiver or other modification hereof or of any other Loan Document), each of Bidco, the Borrowers and Holdings acknowledges and agrees that (i) (A) the arranging and other services regarding this Agreement provided by the Administrative Agent, the Joint Lead Arrangers, the Issuing Banks and the Lenders are arm’s-length commercial transactions between the Borrowers, Holdings and their respective Affiliates, on the one hand, and the Administrative Agent, the Joint Lead Arrangers, the Issuing Banks and the Lenders on the other hand, (B) each of Bidco, the Borrowers and Holdings has consulted its own legal, accounting, regulatory and tax advisors to the extent it has deemed appropriate, and (C) each of Bidco, the Borrowers and Holdings is capable of evaluating, and understands and accepts, the terms, risks and conditions of the transactions contemplated hereby and by the other Loan Documents; (ii) (A) 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Bidco, the Borrowers, Holdings, any of their respective Affiliates or any other Person and (B) none of the Administrative Agent, the Joint Lead Arrangers, the Issuing Banks and the Lenders has any obligation to Bidco, the Borrowers, Holdings or any of their respective Affiliates with respect to the transactions contemplated hereby except those obligations expressly set forth herein and in the other Loan Documents; and (iii) the Administrative Agent, the Joint Lead Arrangers, the Issuing Banks and the Lenders and their respective Affiliates may be engaged in a broad range of transactions that involve interests that differ from those of Bidco, the Borrowers, Holdings and their respective Affiliates, and none of the Administrative Agent, the Joint Lead Arrangers, the Issuing Banks and the Lenders has any obligation to disclose any of such interests to Bidco, the Borrowers, Holdings or any of their respective Affiliates. To the fullest extent permitted by law, each of Bidco, the Borrowers and Holdings hereby waives and releases any claims that it may have against the Administrative Agent, the Joint Lead Arrangers, the Issuing Banks and the Lenders with respect to any breach or alleged breach of agency or fiduciary duty in connection with any aspect of any transaction contemplated hereby. </w:t>
      </w:r>
    </w:p>
    <w:p>
      <w:pPr>
        <w:pStyle w:val="TextBody"/>
        <w:bidi w:val="0"/>
        <w:spacing w:before="36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Interest Rate Limitation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Intercreditor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or in any other Loan Document: (a) the Liens granted to the Collateral Agent in favor of the Secured Parties pursuant to the Loan Documents and the exercise of any right related to any Collateral shall be subject, in each case,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p>
    <w:p>
      <w:pPr>
        <w:pStyle w:val="TextBody"/>
        <w:bidi w:val="0"/>
        <w:spacing w:before="0" w:after="0"/>
        <w:jc w:val="left"/>
        <w:rPr>
          <w:rFonts w:ascii="Times New Roman" w:hAnsi="Times New Roman"/>
          <w:sz w:val="20"/>
        </w:rPr>
      </w:pPr>
      <w:r>
        <w:rPr>
          <w:rFonts w:ascii="Times New Roman" w:hAnsi="Times New Roman"/>
          <w:sz w:val="20"/>
        </w:rPr>
        <w:t xml:space="preserve">the terms of the Pari Passu Intercreditor Agreement and Customary Intercreditor Agreements then in effect, (b) in the event of any conflict between the express terms and provisions of this Agreement or any other Loan Document, on the one hand, and of the Pari Passu Intercreditor Agreement and any Customary Intercreditor Agreements then in effect, on the other hand, the terms and provisions of the Pari Passu Intercreditor Agreement and relevant Customary Intercreditor Agreements shall control, and (c) each Lender authorizes the Administrative Agent and/or the Collateral Agent to execute the Pari Passu Intercreditor Agreement and any such Customary Intercreditor Agreement (or amendment thereof) on behalf of such Lender, and such Lender agrees to be bound by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(b) Each Secured Party hereby agrees that the Administrative Agent and/or Collateral Agent may enter into any intercreditor agreement and/or subordination agreement (or amendment thereof) pursuant to, or contemplated by, the terms of this Agreement (including with respect to Indebtedness permitted pursuant to </w:t>
      </w:r>
      <w:r>
        <w:rPr>
          <w:rFonts w:ascii="Times New Roman" w:hAnsi="Times New Roman"/>
          <w:sz w:val="20"/>
          <w:u w:val="single"/>
        </w:rPr>
        <w:t>Section 6.01</w:t>
      </w:r>
      <w:r>
        <w:rPr>
          <w:rFonts w:ascii="Times New Roman" w:hAnsi="Times New Roman"/>
          <w:sz w:val="20"/>
        </w:rPr>
        <w:t xml:space="preserve">, any applicable Liens on Collateral permitted pursuant to </w:t>
      </w:r>
      <w:r>
        <w:rPr>
          <w:rFonts w:ascii="Times New Roman" w:hAnsi="Times New Roman"/>
          <w:sz w:val="20"/>
          <w:u w:val="single"/>
        </w:rPr>
        <w:t>Section 6.02</w:t>
      </w:r>
      <w:r>
        <w:rPr>
          <w:rFonts w:ascii="Times New Roman" w:hAnsi="Times New Roman"/>
          <w:sz w:val="20"/>
        </w:rPr>
        <w:t xml:space="preserve"> and, in each case, together with the defined terms referenced therein) on its behalf and agrees to be bound by the terms thereof and, in each case, consents and agrees to the appointment of Barclays Bank PLC (or its affiliated designee, representative or agent) on its behalf as collateral agent, respectively, thereunder.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Pari Passu Intercreditor Agreement and/or the Second Lien Intercreditor Agreement, as applicable, shall be deemed to be reasonable and acceptable to the Administrative Agent and the Lenders, and the Administrative Agent and the Lenders shall be deemed to have consented to the use of each such intercreditor agreement (and to the Administrative Agent’s execution thereof) in connection with any Indebtedness permitted to be incurred, issued and/or assumed by the Borrower or any of its Subsidiaries pursuant to </w:t>
      </w:r>
      <w:r>
        <w:rPr>
          <w:rFonts w:ascii="Times New Roman" w:hAnsi="Times New Roman"/>
          <w:sz w:val="20"/>
          <w:u w:val="single"/>
        </w:rPr>
        <w:t>Section 6.01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Cashless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Bidco, the Administrative Agent and such Lender. </w:t>
      </w:r>
    </w:p>
    <w:p>
      <w:pPr>
        <w:pStyle w:val="TextBody"/>
        <w:bidi w:val="0"/>
        <w:spacing w:before="36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Acknowledgement and Consent to Bail-In of Affected Financial</w:t>
      </w:r>
      <w:r>
        <w:rPr>
          <w:rFonts w:ascii="Times New Roman" w:hAnsi="Times New Roman"/>
          <w:sz w:val="20"/>
        </w:rPr>
        <w:t xml:space="preserve"> Institutions.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p>
    <w:p>
      <w:pPr>
        <w:pStyle w:val="TextBody"/>
        <w:bidi w:val="0"/>
        <w:spacing w:before="0" w:after="0"/>
        <w:jc w:val="left"/>
        <w:rPr>
          <w:rFonts w:ascii="Times New Roman" w:hAnsi="Times New Roman"/>
          <w:sz w:val="20"/>
        </w:rPr>
      </w:pPr>
      <w:r>
        <w:rPr>
          <w:rFonts w:ascii="Times New Roman" w:hAnsi="Times New Roman"/>
          <w:sz w:val="20"/>
        </w:rPr>
        <w:t xml:space="preserve">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any Swap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9.20</w:t>
      </w:r>
      <w:r>
        <w:rPr>
          <w:rFonts w:ascii="Times New Roman" w:hAnsi="Times New Roman"/>
          <w:sz w:val="20"/>
        </w:rPr>
        <w:t xml:space="preserve">, the following terms have the following meanings: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p>
    <w:p>
      <w:pPr>
        <w:pStyle w:val="TextBody"/>
        <w:bidi w:val="0"/>
        <w:spacing w:before="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Joint and Several Liability</w:t>
      </w:r>
      <w:r>
        <w:rPr>
          <w:rFonts w:ascii="Times New Roman" w:hAnsi="Times New Roman"/>
          <w:sz w:val="20"/>
        </w:rPr>
        <w:t xml:space="preserve">. Each Borrower agrees that it is jointly and severally liable for the obligations of the other Borrowers hereunder, including with respect to the payment of principal of and interest on all Loans and the payment of fees and indemnities and reimbursement of costs and expenses. This shall not prejudice the obligations of any Borrower (solely in its capacity as a Guarantor) in respect of any Indebtedness that does not have a co-borrower 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applicable Agent could purchase the first currency with such other currency on the Business Day preceding that on which final judgment is given. The obligation of any Borrower in respect of any such sum due from it to the applicable Agent or the Lenders hereunder or under the other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applicable Agent of any sum adjudged to be so due in the Judgment Currency, the applicable Agent may in accordance with normal banking procedures purchase the Agreement Currency with the Judgment Currency. If the amount of the Agreement Currency so purchased is less than the sum originally due to the applicable Agent from the applicable Borrower in the Agreement Currency, the Borrowers agree, as a separate obligation and notwithstanding any such judgment, to indemnify the applicable Agent or the Person to whom such obligation was owing against such loss. If the amount of the Agreement Currency so purchased is greater than the sum originally due to the applicable Agent in such currency, the applicable Agent agrees to return the amount. </w:t>
      </w:r>
    </w:p>
    <w:p>
      <w:pPr>
        <w:pStyle w:val="TextBody"/>
        <w:bidi w:val="0"/>
        <w:spacing w:before="36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Lender Affiliates and Facility Offices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respect of a Revolving Loan or Letters of Credit to a particular Borrower (“</w:t>
      </w:r>
      <w:r>
        <w:rPr>
          <w:rFonts w:ascii="Times New Roman" w:hAnsi="Times New Roman"/>
          <w:sz w:val="20"/>
          <w:u w:val="single"/>
        </w:rPr>
        <w:t>Designated Loans</w:t>
      </w:r>
      <w:r>
        <w:rPr>
          <w:rFonts w:ascii="Times New Roman" w:hAnsi="Times New Roman"/>
          <w:sz w:val="20"/>
        </w:rPr>
        <w:t>”), a Revolving Lender (a “</w:t>
      </w:r>
      <w:r>
        <w:rPr>
          <w:rFonts w:ascii="Times New Roman" w:hAnsi="Times New Roman"/>
          <w:sz w:val="20"/>
          <w:u w:val="single"/>
        </w:rPr>
        <w:t>Designating Lender</w:t>
      </w:r>
      <w:r>
        <w:rPr>
          <w:rFonts w:ascii="Times New Roman" w:hAnsi="Times New Roman"/>
          <w:sz w:val="20"/>
        </w:rPr>
        <w:t xml:space="preserve">”) may at any time and from time to time designate (by written notice to the Administrative Agent and the Borrower Representative): </w:t>
      </w:r>
    </w:p>
    <w:p>
      <w:pPr>
        <w:pStyle w:val="TextBody"/>
        <w:bidi w:val="0"/>
        <w:spacing w:before="120" w:after="0"/>
        <w:jc w:val="left"/>
        <w:rPr>
          <w:rFonts w:ascii="Times New Roman" w:hAnsi="Times New Roman"/>
          <w:sz w:val="20"/>
        </w:rPr>
      </w:pPr>
      <w:r>
        <w:rPr>
          <w:rFonts w:ascii="Times New Roman" w:hAnsi="Times New Roman"/>
          <w:sz w:val="20"/>
        </w:rPr>
        <w:t>(i) a substitute Lending Office from which it will make Designated Loans (a “</w:t>
      </w:r>
      <w:r>
        <w:rPr>
          <w:rFonts w:ascii="Times New Roman" w:hAnsi="Times New Roman"/>
          <w:sz w:val="20"/>
          <w:u w:val="single"/>
        </w:rPr>
        <w:t>Substitute Lending Office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nominate an Affiliate to act as the Lender of Designated Loans (a “</w:t>
      </w:r>
      <w:r>
        <w:rPr>
          <w:rFonts w:ascii="Times New Roman" w:hAnsi="Times New Roman"/>
          <w:sz w:val="20"/>
          <w:u w:val="single"/>
        </w:rPr>
        <w:t>Substitute Affiliate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 notice to nominate a Substitute Affiliate Lender must be in the form set out in </w:t>
      </w:r>
      <w:r>
        <w:rPr>
          <w:rFonts w:ascii="Times New Roman" w:hAnsi="Times New Roman"/>
          <w:sz w:val="20"/>
          <w:u w:val="single"/>
        </w:rPr>
        <w:t>Exhibit Y</w:t>
      </w:r>
      <w:r>
        <w:rPr>
          <w:rFonts w:ascii="Times New Roman" w:hAnsi="Times New Roman"/>
          <w:sz w:val="20"/>
        </w:rPr>
        <w:t xml:space="preserve"> and be countersigned by the relevant Substitute Affiliate Lender confirming it will be bound as a Lender under this Agreement in respect of the Designated Loans in respect of which it acts as Lender. </w:t>
      </w:r>
    </w:p>
    <w:p>
      <w:pPr>
        <w:pStyle w:val="TextBody"/>
        <w:bidi w:val="0"/>
        <w:spacing w:before="240" w:after="0"/>
        <w:jc w:val="left"/>
        <w:rPr>
          <w:rFonts w:ascii="Times New Roman" w:hAnsi="Times New Roman"/>
          <w:sz w:val="20"/>
        </w:rPr>
      </w:pPr>
      <w:r>
        <w:rPr>
          <w:rFonts w:ascii="Times New Roman" w:hAnsi="Times New Roman"/>
          <w:sz w:val="20"/>
        </w:rPr>
        <w:t xml:space="preserve">(c) The Designating Lender will act as the representative of any Substitute Affiliate Lender it nominates for all administrative purposes under this Agreement. The Loan Parties, the Administrative Agent, the Collateral Agent and the other Secured Parties will be entitled to deal only with the Designating Lender, except that payments will be made in respect of Designated Loans to the Lending Office of the Substitute Affiliate Lender. In particular the Commitments of the Designating Lender will not be treated as reduced by the introduction of the Substitute Affiliate Lender for voting purposes under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(d) If a Designating Lender nominates a Substitute Lending Office or a Substitute Affiliate Lender and as a result of circumstances existing at the date of such substitution, a Loan Party would be obliged to make a payment on account of, or to, the Substitute Lending Office or Substitute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p>
    <w:p>
      <w:pPr>
        <w:pStyle w:val="TextBody"/>
        <w:bidi w:val="0"/>
        <w:spacing w:before="0" w:after="0"/>
        <w:jc w:val="left"/>
        <w:rPr>
          <w:rFonts w:ascii="Times New Roman" w:hAnsi="Times New Roman"/>
          <w:sz w:val="20"/>
        </w:rPr>
      </w:pPr>
      <w:r>
        <w:rPr>
          <w:rFonts w:ascii="Times New Roman" w:hAnsi="Times New Roman"/>
          <w:sz w:val="20"/>
        </w:rPr>
        <w:t xml:space="preserve">Affiliate Lender (as applicable) under Section 2.16 (Taxes) then the Lender acting through its Substitute Lending Office or the Substitute Affiliate Lender (as applicable) is only entitled to receive payment under Section 2.16 to the same extent as the Designating Lender would have been if the substitution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(e) Save as mentioned in clause (c) above, a Substitute Affiliate Lender will be treated as a Lender for all purposes under the Loan Documents and having a Revolving Credit Commitment equal to the principal amount of all Designated Loans in which it is participating if and for so long as it continues to be a Substitute Affiliate Lender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 Designating Lender may revoke its designation of an Affiliate as a Substitute Affiliate Lender by notice in writing to the Administrative Agent, Bidco and the Borrower Representative;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 </w:t>
      </w:r>
    </w:p>
    <w:p>
      <w:pPr>
        <w:pStyle w:val="TextBody"/>
        <w:bidi w:val="0"/>
        <w:spacing w:before="240" w:after="0"/>
        <w:jc w:val="left"/>
        <w:rPr>
          <w:rFonts w:ascii="Times New Roman" w:hAnsi="Times New Roman"/>
          <w:sz w:val="20"/>
        </w:rPr>
      </w:pPr>
      <w:r>
        <w:rPr>
          <w:rFonts w:ascii="Times New Roman" w:hAnsi="Times New Roman"/>
          <w:sz w:val="20"/>
        </w:rPr>
        <w:t xml:space="preserve">(g) If a Designating Lender designates a Substitute Lending Office or Substitute Affiliate Lender in accordance with this clause: </w:t>
      </w:r>
    </w:p>
    <w:p>
      <w:pPr>
        <w:pStyle w:val="TextBody"/>
        <w:bidi w:val="0"/>
        <w:spacing w:before="120" w:after="0"/>
        <w:jc w:val="left"/>
        <w:rPr>
          <w:rFonts w:ascii="Times New Roman" w:hAnsi="Times New Roman"/>
          <w:sz w:val="20"/>
        </w:rPr>
      </w:pPr>
      <w:r>
        <w:rPr>
          <w:rFonts w:ascii="Times New Roman" w:hAnsi="Times New Roman"/>
          <w:sz w:val="20"/>
        </w:rPr>
        <w:t xml:space="preserve">(i) any Substitute Affiliate Lender shall be treated for the purposes of Section 2.16 as having become a Lender on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w:t>
      </w:r>
      <w:r>
        <w:rPr>
          <w:rFonts w:ascii="Times New Roman" w:hAnsi="Times New Roman"/>
          <w:sz w:val="20"/>
          <w:u w:val="single"/>
        </w:rPr>
        <w:t>Section 9.23(e)</w:t>
      </w:r>
      <w:r>
        <w:rPr>
          <w:rFonts w:ascii="Times New Roman" w:hAnsi="Times New Roman"/>
          <w:sz w:val="20"/>
        </w:rPr>
        <w:t xml:space="preserve"> shall not apply to or in respect of any Substitute Lending Office or Substitute Affiliate Lender. </w:t>
      </w:r>
    </w:p>
    <w:p>
      <w:pPr>
        <w:pStyle w:val="TextBody"/>
        <w:bidi w:val="0"/>
        <w:spacing w:before="120" w:after="0"/>
        <w:jc w:val="left"/>
        <w:rPr>
          <w:rFonts w:ascii="Times New Roman" w:hAnsi="Times New Roman"/>
          <w:sz w:val="20"/>
        </w:rPr>
      </w:pPr>
      <w:r>
        <w:rPr>
          <w:rFonts w:ascii="Times New Roman" w:hAnsi="Times New Roman"/>
          <w:sz w:val="20"/>
        </w:rPr>
        <w:t>SECTION 9.24</w:t>
      </w:r>
      <w:r>
        <w:rPr>
          <w:rFonts w:ascii="Times New Roman" w:hAnsi="Times New Roman"/>
          <w:sz w:val="20"/>
          <w:u w:val="single"/>
        </w:rPr>
        <w:t xml:space="preserve"> Interim Facilities Agreement</w:t>
      </w:r>
      <w:r>
        <w:rPr>
          <w:rFonts w:ascii="Times New Roman" w:hAnsi="Times New Roman"/>
          <w:sz w:val="20"/>
        </w:rPr>
        <w:t xml:space="preserve">. Each party to this Agreement that is a party to the Interim Facilities Agreement hereby acknowledges and agrees, in its capacity as a party to the Interim Facilities Agreement only (and, for the avoidance of doubt, without prejudice to any such party’s obligations under this Agreement), that upon, and effective as of, the borrowing of the Initial Term Loans on the Effective Date, (i) all commitments of the Interim Finance Parties under the Interim Facilities Agreement to make loans or otherwise extend credit to the Finco Borrower, in its capacity as Borrower under and as defined in the Interim Facilities Agreement, shall be terminated, and (ii) the Interim Facilities Agreement and all other Interim Finance Documents (as defined in the Interim Facilities Agreement) shall terminate and have no further force or effect, except only those provisions that are expressly specified in the Interim Facilities Agreement and all other Interim Finance Documents as surviving that respective agreement’s termination.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p>
    <w:p>
      <w:pPr>
        <w:pStyle w:val="TextBody"/>
        <w:bidi w:val="0"/>
        <w:spacing w:before="0" w:after="0"/>
        <w:jc w:val="right"/>
        <w:rPr>
          <w:rFonts w:ascii="Times New Roman" w:hAnsi="Times New Roman"/>
          <w:b/>
          <w:sz w:val="20"/>
        </w:rPr>
      </w:pPr>
      <w:bookmarkStart w:id="1239" w:name="vsat-ex10_43.htm"/>
      <w:bookmarkStart w:id="1240" w:name="ksvsatex10_43"/>
      <w:bookmarkEnd w:id="1239"/>
      <w:bookmarkEnd w:id="1240"/>
      <w:r>
        <w:rPr>
          <w:rFonts w:ascii="Times New Roman" w:hAnsi="Times New Roman"/>
          <w:b/>
          <w:sz w:val="20"/>
        </w:rPr>
        <w:t xml:space="preserve">Exhibit 10.4.3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NO. 3 </w:t>
      </w:r>
    </w:p>
    <w:p>
      <w:pPr>
        <w:pStyle w:val="TextBody"/>
        <w:bidi w:val="0"/>
        <w:spacing w:before="240" w:after="0"/>
        <w:jc w:val="left"/>
        <w:rPr>
          <w:rFonts w:ascii="Times New Roman" w:hAnsi="Times New Roman"/>
          <w:sz w:val="20"/>
        </w:rPr>
      </w:pPr>
      <w:r>
        <w:rPr>
          <w:rFonts w:ascii="Times New Roman" w:hAnsi="Times New Roman"/>
          <w:sz w:val="20"/>
        </w:rPr>
        <w:t>This AMENDMENT NO. 3 (this “</w:t>
      </w:r>
      <w:r>
        <w:rPr>
          <w:rFonts w:ascii="Times New Roman" w:hAnsi="Times New Roman"/>
          <w:sz w:val="20"/>
          <w:u w:val="single"/>
        </w:rPr>
        <w:t>Amendment</w:t>
      </w:r>
      <w:r>
        <w:rPr>
          <w:rFonts w:ascii="Times New Roman" w:hAnsi="Times New Roman"/>
          <w:sz w:val="20"/>
        </w:rPr>
        <w:t>”), dated as of December 2, 2022, to the Credit Agreement, dated as of December 12, 2019 (as amended by Amendment No. 1, dated as of January 25, 2021, as further amended by Amendment No. 2, dated as of December 17, 2021 and as further amended, restated, amended and restated, supplemented or otherwise modified from time to time prior to the date hereof, the “</w:t>
      </w:r>
      <w:r>
        <w:rPr>
          <w:rFonts w:ascii="Times New Roman" w:hAnsi="Times New Roman"/>
          <w:sz w:val="20"/>
          <w:u w:val="single"/>
        </w:rPr>
        <w:t>Credit Agreement</w:t>
      </w:r>
      <w:r>
        <w:rPr>
          <w:rFonts w:ascii="Times New Roman" w:hAnsi="Times New Roman"/>
          <w:sz w:val="20"/>
        </w:rPr>
        <w:t>”), among Connect Midco Limited (f/k/a Triton Midco (Guernsey) Limited), a private limited liability company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private limited liability company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company incorporated in Luxembourg with company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and any Additional Borrowers from time to time party thereto,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thereto and Barclays Bank PLC (“</w:t>
      </w:r>
      <w:r>
        <w:rPr>
          <w:rFonts w:ascii="Times New Roman" w:hAnsi="Times New Roman"/>
          <w:sz w:val="20"/>
          <w:u w:val="single"/>
        </w:rPr>
        <w:t>Barclays</w:t>
      </w:r>
      <w:r>
        <w:rPr>
          <w:rFonts w:ascii="Times New Roman" w:hAnsi="Times New Roman"/>
          <w:sz w:val="20"/>
        </w:rPr>
        <w:t xml:space="preserve">”), as Administrative Agent and Collateral Agent, is made and entered into by and among Bidco and the Administrative Agent.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Bidco has requested that, pursuant to the definition of “LIBO Rate” in the Credit Agreement, the Credit Agreement be amended in the manner provided herein (as so amended, the “</w:t>
      </w:r>
      <w:r>
        <w:rPr>
          <w:rFonts w:ascii="Times New Roman" w:hAnsi="Times New Roman"/>
          <w:sz w:val="20"/>
          <w:u w:val="single"/>
        </w:rPr>
        <w:t>Amended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on the Amendment No. 3 Effective Date (as defined below), the parties hereto wish to amend the Credit Agreement on the terms and subject to the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other good and valuable consideration, the sufficiency and receipt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b/>
          <w:i/>
          <w:sz w:val="20"/>
        </w:rPr>
        <w:t>Defined Terms; Interpretation; Etc</w:t>
      </w:r>
      <w:r>
        <w:rPr>
          <w:rFonts w:ascii="Times New Roman" w:hAnsi="Times New Roman"/>
          <w:sz w:val="20"/>
        </w:rPr>
        <w:t xml:space="preserve">. Capitalized terms used and not defined herein shall have the meanings assigned to such terms in the Credit Agreement. This Amendment is a “Loan Document” for the purposes of (and as such terms are defined in) the Credit Agreement and the other Loan Documents. 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b/>
          <w:i/>
          <w:sz w:val="20"/>
        </w:rPr>
        <w:t>Amendments</w:t>
      </w:r>
      <w:r>
        <w:rPr>
          <w:rFonts w:ascii="Times New Roman" w:hAnsi="Times New Roman"/>
          <w:sz w:val="20"/>
        </w:rPr>
        <w:t xml:space="preserve">. Subject to satisfaction (or waiver) of the conditions set forth in </w:t>
      </w:r>
      <w:r>
        <w:rPr>
          <w:rFonts w:ascii="Times New Roman" w:hAnsi="Times New Roman"/>
          <w:sz w:val="20"/>
          <w:u w:val="single"/>
        </w:rPr>
        <w:t>Section 3</w:t>
      </w:r>
      <w:r>
        <w:rPr>
          <w:rFonts w:ascii="Times New Roman" w:hAnsi="Times New Roman"/>
          <w:sz w:val="20"/>
        </w:rPr>
        <w:t xml:space="preserve"> hereof, on the Amendment No. 3 Effective Date, (i) the Credit Agreement shall be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added double-underlined text</w:t>
      </w:r>
      <w:r>
        <w:rPr>
          <w:rFonts w:ascii="Times New Roman" w:hAnsi="Times New Roman"/>
          <w:sz w:val="20"/>
        </w:rPr>
        <w:t xml:space="preserve">) as set forth in the pages of the document attached as </w:t>
      </w:r>
      <w:r>
        <w:rPr>
          <w:rFonts w:ascii="Times New Roman" w:hAnsi="Times New Roman"/>
          <w:b/>
          <w:sz w:val="20"/>
          <w:u w:val="single"/>
        </w:rPr>
        <w:t>Exhibit A</w:t>
      </w:r>
      <w:r>
        <w:rPr>
          <w:rFonts w:ascii="Times New Roman" w:hAnsi="Times New Roman"/>
          <w:sz w:val="20"/>
        </w:rPr>
        <w:t xml:space="preserve"> hereto and (ii) Exhibits T (Form of Notice of Borrowing) and X (Form of Prepayment Notice) to the Credit Agreement shall be amended and restated in their entirety as set forth in </w:t>
      </w:r>
      <w:r>
        <w:rPr>
          <w:rFonts w:ascii="Times New Roman" w:hAnsi="Times New Roman"/>
          <w:b/>
          <w:sz w:val="20"/>
          <w:u w:val="single"/>
        </w:rPr>
        <w:t>Exhibit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b/>
          <w:i/>
          <w:sz w:val="20"/>
        </w:rPr>
        <w:t>Conditions to Effectiveness.</w:t>
      </w:r>
      <w:r>
        <w:rPr>
          <w:rFonts w:ascii="Times New Roman" w:hAnsi="Times New Roman"/>
          <w:sz w:val="20"/>
        </w:rPr>
        <w:t xml:space="preserve"> This Amendment (other than this Section 3, which shall become effective on the date hereof) and each party’s consent to the amendments contemplated herein to the Credit Agreement shall become effective as of the date on which (such time, the “</w:t>
      </w:r>
      <w:r>
        <w:rPr>
          <w:rFonts w:ascii="Times New Roman" w:hAnsi="Times New Roman"/>
          <w:sz w:val="20"/>
          <w:u w:val="single"/>
        </w:rPr>
        <w:t>Amendment No. 3 Effective Date</w:t>
      </w:r>
      <w:r>
        <w:rPr>
          <w:rFonts w:ascii="Times New Roman" w:hAnsi="Times New Roman"/>
          <w:sz w:val="20"/>
        </w:rPr>
        <w:t xml:space="preserve">”) the Administrative Agent (or its counsel) shall have received from Bidco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 </w:t>
      </w:r>
      <w:r>
        <w:rPr>
          <w:rFonts w:ascii="Times New Roman" w:hAnsi="Times New Roman"/>
          <w:sz w:val="20"/>
          <w:u w:val="single"/>
        </w:rPr>
        <w:t>provided</w:t>
      </w:r>
      <w:r>
        <w:rPr>
          <w:rFonts w:ascii="Times New Roman" w:hAnsi="Times New Roman"/>
          <w:sz w:val="20"/>
        </w:rPr>
        <w:t xml:space="preserve"> that the Required Lenders shall not have objected to this Amendment within five business days after the Administrative Agent has posted this Amendment to all Lenders. </w:t>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shall notify Initial Holdings, Bidco, the Borrowers and the Lenders of the Amendment No. 3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b/>
          <w:i/>
          <w:sz w:val="20"/>
        </w:rPr>
        <w:t>Expenses; Indemnity; Damage Waiver</w:t>
      </w:r>
      <w:r>
        <w:rPr>
          <w:rFonts w:ascii="Times New Roman" w:hAnsi="Times New Roman"/>
          <w:sz w:val="20"/>
        </w:rPr>
        <w:t xml:space="preserve">. Sections 9.03(a), (b), (d), (e), (f), (g) and (h)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and shall apply, </w:t>
      </w:r>
      <w:r>
        <w:rPr>
          <w:rFonts w:ascii="Times New Roman" w:hAnsi="Times New Roman"/>
          <w:i/>
          <w:sz w:val="20"/>
        </w:rPr>
        <w:t>mutatis mutandis</w:t>
      </w:r>
      <w:r>
        <w:rPr>
          <w:rFonts w:ascii="Times New Roman" w:hAnsi="Times New Roman"/>
          <w:sz w:val="20"/>
        </w:rPr>
        <w:t xml:space="preserve">, to the Administrative Agent, including, for the avoidance of doubt, liabilities, losses, damages, claims, costs, expenses and disbursements arising out of the transactions contemplated hereunder. </w:t>
      </w:r>
    </w:p>
    <w:p>
      <w:pPr>
        <w:pStyle w:val="TextBody"/>
        <w:bidi w:val="0"/>
        <w:spacing w:before="360" w:after="0"/>
        <w:jc w:val="left"/>
        <w:rPr>
          <w:rFonts w:ascii="Times New Roman" w:hAnsi="Times New Roman"/>
          <w:sz w:val="20"/>
        </w:rPr>
      </w:pPr>
      <w:r>
        <w:rPr>
          <w:rFonts w:ascii="Times New Roman" w:hAnsi="Times New Roman"/>
          <w:sz w:val="20"/>
        </w:rPr>
        <w:t xml:space="preserve">SECTION 5.     </w:t>
      </w:r>
      <w:r>
        <w:rPr>
          <w:rFonts w:ascii="Times New Roman" w:hAnsi="Times New Roman"/>
          <w:b/>
          <w:i/>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Amendment, Modification and Waiver</w:t>
      </w:r>
      <w:r>
        <w:rPr>
          <w:rFonts w:ascii="Times New Roman" w:hAnsi="Times New Roman"/>
          <w:sz w:val="20"/>
        </w:rPr>
        <w:t xml:space="preserve">. This Amendment may not be amended nor may any provision hereof be waived except pursuant to a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Entire Agreement</w:t>
      </w:r>
      <w:r>
        <w:rPr>
          <w:rFonts w:ascii="Times New Roman" w:hAnsi="Times New Roman"/>
          <w:b/>
          <w:sz w:val="20"/>
        </w:rPr>
        <w:t xml:space="preserve">. </w:t>
      </w:r>
      <w:r>
        <w:rPr>
          <w:rFonts w:ascii="Times New Roman" w:hAnsi="Times New Roman"/>
          <w:sz w:val="20"/>
        </w:rPr>
        <w:t xml:space="preserve">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 xml:space="preserve">Governing Law. </w:t>
      </w:r>
      <w:r>
        <w:rPr>
          <w:rFonts w:ascii="Times New Roman" w:hAnsi="Times New Roman"/>
          <w:sz w:val="20"/>
        </w:rPr>
        <w:t xml:space="preserve">This Amendment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 xml:space="preserve">Jurisdiction; Consent to Service of Process; Waiver of Jury Trial. </w:t>
      </w:r>
      <w:r>
        <w:rPr>
          <w:rFonts w:ascii="Times New Roman" w:hAnsi="Times New Roman"/>
          <w:sz w:val="20"/>
        </w:rPr>
        <w:t xml:space="preserve">Sections 9.09(b), (c) and (d) and Section 9.10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and shall apply, </w:t>
      </w:r>
      <w:r>
        <w:rPr>
          <w:rFonts w:ascii="Times New Roman" w:hAnsi="Times New Roman"/>
          <w:i/>
          <w:sz w:val="20"/>
        </w:rPr>
        <w:t>mutatis mutandis</w:t>
      </w:r>
      <w:r>
        <w:rPr>
          <w:rFonts w:ascii="Times New Roman" w:hAnsi="Times New Roman"/>
          <w:sz w:val="20"/>
        </w:rPr>
        <w:t xml:space="preserve">, to each party hereto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Severability</w:t>
      </w:r>
      <w:r>
        <w:rPr>
          <w:rFonts w:ascii="Times New Roman" w:hAnsi="Times New Roman"/>
          <w:sz w:val="20"/>
        </w:rPr>
        <w:t xml:space="preserve">.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Counterparts</w:t>
      </w:r>
      <w:r>
        <w:rPr>
          <w:rFonts w:ascii="Times New Roman" w:hAnsi="Times New Roman"/>
          <w:sz w:val="20"/>
        </w:rPr>
        <w:t xml:space="preserve">. This Amendment may be executed in counterparts (and by different parties hereto on different counterparts), each of which shall constitute an original, but all of which when taken together shall constitute a single contract.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Each of the parties hereto represents and warrants to the other parties hereto that it has the corporate capacity and authority to execute this Amendment through electronic means and there are no restrictions for doing so in such party’s constitutive documents.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Headings</w:t>
      </w:r>
      <w:r>
        <w:rPr>
          <w:rFonts w:ascii="Times New Roman" w:hAnsi="Times New Roman"/>
          <w:i/>
          <w:sz w:val="20"/>
        </w:rPr>
        <w:t>.</w:t>
      </w:r>
      <w:r>
        <w:rPr>
          <w:rFonts w:ascii="Times New Roman" w:hAnsi="Times New Roman"/>
          <w:sz w:val="20"/>
        </w:rPr>
        <w:t xml:space="preserve"> The headings of this Amendment are for purposes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Continued Effectiveness</w:t>
      </w:r>
      <w:r>
        <w:rPr>
          <w:rFonts w:ascii="Times New Roman" w:hAnsi="Times New Roman"/>
          <w:sz w:val="20"/>
        </w:rPr>
        <w:t xml:space="preserve">. Notwithstanding anything contained herein, the terms of this 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Amended Credit Agreement and each of the Loan Documents remain in full force and effect.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CONNECT BIDCO LIMITED</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Bidco</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Hargrave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Eric Hargrave</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BARCLAYS BANK PLC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Wendar Chen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Wendar Chen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right"/>
        <w:rPr>
          <w:rFonts w:ascii="Times New Roman" w:hAnsi="Times New Roman"/>
          <w:b/>
          <w:sz w:val="20"/>
        </w:rPr>
      </w:pPr>
      <w:r>
        <w:rPr>
          <w:rFonts w:ascii="Times New Roman" w:hAnsi="Times New Roman"/>
          <w:b/>
          <w:sz w:val="20"/>
        </w:rPr>
        <w:t xml:space="preserve">EXHIBIT A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w:t>
      </w:r>
    </w:p>
    <w:p>
      <w:pPr>
        <w:pStyle w:val="TextBody"/>
        <w:bidi w:val="0"/>
        <w:spacing w:before="0" w:after="0"/>
        <w:jc w:val="center"/>
        <w:rPr>
          <w:rFonts w:ascii="Times New Roman" w:hAnsi="Times New Roman"/>
          <w:sz w:val="20"/>
        </w:rPr>
      </w:pPr>
      <w:r>
        <w:rPr>
          <w:rFonts w:ascii="Times New Roman" w:hAnsi="Times New Roman"/>
          <w:sz w:val="20"/>
        </w:rPr>
        <w:t xml:space="preserve">December 12, 2019 </w:t>
      </w:r>
    </w:p>
    <w:p>
      <w:pPr>
        <w:pStyle w:val="TextBody"/>
        <w:bidi w:val="0"/>
        <w:spacing w:before="0" w:after="0"/>
        <w:jc w:val="center"/>
        <w:rPr>
          <w:rFonts w:ascii="Times New Roman" w:hAnsi="Times New Roman"/>
          <w:sz w:val="20"/>
        </w:rPr>
      </w:pPr>
      <w:r>
        <w:rPr>
          <w:rFonts w:ascii="Times New Roman" w:hAnsi="Times New Roman"/>
          <w:sz w:val="20"/>
        </w:rPr>
        <w:t>as amended by Amendment No. 1, dated as of January 25, 2021</w:t>
      </w:r>
      <w:r>
        <w:rPr>
          <w:rFonts w:ascii="Times New Roman" w:hAnsi="Times New Roman"/>
          <w:strike/>
          <w:color w:val="FF0000"/>
          <w:sz w:val="20"/>
        </w:rPr>
        <w:t xml:space="preserve"> and</w:t>
      </w:r>
      <w:r>
        <w:rPr>
          <w:rFonts w:ascii="Times New Roman" w:hAnsi="Times New Roman"/>
          <w:b/>
          <w:color w:val="0000FF"/>
          <w:sz w:val="20"/>
          <w:u w:val="single"/>
          <w:bdr w:val="double" w:sz="2" w:space="1" w:color="000000"/>
        </w:rPr>
        <w:t>,</w:t>
      </w:r>
      <w:r>
        <w:rPr>
          <w:rFonts w:ascii="Times New Roman" w:hAnsi="Times New Roman"/>
          <w:b/>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as amended by Amendment No. 2, dated as of December 17, 2021</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as amended by Amendment No. 3, dated as of December 2, 2022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CONNECT MIDCO LIMITED, </w:t>
      </w:r>
    </w:p>
    <w:p>
      <w:pPr>
        <w:pStyle w:val="TextBody"/>
        <w:bidi w:val="0"/>
        <w:spacing w:before="0" w:after="0"/>
        <w:jc w:val="center"/>
        <w:rPr>
          <w:rFonts w:ascii="Times New Roman" w:hAnsi="Times New Roman"/>
          <w:sz w:val="20"/>
        </w:rPr>
      </w:pPr>
      <w:r>
        <w:rPr>
          <w:rFonts w:ascii="Times New Roman" w:hAnsi="Times New Roman"/>
          <w:sz w:val="20"/>
        </w:rPr>
        <w:t xml:space="preserve">as Initial Holdings, </w:t>
      </w:r>
    </w:p>
    <w:p>
      <w:pPr>
        <w:pStyle w:val="TextBody"/>
        <w:bidi w:val="0"/>
        <w:spacing w:before="240" w:after="0"/>
        <w:jc w:val="center"/>
        <w:rPr>
          <w:rFonts w:ascii="Times New Roman" w:hAnsi="Times New Roman"/>
          <w:sz w:val="20"/>
        </w:rPr>
      </w:pPr>
      <w:r>
        <w:rPr>
          <w:rFonts w:ascii="Times New Roman" w:hAnsi="Times New Roman"/>
          <w:sz w:val="20"/>
        </w:rPr>
        <w:t xml:space="preserve">CONNECT BIDCO LIMITED, </w:t>
      </w:r>
    </w:p>
    <w:p>
      <w:pPr>
        <w:pStyle w:val="TextBody"/>
        <w:bidi w:val="0"/>
        <w:spacing w:before="0" w:after="0"/>
        <w:jc w:val="center"/>
        <w:rPr>
          <w:rFonts w:ascii="Times New Roman" w:hAnsi="Times New Roman"/>
          <w:sz w:val="20"/>
        </w:rPr>
      </w:pPr>
      <w:r>
        <w:rPr>
          <w:rFonts w:ascii="Times New Roman" w:hAnsi="Times New Roman"/>
          <w:sz w:val="20"/>
        </w:rPr>
        <w:t xml:space="preserve">as Bidco, </w:t>
      </w:r>
    </w:p>
    <w:p>
      <w:pPr>
        <w:pStyle w:val="TextBody"/>
        <w:bidi w:val="0"/>
        <w:spacing w:before="240" w:after="0"/>
        <w:jc w:val="center"/>
        <w:rPr>
          <w:rFonts w:ascii="Times New Roman" w:hAnsi="Times New Roman"/>
          <w:sz w:val="20"/>
        </w:rPr>
      </w:pPr>
      <w:r>
        <w:rPr>
          <w:rFonts w:ascii="Times New Roman" w:hAnsi="Times New Roman"/>
          <w:sz w:val="20"/>
        </w:rPr>
        <w:t xml:space="preserve">CONNECT FINCO SARL, </w:t>
      </w:r>
    </w:p>
    <w:p>
      <w:pPr>
        <w:pStyle w:val="TextBody"/>
        <w:bidi w:val="0"/>
        <w:spacing w:before="0" w:after="0"/>
        <w:jc w:val="center"/>
        <w:rPr>
          <w:rFonts w:ascii="Times New Roman" w:hAnsi="Times New Roman"/>
          <w:sz w:val="20"/>
        </w:rPr>
      </w:pPr>
      <w:r>
        <w:rPr>
          <w:rFonts w:ascii="Times New Roman" w:hAnsi="Times New Roman"/>
          <w:sz w:val="20"/>
        </w:rPr>
        <w:t xml:space="preserve">as the Finco Borrower and the Borrower Representative, </w:t>
      </w:r>
    </w:p>
    <w:p>
      <w:pPr>
        <w:pStyle w:val="TextBody"/>
        <w:bidi w:val="0"/>
        <w:spacing w:before="240" w:after="0"/>
        <w:jc w:val="center"/>
        <w:rPr>
          <w:rFonts w:ascii="Times New Roman" w:hAnsi="Times New Roman"/>
          <w:sz w:val="20"/>
        </w:rPr>
      </w:pPr>
      <w:r>
        <w:rPr>
          <w:rFonts w:ascii="Times New Roman" w:hAnsi="Times New Roman"/>
          <w:sz w:val="20"/>
        </w:rPr>
        <w:t xml:space="preserve">CONNECT U.S. FINCO LLC, </w:t>
      </w:r>
    </w:p>
    <w:p>
      <w:pPr>
        <w:pStyle w:val="TextBody"/>
        <w:bidi w:val="0"/>
        <w:spacing w:before="0" w:after="0"/>
        <w:jc w:val="center"/>
        <w:rPr>
          <w:rFonts w:ascii="Times New Roman" w:hAnsi="Times New Roman"/>
          <w:sz w:val="20"/>
        </w:rPr>
      </w:pPr>
      <w:r>
        <w:rPr>
          <w:rFonts w:ascii="Times New Roman" w:hAnsi="Times New Roman"/>
          <w:sz w:val="20"/>
        </w:rPr>
        <w:t xml:space="preserve">as the U.S. Borrower, </w:t>
      </w:r>
    </w:p>
    <w:p>
      <w:pPr>
        <w:pStyle w:val="TextBody"/>
        <w:bidi w:val="0"/>
        <w:spacing w:before="240" w:after="0"/>
        <w:jc w:val="center"/>
        <w:rPr>
          <w:rFonts w:ascii="Times New Roman" w:hAnsi="Times New Roman"/>
          <w:sz w:val="20"/>
        </w:rPr>
      </w:pPr>
      <w:r>
        <w:rPr>
          <w:rFonts w:ascii="Times New Roman" w:hAnsi="Times New Roman"/>
          <w:sz w:val="20"/>
        </w:rPr>
        <w:t xml:space="preserve">certain Restricted Subsidiaries of Bidco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Additional 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and Issuing Banks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Global Coordinators and Joint Lead Arrangers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BNP PARIBAS FORTIS S.A./N.V., </w:t>
      </w:r>
    </w:p>
    <w:p>
      <w:pPr>
        <w:pStyle w:val="TextBody"/>
        <w:bidi w:val="0"/>
        <w:spacing w:before="0" w:after="0"/>
        <w:jc w:val="center"/>
        <w:rPr>
          <w:rFonts w:ascii="Times New Roman" w:hAnsi="Times New Roman"/>
          <w:sz w:val="20"/>
        </w:rPr>
      </w:pPr>
      <w:r>
        <w:rPr>
          <w:rFonts w:ascii="Times New Roman" w:hAnsi="Times New Roman"/>
          <w:sz w:val="20"/>
        </w:rPr>
        <w:t xml:space="preserve">HSBC BANK PLC, </w:t>
      </w:r>
    </w:p>
    <w:p>
      <w:pPr>
        <w:pStyle w:val="TextBody"/>
        <w:bidi w:val="0"/>
        <w:spacing w:before="0" w:after="0"/>
        <w:jc w:val="center"/>
        <w:rPr>
          <w:rFonts w:ascii="Times New Roman" w:hAnsi="Times New Roman"/>
          <w:sz w:val="20"/>
        </w:rPr>
      </w:pPr>
      <w:r>
        <w:rPr>
          <w:rFonts w:ascii="Times New Roman" w:hAnsi="Times New Roman"/>
          <w:sz w:val="20"/>
        </w:rPr>
        <w:t xml:space="preserve">ING BANK N.V., </w:t>
      </w:r>
    </w:p>
    <w:p>
      <w:pPr>
        <w:pStyle w:val="TextBody"/>
        <w:bidi w:val="0"/>
        <w:spacing w:before="0" w:after="0"/>
        <w:jc w:val="center"/>
        <w:rPr>
          <w:rFonts w:ascii="Times New Roman" w:hAnsi="Times New Roman"/>
          <w:sz w:val="20"/>
        </w:rPr>
      </w:pPr>
      <w:r>
        <w:rPr>
          <w:rFonts w:ascii="Times New Roman" w:hAnsi="Times New Roman"/>
          <w:sz w:val="20"/>
        </w:rPr>
        <w:t xml:space="preserve">NATIXIS, NEW YORK BRANCH, </w:t>
      </w:r>
    </w:p>
    <w:p>
      <w:pPr>
        <w:pStyle w:val="TextBody"/>
        <w:bidi w:val="0"/>
        <w:spacing w:before="0" w:after="0"/>
        <w:jc w:val="center"/>
        <w:rPr>
          <w:rFonts w:ascii="Times New Roman" w:hAnsi="Times New Roman"/>
          <w:sz w:val="20"/>
        </w:rPr>
      </w:pPr>
      <w:r>
        <w:rPr>
          <w:rFonts w:ascii="Times New Roman" w:hAnsi="Times New Roman"/>
          <w:sz w:val="20"/>
        </w:rPr>
        <w:t xml:space="preserve">NATWEST MARKETS PLC,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BANCA IMI S.P.A., LONDON BRANCH, </w:t>
      </w:r>
    </w:p>
    <w:p>
      <w:pPr>
        <w:pStyle w:val="TextBody"/>
        <w:bidi w:val="0"/>
        <w:spacing w:before="0" w:after="0"/>
        <w:jc w:val="center"/>
        <w:rPr>
          <w:rFonts w:ascii="Times New Roman" w:hAnsi="Times New Roman"/>
          <w:sz w:val="20"/>
        </w:rPr>
      </w:pPr>
      <w:r>
        <w:rPr>
          <w:rFonts w:ascii="Times New Roman" w:hAnsi="Times New Roman"/>
          <w:sz w:val="20"/>
        </w:rPr>
        <w:t xml:space="preserve">MUFG BANK, LTD., </w:t>
      </w:r>
    </w:p>
    <w:p>
      <w:pPr>
        <w:pStyle w:val="TextBody"/>
        <w:bidi w:val="0"/>
        <w:spacing w:before="0" w:after="0"/>
        <w:jc w:val="center"/>
        <w:rPr>
          <w:rFonts w:ascii="Times New Roman" w:hAnsi="Times New Roman"/>
          <w:sz w:val="20"/>
        </w:rPr>
      </w:pPr>
      <w:r>
        <w:rPr>
          <w:rFonts w:ascii="Times New Roman" w:hAnsi="Times New Roman"/>
          <w:sz w:val="20"/>
        </w:rPr>
        <w:t xml:space="preserve">DNB (UK) LIMITED, </w:t>
      </w:r>
    </w:p>
    <w:p>
      <w:pPr>
        <w:pStyle w:val="TextBody"/>
        <w:bidi w:val="0"/>
        <w:spacing w:before="0" w:after="0"/>
        <w:jc w:val="center"/>
        <w:rPr>
          <w:rFonts w:ascii="Times New Roman" w:hAnsi="Times New Roman"/>
          <w:sz w:val="20"/>
        </w:rPr>
      </w:pPr>
      <w:r>
        <w:rPr>
          <w:rFonts w:ascii="Times New Roman" w:hAnsi="Times New Roman"/>
          <w:sz w:val="20"/>
        </w:rPr>
        <w:t xml:space="preserve">THE BANK OF NOVA SCOTIA, LONDON BRANCH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MIZUHO BANK, LTD.,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3"/>
        <w:gridCol w:w="111"/>
        <w:gridCol w:w="7448"/>
        <w:gridCol w:w="136"/>
        <w:gridCol w:w="60"/>
        <w:gridCol w:w="744"/>
        <w:gridCol w:w="63"/>
      </w:tblGrid>
      <w:tr>
        <w:trPr/>
        <w:tc>
          <w:tcPr>
            <w:tcW w:w="164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44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4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w:t>
            </w:r>
          </w:p>
        </w:tc>
        <w:tc>
          <w:tcPr>
            <w:tcW w:w="63" w:type="dxa"/>
            <w:tcBorders/>
          </w:tcPr>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Defined Terms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Classification of Loans and Borrowings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102</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Terms Generally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102</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Accounting Terms; IFRS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103</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Effectuation of Transactions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103</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Limited Condition Transactions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103</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Certain Determinations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104</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Additional Alternative Currencies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105</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Currency Equivalents Generally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Divisions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Agreed Security Principles; Guarantee Limitations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Additional Borrowers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Borrower Representative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Guernsey Customary Law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1.15</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Interest Rates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CREDITS</w:t>
            </w:r>
          </w:p>
        </w:tc>
        <w:tc>
          <w:tcPr>
            <w:tcW w:w="63" w:type="dxa"/>
            <w:tcBorders/>
          </w:tcPr>
          <w:p>
            <w:pPr>
              <w:pStyle w:val="TableContents"/>
              <w:bidi w:val="0"/>
              <w:spacing w:before="0" w:after="0"/>
              <w:jc w:val="left"/>
              <w:rPr/>
            </w:pPr>
            <w:r>
              <w:rPr/>
              <w:t> </w:t>
            </w:r>
          </w:p>
        </w:tc>
      </w:tr>
      <w:tr>
        <w:trPr>
          <w:trHeight w:val="120" w:hRule="atLeast"/>
        </w:trPr>
        <w:tc>
          <w:tcPr>
            <w:tcW w:w="1643" w:type="dxa"/>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Commitments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Loans and Borrowings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Requests for Borrowings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Letters of Credit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Funding of Borrowings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117</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Interest Elections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107</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Termination and Reduction of Commitments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Repayment of Loans; Evidence of Debt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Amortization of Term Loans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Prepayment of Loans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Fees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133</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Interest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134</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Alternate Rate of Interest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123</w:t>
            </w:r>
            <w:r>
              <w:rPr>
                <w:color w:val="0000FF"/>
                <w:u w:val="single"/>
                <w:bdr w:val="double" w:sz="2" w:space="1" w:color="000000"/>
              </w:rPr>
              <w:t>135</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Increased Costs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123</w:t>
            </w:r>
            <w:r>
              <w:rPr>
                <w:color w:val="0000FF"/>
                <w:u w:val="single"/>
                <w:bdr w:val="double" w:sz="2" w:space="1" w:color="000000"/>
              </w:rPr>
              <w:t>139</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Break Funding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124</w:t>
            </w:r>
            <w:r>
              <w:rPr>
                <w:color w:val="0000FF"/>
                <w:u w:val="single"/>
                <w:bdr w:val="double" w:sz="2" w:space="1" w:color="000000"/>
              </w:rPr>
              <w:t>140</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Taxes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125</w:t>
            </w:r>
            <w:r>
              <w:rPr>
                <w:color w:val="0000FF"/>
                <w:u w:val="single"/>
                <w:bdr w:val="double" w:sz="2" w:space="1" w:color="000000"/>
              </w:rPr>
              <w:t>140</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Payments Generally; Pro Rata Treatment; Sharing of Setoffs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145</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Mitigation Obligations; Replacement of Lenders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147</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Incremental Credit Extensions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132</w:t>
            </w:r>
            <w:r>
              <w:rPr>
                <w:color w:val="0000FF"/>
                <w:u w:val="single"/>
                <w:bdr w:val="double" w:sz="2" w:space="1" w:color="000000"/>
              </w:rPr>
              <w:t>148</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Refinancing Amendments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135</w:t>
            </w:r>
            <w:r>
              <w:rPr>
                <w:color w:val="0000FF"/>
                <w:u w:val="single"/>
                <w:bdr w:val="double" w:sz="2" w:space="1" w:color="000000"/>
              </w:rPr>
              <w:t>150</w:t>
            </w:r>
          </w:p>
        </w:tc>
        <w:tc>
          <w:tcPr>
            <w:tcW w:w="63" w:type="dxa"/>
            <w:tcBorders/>
            <w:vAlign w:val="bottom"/>
          </w:tcPr>
          <w:p>
            <w:pPr>
              <w:pStyle w:val="TableContents"/>
              <w:bidi w:val="0"/>
              <w:spacing w:before="0" w:after="283"/>
              <w:jc w:val="left"/>
              <w:rPr/>
            </w:pPr>
            <w:r>
              <w:rPr/>
              <w:t> </w:t>
            </w:r>
          </w:p>
        </w:tc>
      </w:tr>
      <w:tr>
        <w:trPr/>
        <w:tc>
          <w:tcPr>
            <w:tcW w:w="1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111" w:type="dxa"/>
            <w:tcBorders/>
            <w:vAlign w:val="bottom"/>
          </w:tcPr>
          <w:p>
            <w:pPr>
              <w:pStyle w:val="TableContents"/>
              <w:bidi w:val="0"/>
              <w:spacing w:before="0" w:after="283"/>
              <w:jc w:val="left"/>
              <w:rPr/>
            </w:pPr>
            <w:r>
              <w:rPr/>
              <w:t> </w:t>
            </w:r>
          </w:p>
        </w:tc>
        <w:tc>
          <w:tcPr>
            <w:tcW w:w="7448" w:type="dxa"/>
            <w:tcBorders/>
            <w:vAlign w:val="bottom"/>
          </w:tcPr>
          <w:p>
            <w:pPr>
              <w:pStyle w:val="TableContents"/>
              <w:bidi w:val="0"/>
              <w:spacing w:before="0" w:after="283"/>
              <w:jc w:val="left"/>
              <w:rPr/>
            </w:pPr>
            <w:r>
              <w:rPr/>
              <w:t>Defaulting Lenders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152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1"/>
        <w:gridCol w:w="111"/>
        <w:gridCol w:w="7435"/>
        <w:gridCol w:w="137"/>
        <w:gridCol w:w="60"/>
        <w:gridCol w:w="747"/>
        <w:gridCol w:w="64"/>
      </w:tblGrid>
      <w:tr>
        <w:trPr/>
        <w:tc>
          <w:tcPr>
            <w:tcW w:w="165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43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43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0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111" w:type="dxa"/>
            <w:tcBorders/>
            <w:vAlign w:val="bottom"/>
          </w:tcPr>
          <w:p>
            <w:pPr>
              <w:pStyle w:val="TableContents"/>
              <w:bidi w:val="0"/>
              <w:spacing w:before="0" w:after="283"/>
              <w:jc w:val="left"/>
              <w:rPr/>
            </w:pPr>
            <w:r>
              <w:rPr/>
              <w:t> </w:t>
            </w:r>
          </w:p>
        </w:tc>
        <w:tc>
          <w:tcPr>
            <w:tcW w:w="7435" w:type="dxa"/>
            <w:tcBorders/>
            <w:vAlign w:val="bottom"/>
          </w:tcPr>
          <w:p>
            <w:pPr>
              <w:pStyle w:val="TableContents"/>
              <w:bidi w:val="0"/>
              <w:spacing w:before="0" w:after="283"/>
              <w:jc w:val="left"/>
              <w:rPr/>
            </w:pPr>
            <w:r>
              <w:rPr/>
              <w:t>Illegality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137</w:t>
            </w:r>
            <w:r>
              <w:rPr>
                <w:color w:val="0000FF"/>
                <w:u w:val="single"/>
                <w:bdr w:val="double" w:sz="2" w:space="1" w:color="000000"/>
              </w:rPr>
              <w:t>153</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111" w:type="dxa"/>
            <w:tcBorders/>
            <w:vAlign w:val="bottom"/>
          </w:tcPr>
          <w:p>
            <w:pPr>
              <w:pStyle w:val="TableContents"/>
              <w:bidi w:val="0"/>
              <w:spacing w:before="0" w:after="283"/>
              <w:jc w:val="left"/>
              <w:rPr/>
            </w:pPr>
            <w:r>
              <w:rPr/>
              <w:t> </w:t>
            </w:r>
          </w:p>
        </w:tc>
        <w:tc>
          <w:tcPr>
            <w:tcW w:w="7435" w:type="dxa"/>
            <w:tcBorders/>
            <w:vAlign w:val="bottom"/>
          </w:tcPr>
          <w:p>
            <w:pPr>
              <w:pStyle w:val="TableContents"/>
              <w:bidi w:val="0"/>
              <w:spacing w:before="0" w:after="283"/>
              <w:jc w:val="left"/>
              <w:rPr/>
            </w:pPr>
            <w:r>
              <w:rPr/>
              <w:t>Loan Modification Offers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154</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111" w:type="dxa"/>
            <w:tcBorders/>
            <w:vAlign w:val="bottom"/>
          </w:tcPr>
          <w:p>
            <w:pPr>
              <w:pStyle w:val="TableContents"/>
              <w:bidi w:val="0"/>
              <w:spacing w:before="0" w:after="283"/>
              <w:jc w:val="left"/>
              <w:rPr/>
            </w:pPr>
            <w:r>
              <w:rPr/>
              <w:t> </w:t>
            </w:r>
          </w:p>
        </w:tc>
        <w:tc>
          <w:tcPr>
            <w:tcW w:w="7435" w:type="dxa"/>
            <w:tcBorders/>
            <w:vAlign w:val="bottom"/>
          </w:tcPr>
          <w:p>
            <w:pPr>
              <w:pStyle w:val="TableContents"/>
              <w:bidi w:val="0"/>
              <w:spacing w:before="0" w:after="283"/>
              <w:jc w:val="left"/>
              <w:rPr/>
            </w:pPr>
            <w:r>
              <w:rPr/>
              <w:t>Swingline Loans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155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REPRESENTATIONS AND WARRANTIES</w:t>
            </w:r>
          </w:p>
        </w:tc>
        <w:tc>
          <w:tcPr>
            <w:tcW w:w="64" w:type="dxa"/>
            <w:tcBorders/>
          </w:tcPr>
          <w:p>
            <w:pPr>
              <w:pStyle w:val="TableContents"/>
              <w:bidi w:val="0"/>
              <w:spacing w:before="0" w:after="0"/>
              <w:jc w:val="left"/>
              <w:rPr/>
            </w:pPr>
            <w:r>
              <w:rPr/>
              <w:t> </w:t>
            </w:r>
          </w:p>
        </w:tc>
      </w:tr>
      <w:tr>
        <w:trPr>
          <w:trHeight w:val="120" w:hRule="atLeast"/>
        </w:trPr>
        <w:tc>
          <w:tcPr>
            <w:tcW w:w="1651" w:type="dxa"/>
            <w:tcBorders/>
            <w:vAlign w:val="center"/>
          </w:tcPr>
          <w:p>
            <w:pPr>
              <w:pStyle w:val="TableContents"/>
              <w:bidi w:val="0"/>
              <w:spacing w:before="0" w:after="283"/>
              <w:jc w:val="left"/>
              <w:rPr>
                <w:sz w:val="4"/>
                <w:szCs w:val="4"/>
              </w:rPr>
            </w:pPr>
            <w:r>
              <w:rPr>
                <w:sz w:val="4"/>
                <w:szCs w:val="4"/>
              </w:rPr>
            </w:r>
          </w:p>
        </w:tc>
        <w:tc>
          <w:tcPr>
            <w:tcW w:w="7546" w:type="dxa"/>
            <w:gridSpan w:val="2"/>
            <w:tcBorders/>
            <w:vAlign w:val="center"/>
          </w:tcPr>
          <w:p>
            <w:pPr>
              <w:pStyle w:val="TableContents"/>
              <w:bidi w:val="0"/>
              <w:spacing w:before="0" w:after="283"/>
              <w:jc w:val="left"/>
              <w:rPr>
                <w:sz w:val="4"/>
                <w:szCs w:val="4"/>
              </w:rPr>
            </w:pPr>
            <w:r>
              <w:rPr>
                <w:sz w:val="4"/>
                <w:szCs w:val="4"/>
              </w:rPr>
            </w:r>
          </w:p>
        </w:tc>
        <w:tc>
          <w:tcPr>
            <w:tcW w:w="1008"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Powers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157</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Enforceability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157</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 No Conflicts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157</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Status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158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159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159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159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160</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Licenses, Etc.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160</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160</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Senior Indebtedness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161</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Regulations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161</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145</w:t>
            </w:r>
            <w:r>
              <w:rPr>
                <w:color w:val="0000FF"/>
                <w:u w:val="single"/>
                <w:bdr w:val="double" w:sz="2" w:space="1" w:color="000000"/>
              </w:rPr>
              <w:t>161</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Sanctions; USA PATRIOT Act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145</w:t>
            </w:r>
            <w:r>
              <w:rPr>
                <w:color w:val="0000FF"/>
                <w:u w:val="single"/>
                <w:bdr w:val="double" w:sz="2" w:space="1" w:color="000000"/>
              </w:rPr>
              <w:t>161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CONDITIONS</w:t>
            </w:r>
          </w:p>
        </w:tc>
        <w:tc>
          <w:tcPr>
            <w:tcW w:w="64" w:type="dxa"/>
            <w:tcBorders/>
          </w:tcPr>
          <w:p>
            <w:pPr>
              <w:pStyle w:val="TableContents"/>
              <w:bidi w:val="0"/>
              <w:spacing w:before="0" w:after="0"/>
              <w:jc w:val="left"/>
              <w:rPr/>
            </w:pPr>
            <w:r>
              <w:rPr/>
              <w:t> </w:t>
            </w:r>
          </w:p>
        </w:tc>
      </w:tr>
      <w:tr>
        <w:trPr>
          <w:trHeight w:val="120" w:hRule="atLeast"/>
        </w:trPr>
        <w:tc>
          <w:tcPr>
            <w:tcW w:w="1651" w:type="dxa"/>
            <w:tcBorders/>
            <w:vAlign w:val="center"/>
          </w:tcPr>
          <w:p>
            <w:pPr>
              <w:pStyle w:val="TableContents"/>
              <w:bidi w:val="0"/>
              <w:spacing w:before="0" w:after="283"/>
              <w:jc w:val="left"/>
              <w:rPr>
                <w:sz w:val="4"/>
                <w:szCs w:val="4"/>
              </w:rPr>
            </w:pPr>
            <w:r>
              <w:rPr>
                <w:sz w:val="4"/>
                <w:szCs w:val="4"/>
              </w:rPr>
            </w:r>
          </w:p>
        </w:tc>
        <w:tc>
          <w:tcPr>
            <w:tcW w:w="7546" w:type="dxa"/>
            <w:gridSpan w:val="2"/>
            <w:tcBorders/>
            <w:vAlign w:val="center"/>
          </w:tcPr>
          <w:p>
            <w:pPr>
              <w:pStyle w:val="TableContents"/>
              <w:bidi w:val="0"/>
              <w:spacing w:before="0" w:after="283"/>
              <w:jc w:val="left"/>
              <w:rPr>
                <w:sz w:val="4"/>
                <w:szCs w:val="4"/>
              </w:rPr>
            </w:pPr>
            <w:r>
              <w:rPr>
                <w:sz w:val="4"/>
                <w:szCs w:val="4"/>
              </w:rPr>
            </w:r>
          </w:p>
        </w:tc>
        <w:tc>
          <w:tcPr>
            <w:tcW w:w="1008"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Effective Date and Certain Funds Utilization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145</w:t>
            </w:r>
            <w:r>
              <w:rPr>
                <w:color w:val="0000FF"/>
                <w:u w:val="single"/>
                <w:bdr w:val="double" w:sz="2" w:space="1" w:color="000000"/>
              </w:rPr>
              <w:t>162</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Each Credit Event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164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AFFIRMATIVE COVENANTS</w:t>
            </w:r>
          </w:p>
        </w:tc>
        <w:tc>
          <w:tcPr>
            <w:tcW w:w="64" w:type="dxa"/>
            <w:tcBorders/>
          </w:tcPr>
          <w:p>
            <w:pPr>
              <w:pStyle w:val="TableContents"/>
              <w:bidi w:val="0"/>
              <w:spacing w:before="0" w:after="0"/>
              <w:jc w:val="left"/>
              <w:rPr/>
            </w:pPr>
            <w:r>
              <w:rPr/>
              <w:t> </w:t>
            </w:r>
          </w:p>
        </w:tc>
      </w:tr>
      <w:tr>
        <w:trPr>
          <w:trHeight w:val="120" w:hRule="atLeast"/>
        </w:trPr>
        <w:tc>
          <w:tcPr>
            <w:tcW w:w="1651" w:type="dxa"/>
            <w:tcBorders/>
            <w:vAlign w:val="center"/>
          </w:tcPr>
          <w:p>
            <w:pPr>
              <w:pStyle w:val="TableContents"/>
              <w:bidi w:val="0"/>
              <w:spacing w:before="0" w:after="283"/>
              <w:jc w:val="left"/>
              <w:rPr>
                <w:sz w:val="4"/>
                <w:szCs w:val="4"/>
              </w:rPr>
            </w:pPr>
            <w:r>
              <w:rPr>
                <w:sz w:val="4"/>
                <w:szCs w:val="4"/>
              </w:rPr>
            </w:r>
          </w:p>
        </w:tc>
        <w:tc>
          <w:tcPr>
            <w:tcW w:w="7546" w:type="dxa"/>
            <w:gridSpan w:val="2"/>
            <w:tcBorders/>
            <w:vAlign w:val="center"/>
          </w:tcPr>
          <w:p>
            <w:pPr>
              <w:pStyle w:val="TableContents"/>
              <w:bidi w:val="0"/>
              <w:spacing w:before="0" w:after="283"/>
              <w:jc w:val="left"/>
              <w:rPr>
                <w:sz w:val="4"/>
                <w:szCs w:val="4"/>
              </w:rPr>
            </w:pPr>
            <w:r>
              <w:rPr>
                <w:sz w:val="4"/>
                <w:szCs w:val="4"/>
              </w:rPr>
            </w:r>
          </w:p>
        </w:tc>
        <w:tc>
          <w:tcPr>
            <w:tcW w:w="1008"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and Other Information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165</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Notices of Material Events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168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Regarding Collateral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168</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Existence; Conduct of Business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169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Taxes, Etc.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152</w:t>
            </w:r>
            <w:r>
              <w:rPr>
                <w:color w:val="0000FF"/>
                <w:u w:val="single"/>
                <w:bdr w:val="double" w:sz="2" w:space="1" w:color="000000"/>
              </w:rPr>
              <w:t>169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Properties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169</w:t>
            </w:r>
          </w:p>
        </w:tc>
        <w:tc>
          <w:tcPr>
            <w:tcW w:w="64"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1" w:type="dxa"/>
            <w:tcBorders/>
            <w:vAlign w:val="bottom"/>
          </w:tcPr>
          <w:p>
            <w:pPr>
              <w:pStyle w:val="TableContents"/>
              <w:bidi w:val="0"/>
              <w:spacing w:before="0" w:after="283"/>
              <w:jc w:val="left"/>
              <w:rPr/>
            </w:pPr>
            <w:r>
              <w:rPr/>
              <w:t> </w:t>
            </w:r>
          </w:p>
        </w:tc>
        <w:tc>
          <w:tcPr>
            <w:tcW w:w="7435" w:type="dxa"/>
            <w:tcBorders/>
          </w:tcPr>
          <w:p>
            <w:pPr>
              <w:pStyle w:val="TableContents"/>
              <w:bidi w:val="0"/>
              <w:spacing w:before="0" w:after="0"/>
              <w:jc w:val="left"/>
              <w:rPr>
                <w:rFonts w:ascii="Times New Roman" w:hAnsi="Times New Roman"/>
                <w:sz w:val="20"/>
              </w:rPr>
            </w:pPr>
            <w:r>
              <w:rPr>
                <w:rFonts w:ascii="Times New Roman" w:hAnsi="Times New Roman"/>
                <w:sz w:val="20"/>
              </w:rPr>
              <w:t>Books and Records; Inspection and Audit Rights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8"/>
        <w:gridCol w:w="89"/>
        <w:gridCol w:w="7655"/>
        <w:gridCol w:w="129"/>
        <w:gridCol w:w="60"/>
        <w:gridCol w:w="740"/>
        <w:gridCol w:w="64"/>
      </w:tblGrid>
      <w:tr>
        <w:trPr/>
        <w:tc>
          <w:tcPr>
            <w:tcW w:w="1468"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68"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170</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Use of Proceeds and Letters of Credit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170</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Additional Subsidiaries; Guarantor Coverage Test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170</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Further Assurances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172</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Designation of Subsidiaries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173</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Certain Post-Closing Obligations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173</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Maintenance of Rating of Bidco and the Facilities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173</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Lines of Business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173</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Transactions with Affiliates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174</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Refinancing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175</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Acquisition Undertakings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175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NEGATIVE COVENANTS</w:t>
            </w:r>
          </w:p>
        </w:tc>
        <w:tc>
          <w:tcPr>
            <w:tcW w:w="64" w:type="dxa"/>
            <w:tcBorders/>
          </w:tcPr>
          <w:p>
            <w:pPr>
              <w:pStyle w:val="TableContents"/>
              <w:bidi w:val="0"/>
              <w:spacing w:before="0" w:after="0"/>
              <w:jc w:val="left"/>
              <w:rPr/>
            </w:pPr>
            <w:r>
              <w:rPr/>
              <w:t> </w:t>
            </w:r>
          </w:p>
        </w:tc>
      </w:tr>
      <w:tr>
        <w:trPr>
          <w:trHeight w:val="120" w:hRule="atLeast"/>
        </w:trPr>
        <w:tc>
          <w:tcPr>
            <w:tcW w:w="1468" w:type="dxa"/>
            <w:tcBorders/>
            <w:vAlign w:val="center"/>
          </w:tcPr>
          <w:p>
            <w:pPr>
              <w:pStyle w:val="TableContents"/>
              <w:bidi w:val="0"/>
              <w:spacing w:before="0" w:after="283"/>
              <w:jc w:val="left"/>
              <w:rPr>
                <w:sz w:val="4"/>
                <w:szCs w:val="4"/>
              </w:rPr>
            </w:pPr>
            <w:r>
              <w:rPr>
                <w:sz w:val="4"/>
                <w:szCs w:val="4"/>
              </w:rPr>
            </w:r>
          </w:p>
        </w:tc>
        <w:tc>
          <w:tcPr>
            <w:tcW w:w="7744"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Indebtedness; Certain Equity Securities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175</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Liens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185</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Fundamental Changes; Holdings Covenant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185</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Asset Sales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187</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Limitation on Restricted Payments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172</w:t>
            </w:r>
            <w:r>
              <w:rPr>
                <w:color w:val="0000FF"/>
                <w:u w:val="single"/>
                <w:bdr w:val="double" w:sz="2" w:space="1" w:color="000000"/>
              </w:rPr>
              <w:t>189</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Restrictive Agreements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181</w:t>
            </w:r>
            <w:r>
              <w:rPr>
                <w:color w:val="0000FF"/>
                <w:u w:val="single"/>
                <w:bdr w:val="double" w:sz="2" w:space="1" w:color="000000"/>
              </w:rPr>
              <w:t>199</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Financial Performance Covenant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183</w:t>
            </w:r>
            <w:r>
              <w:rPr>
                <w:color w:val="0000FF"/>
                <w:u w:val="single"/>
                <w:bdr w:val="double" w:sz="2" w:space="1" w:color="000000"/>
              </w:rPr>
              <w:t>201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EVENTS OF DEFAULT</w:t>
            </w:r>
          </w:p>
        </w:tc>
        <w:tc>
          <w:tcPr>
            <w:tcW w:w="64" w:type="dxa"/>
            <w:tcBorders/>
          </w:tcPr>
          <w:p>
            <w:pPr>
              <w:pStyle w:val="TableContents"/>
              <w:bidi w:val="0"/>
              <w:spacing w:before="0" w:after="0"/>
              <w:jc w:val="left"/>
              <w:rPr/>
            </w:pPr>
            <w:r>
              <w:rPr/>
              <w:t> </w:t>
            </w:r>
          </w:p>
        </w:tc>
      </w:tr>
      <w:tr>
        <w:trPr>
          <w:trHeight w:val="120" w:hRule="atLeast"/>
        </w:trPr>
        <w:tc>
          <w:tcPr>
            <w:tcW w:w="1468" w:type="dxa"/>
            <w:tcBorders/>
            <w:vAlign w:val="center"/>
          </w:tcPr>
          <w:p>
            <w:pPr>
              <w:pStyle w:val="TableContents"/>
              <w:bidi w:val="0"/>
              <w:spacing w:before="0" w:after="283"/>
              <w:jc w:val="left"/>
              <w:rPr>
                <w:sz w:val="4"/>
                <w:szCs w:val="4"/>
              </w:rPr>
            </w:pPr>
            <w:r>
              <w:rPr>
                <w:sz w:val="4"/>
                <w:szCs w:val="4"/>
              </w:rPr>
            </w:r>
          </w:p>
        </w:tc>
        <w:tc>
          <w:tcPr>
            <w:tcW w:w="7744"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Events of Default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184</w:t>
            </w:r>
            <w:r>
              <w:rPr>
                <w:color w:val="0000FF"/>
                <w:u w:val="single"/>
                <w:bdr w:val="double" w:sz="2" w:space="1" w:color="000000"/>
              </w:rPr>
              <w:t>201</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Right to Cure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187</w:t>
            </w:r>
            <w:r>
              <w:rPr>
                <w:color w:val="0000FF"/>
                <w:u w:val="single"/>
                <w:bdr w:val="double" w:sz="2" w:space="1" w:color="000000"/>
              </w:rPr>
              <w:t>205</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Application of Proceeds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188</w:t>
            </w:r>
            <w:r>
              <w:rPr>
                <w:color w:val="0000FF"/>
                <w:u w:val="single"/>
                <w:bdr w:val="double" w:sz="2" w:space="1" w:color="000000"/>
              </w:rPr>
              <w:t>206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ADMINISTRATIVE AGENT</w:t>
            </w:r>
          </w:p>
        </w:tc>
        <w:tc>
          <w:tcPr>
            <w:tcW w:w="64" w:type="dxa"/>
            <w:tcBorders/>
          </w:tcPr>
          <w:p>
            <w:pPr>
              <w:pStyle w:val="TableContents"/>
              <w:bidi w:val="0"/>
              <w:spacing w:before="0" w:after="0"/>
              <w:jc w:val="left"/>
              <w:rPr/>
            </w:pPr>
            <w:r>
              <w:rPr/>
              <w:t> </w:t>
            </w:r>
          </w:p>
        </w:tc>
      </w:tr>
      <w:tr>
        <w:trPr>
          <w:trHeight w:val="120" w:hRule="atLeast"/>
        </w:trPr>
        <w:tc>
          <w:tcPr>
            <w:tcW w:w="1468" w:type="dxa"/>
            <w:tcBorders/>
            <w:vAlign w:val="center"/>
          </w:tcPr>
          <w:p>
            <w:pPr>
              <w:pStyle w:val="TableContents"/>
              <w:bidi w:val="0"/>
              <w:spacing w:before="0" w:after="283"/>
              <w:jc w:val="left"/>
              <w:rPr>
                <w:sz w:val="4"/>
                <w:szCs w:val="4"/>
              </w:rPr>
            </w:pPr>
            <w:r>
              <w:rPr>
                <w:sz w:val="4"/>
                <w:szCs w:val="4"/>
              </w:rPr>
            </w:r>
          </w:p>
        </w:tc>
        <w:tc>
          <w:tcPr>
            <w:tcW w:w="7744"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Appointment and Authority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190</w:t>
            </w:r>
            <w:r>
              <w:rPr>
                <w:color w:val="0000FF"/>
                <w:u w:val="single"/>
                <w:bdr w:val="double" w:sz="2" w:space="1" w:color="000000"/>
              </w:rPr>
              <w:t>207</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Rights as a Lender</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190</w:t>
            </w:r>
            <w:r>
              <w:rPr>
                <w:color w:val="0000FF"/>
                <w:u w:val="single"/>
                <w:bdr w:val="double" w:sz="2" w:space="1" w:color="000000"/>
              </w:rPr>
              <w:t>208</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Exculpatory Provisions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190</w:t>
            </w:r>
            <w:r>
              <w:rPr>
                <w:color w:val="0000FF"/>
                <w:u w:val="single"/>
                <w:bdr w:val="double" w:sz="2" w:space="1" w:color="000000"/>
              </w:rPr>
              <w:t>208</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Reliance by Administrative Agent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191</w:t>
            </w:r>
            <w:r>
              <w:rPr>
                <w:color w:val="0000FF"/>
                <w:u w:val="single"/>
                <w:bdr w:val="double" w:sz="2" w:space="1" w:color="000000"/>
              </w:rPr>
              <w:t>209</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Delegation of Duties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191</w:t>
            </w:r>
            <w:r>
              <w:rPr>
                <w:color w:val="0000FF"/>
                <w:u w:val="single"/>
                <w:bdr w:val="double" w:sz="2" w:space="1" w:color="000000"/>
              </w:rPr>
              <w:t>209</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Resignation of Administrative Agent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192</w:t>
            </w:r>
            <w:r>
              <w:rPr>
                <w:color w:val="0000FF"/>
                <w:u w:val="single"/>
                <w:bdr w:val="double" w:sz="2" w:space="1" w:color="000000"/>
              </w:rPr>
              <w:t>209</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Non-Reliance on Administrative Agent and Other Lenders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193</w:t>
            </w:r>
            <w:r>
              <w:rPr>
                <w:color w:val="0000FF"/>
                <w:u w:val="single"/>
                <w:bdr w:val="double" w:sz="2" w:space="1" w:color="000000"/>
              </w:rPr>
              <w:t>211</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No Other Duties,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194</w:t>
            </w:r>
            <w:r>
              <w:rPr>
                <w:color w:val="0000FF"/>
                <w:u w:val="single"/>
                <w:bdr w:val="double" w:sz="2" w:space="1" w:color="000000"/>
              </w:rPr>
              <w:t>211</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Administrative Agent May File Proofs of Claim</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194</w:t>
            </w:r>
            <w:r>
              <w:rPr>
                <w:color w:val="0000FF"/>
                <w:u w:val="single"/>
                <w:bdr w:val="double" w:sz="2" w:space="1" w:color="000000"/>
              </w:rPr>
              <w:t>212</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No Waiver; Cumulative Remedies; Enforcement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194</w:t>
            </w:r>
            <w:r>
              <w:rPr>
                <w:color w:val="0000FF"/>
                <w:u w:val="single"/>
                <w:bdr w:val="double" w:sz="2" w:space="1" w:color="000000"/>
              </w:rPr>
              <w:t>212</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Withholding Taxes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195</w:t>
            </w:r>
            <w:r>
              <w:rPr>
                <w:color w:val="0000FF"/>
                <w:u w:val="single"/>
                <w:bdr w:val="double" w:sz="2" w:space="1" w:color="000000"/>
              </w:rPr>
              <w:t>213</w:t>
            </w:r>
          </w:p>
        </w:tc>
        <w:tc>
          <w:tcPr>
            <w:tcW w:w="64" w:type="dxa"/>
            <w:tcBorders/>
            <w:vAlign w:val="bottom"/>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89"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Certain ERISA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196</w:t>
            </w:r>
            <w:r>
              <w:rPr>
                <w:color w:val="0000FF"/>
                <w:u w:val="single"/>
                <w:bdr w:val="double" w:sz="2" w:space="1" w:color="000000"/>
              </w:rPr>
              <w:t>213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2"/>
        <w:gridCol w:w="112"/>
        <w:gridCol w:w="7595"/>
        <w:gridCol w:w="138"/>
        <w:gridCol w:w="60"/>
        <w:gridCol w:w="755"/>
        <w:gridCol w:w="63"/>
      </w:tblGrid>
      <w:tr>
        <w:trPr/>
        <w:tc>
          <w:tcPr>
            <w:tcW w:w="1482"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759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8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482" w:type="dxa"/>
            <w:tcBorders/>
            <w:vAlign w:val="center"/>
          </w:tcPr>
          <w:p>
            <w:pPr>
              <w:pStyle w:val="TableContents"/>
              <w:bidi w:val="0"/>
              <w:spacing w:before="0" w:after="283"/>
              <w:jc w:val="left"/>
              <w:rPr>
                <w:sz w:val="4"/>
                <w:szCs w:val="4"/>
              </w:rPr>
            </w:pPr>
            <w:r>
              <w:rPr>
                <w:sz w:val="4"/>
                <w:szCs w:val="4"/>
              </w:rPr>
            </w:r>
          </w:p>
        </w:tc>
        <w:tc>
          <w:tcPr>
            <w:tcW w:w="770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Notices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196</w:t>
            </w:r>
            <w:r>
              <w:rPr>
                <w:color w:val="0000FF"/>
                <w:u w:val="single"/>
                <w:bdr w:val="double" w:sz="2" w:space="1" w:color="000000"/>
              </w:rPr>
              <w:t>214</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Waivers; Amendments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198</w:t>
            </w:r>
            <w:r>
              <w:rPr>
                <w:color w:val="0000FF"/>
                <w:u w:val="single"/>
                <w:bdr w:val="double" w:sz="2" w:space="1" w:color="000000"/>
              </w:rPr>
              <w:t>216</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Expenses; Indemnity; Damage Waiver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202</w:t>
            </w:r>
            <w:r>
              <w:rPr>
                <w:color w:val="0000FF"/>
                <w:u w:val="single"/>
                <w:bdr w:val="double" w:sz="2" w:space="1" w:color="000000"/>
              </w:rPr>
              <w:t>219</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Successors and Assigns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205</w:t>
            </w:r>
            <w:r>
              <w:rPr>
                <w:color w:val="0000FF"/>
                <w:u w:val="single"/>
                <w:bdr w:val="double" w:sz="2" w:space="1" w:color="000000"/>
              </w:rPr>
              <w:t>222</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Survival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211</w:t>
            </w:r>
            <w:r>
              <w:rPr>
                <w:color w:val="0000FF"/>
                <w:u w:val="single"/>
                <w:bdr w:val="double" w:sz="2" w:space="1" w:color="000000"/>
              </w:rPr>
              <w:t>229</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Counterparts; Integration; Effectiveness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212</w:t>
            </w:r>
            <w:r>
              <w:rPr>
                <w:color w:val="0000FF"/>
                <w:u w:val="single"/>
                <w:bdr w:val="double" w:sz="2" w:space="1" w:color="000000"/>
              </w:rPr>
              <w:t>230</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Severability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212</w:t>
            </w:r>
            <w:r>
              <w:rPr>
                <w:color w:val="0000FF"/>
                <w:u w:val="single"/>
                <w:bdr w:val="double" w:sz="2" w:space="1" w:color="000000"/>
              </w:rPr>
              <w:t>230</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Right of Setoff</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212</w:t>
            </w:r>
            <w:r>
              <w:rPr>
                <w:color w:val="0000FF"/>
                <w:u w:val="single"/>
                <w:bdr w:val="double" w:sz="2" w:space="1" w:color="000000"/>
              </w:rPr>
              <w:t>231</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Governing Law; Jurisdiction; Consent to Service of Process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213</w:t>
            </w:r>
            <w:r>
              <w:rPr>
                <w:color w:val="0000FF"/>
                <w:u w:val="single"/>
                <w:bdr w:val="double" w:sz="2" w:space="1" w:color="000000"/>
              </w:rPr>
              <w:t>231</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WAIVER OF JURY TRIAL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214</w:t>
            </w:r>
            <w:r>
              <w:rPr>
                <w:color w:val="0000FF"/>
                <w:u w:val="single"/>
                <w:bdr w:val="double" w:sz="2" w:space="1" w:color="000000"/>
              </w:rPr>
              <w:t>232</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Headings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214</w:t>
            </w:r>
            <w:r>
              <w:rPr>
                <w:color w:val="0000FF"/>
                <w:u w:val="single"/>
                <w:bdr w:val="double" w:sz="2" w:space="1" w:color="000000"/>
              </w:rPr>
              <w:t>232</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Confidentiality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214</w:t>
            </w:r>
            <w:r>
              <w:rPr>
                <w:color w:val="0000FF"/>
                <w:u w:val="single"/>
                <w:bdr w:val="double" w:sz="2" w:space="1" w:color="000000"/>
              </w:rPr>
              <w:t>232</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USA PATRIOT Act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216</w:t>
            </w:r>
            <w:r>
              <w:rPr>
                <w:color w:val="0000FF"/>
                <w:u w:val="single"/>
                <w:bdr w:val="double" w:sz="2" w:space="1" w:color="000000"/>
              </w:rPr>
              <w:t>234</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Release of Liens and Guarantees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216</w:t>
            </w:r>
            <w:r>
              <w:rPr>
                <w:color w:val="0000FF"/>
                <w:u w:val="single"/>
                <w:bdr w:val="double" w:sz="2" w:space="1" w:color="000000"/>
              </w:rPr>
              <w:t>234</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No Advisory or Fiduciary Responsibility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217</w:t>
            </w:r>
            <w:r>
              <w:rPr>
                <w:color w:val="0000FF"/>
                <w:u w:val="single"/>
                <w:bdr w:val="double" w:sz="2" w:space="1" w:color="000000"/>
              </w:rPr>
              <w:t>235</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Interest Rate Limitation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217</w:t>
            </w:r>
            <w:r>
              <w:rPr>
                <w:color w:val="0000FF"/>
                <w:u w:val="single"/>
                <w:bdr w:val="double" w:sz="2" w:space="1" w:color="000000"/>
              </w:rPr>
              <w:t>235</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Intercreditor Agreements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218</w:t>
            </w:r>
            <w:r>
              <w:rPr>
                <w:color w:val="0000FF"/>
                <w:u w:val="single"/>
                <w:bdr w:val="double" w:sz="2" w:space="1" w:color="000000"/>
              </w:rPr>
              <w:t>236</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Cashless Settlement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218</w:t>
            </w:r>
            <w:r>
              <w:rPr>
                <w:color w:val="0000FF"/>
                <w:u w:val="single"/>
                <w:bdr w:val="double" w:sz="2" w:space="1" w:color="000000"/>
              </w:rPr>
              <w:t>236</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Acknowledgement and Consent to Bail-In of Affected Financial Institutions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218</w:t>
            </w:r>
            <w:r>
              <w:rPr>
                <w:color w:val="0000FF"/>
                <w:u w:val="single"/>
                <w:bdr w:val="double" w:sz="2" w:space="1" w:color="000000"/>
              </w:rPr>
              <w:t>236</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Acknowledgement Regarding Any Supported QFCs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219</w:t>
            </w:r>
            <w:r>
              <w:rPr>
                <w:color w:val="0000FF"/>
                <w:u w:val="single"/>
                <w:bdr w:val="double" w:sz="2" w:space="1" w:color="000000"/>
              </w:rPr>
              <w:t>237</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Joint and Several Liability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220</w:t>
            </w:r>
            <w:r>
              <w:rPr>
                <w:color w:val="0000FF"/>
                <w:u w:val="single"/>
                <w:bdr w:val="double" w:sz="2" w:space="1" w:color="000000"/>
              </w:rPr>
              <w:t>238</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Judgment Currency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220</w:t>
            </w:r>
            <w:r>
              <w:rPr>
                <w:color w:val="0000FF"/>
                <w:u w:val="single"/>
                <w:bdr w:val="double" w:sz="2" w:space="1" w:color="000000"/>
              </w:rPr>
              <w:t>238</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Lender Affiliates and Facility Offices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220</w:t>
            </w:r>
            <w:r>
              <w:rPr>
                <w:color w:val="0000FF"/>
                <w:u w:val="single"/>
                <w:bdr w:val="double" w:sz="2" w:space="1" w:color="000000"/>
              </w:rPr>
              <w:t>238</w:t>
            </w:r>
          </w:p>
        </w:tc>
        <w:tc>
          <w:tcPr>
            <w:tcW w:w="63" w:type="dxa"/>
            <w:tcBorders/>
            <w:vAlign w:val="bottom"/>
          </w:tcPr>
          <w:p>
            <w:pPr>
              <w:pStyle w:val="TableContents"/>
              <w:bidi w:val="0"/>
              <w:spacing w:before="0" w:after="283"/>
              <w:jc w:val="left"/>
              <w:rPr/>
            </w:pPr>
            <w:r>
              <w:rPr/>
              <w:t> </w:t>
            </w:r>
          </w:p>
        </w:tc>
      </w:tr>
      <w:tr>
        <w:trPr/>
        <w:tc>
          <w:tcPr>
            <w:tcW w:w="1482"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12" w:type="dxa"/>
            <w:tcBorders/>
            <w:vAlign w:val="bottom"/>
          </w:tcPr>
          <w:p>
            <w:pPr>
              <w:pStyle w:val="TableContents"/>
              <w:bidi w:val="0"/>
              <w:spacing w:before="0" w:after="283"/>
              <w:jc w:val="left"/>
              <w:rPr/>
            </w:pPr>
            <w:r>
              <w:rPr/>
              <w:t> </w:t>
            </w:r>
          </w:p>
        </w:tc>
        <w:tc>
          <w:tcPr>
            <w:tcW w:w="7595" w:type="dxa"/>
            <w:tcBorders/>
            <w:vAlign w:val="bottom"/>
          </w:tcPr>
          <w:p>
            <w:pPr>
              <w:pStyle w:val="TableContents"/>
              <w:bidi w:val="0"/>
              <w:spacing w:before="0" w:after="283"/>
              <w:jc w:val="left"/>
              <w:rPr/>
            </w:pPr>
            <w:r>
              <w:rPr/>
              <w:t>Interim Facilities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221</w:t>
            </w:r>
            <w:r>
              <w:rPr>
                <w:color w:val="0000FF"/>
                <w:u w:val="single"/>
                <w:bdr w:val="double" w:sz="2" w:space="1" w:color="000000"/>
              </w:rPr>
              <w:t>239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p>
    <w:tbl>
      <w:tblPr>
        <w:tblW w:w="5000" w:type="pct"/>
        <w:jc w:val="center"/>
        <w:tblInd w:w="0" w:type="dxa"/>
        <w:tblLayout w:type="fixed"/>
        <w:tblCellMar>
          <w:top w:w="0" w:type="dxa"/>
          <w:left w:w="0" w:type="dxa"/>
          <w:bottom w:w="0" w:type="dxa"/>
          <w:right w:w="0" w:type="dxa"/>
        </w:tblCellMar>
      </w:tblPr>
      <w:tblGrid>
        <w:gridCol w:w="1329"/>
        <w:gridCol w:w="108"/>
        <w:gridCol w:w="914"/>
        <w:gridCol w:w="122"/>
        <w:gridCol w:w="7732"/>
      </w:tblGrid>
      <w:tr>
        <w:trPr/>
        <w:tc>
          <w:tcPr>
            <w:tcW w:w="132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32" w:type="dxa"/>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SCHEDULES</w:t>
            </w:r>
            <w:r>
              <w:rPr>
                <w:rFonts w:ascii="Times New Roman" w:hAnsi="Times New Roman"/>
                <w:sz w:val="20"/>
              </w:rPr>
              <w:t>:</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29" w:type="dxa"/>
            <w:tcBorders/>
            <w:vAlign w:val="center"/>
          </w:tcPr>
          <w:p>
            <w:pPr>
              <w:pStyle w:val="TableContents"/>
              <w:bidi w:val="0"/>
              <w:spacing w:before="0" w:after="283"/>
              <w:jc w:val="left"/>
              <w:rPr>
                <w:sz w:val="4"/>
                <w:szCs w:val="4"/>
              </w:rPr>
            </w:pPr>
            <w:r>
              <w:rPr>
                <w:sz w:val="4"/>
                <w:szCs w:val="4"/>
              </w:rPr>
            </w:r>
          </w:p>
        </w:tc>
        <w:tc>
          <w:tcPr>
            <w:tcW w:w="1022" w:type="dxa"/>
            <w:gridSpan w:val="2"/>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1.01(a)</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Agreed Security Principles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1.01(b)</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Excluded Subsidiaries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1.01(c)</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Existing Letters of Credit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1.01(d)</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Non-U.S. Security Agreements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2.01</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Commitments and Loans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3.03</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Government Approvals; No Conflicts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3.06</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Litigation and Environmental Matters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3.12</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Subsidiaries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5.14</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Certain Post-Closing Obligations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5.17</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Transactions with Affiliates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Schedule 9.01</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Notices</w:t>
            </w:r>
          </w:p>
        </w:tc>
      </w:tr>
      <w:tr>
        <w:trPr>
          <w:trHeight w:val="240" w:hRule="atLeast"/>
        </w:trPr>
        <w:tc>
          <w:tcPr>
            <w:tcW w:w="1329" w:type="dxa"/>
            <w:tcBorders/>
            <w:vAlign w:val="center"/>
          </w:tcPr>
          <w:p>
            <w:pPr>
              <w:pStyle w:val="TableContents"/>
              <w:bidi w:val="0"/>
              <w:spacing w:before="0" w:after="283"/>
              <w:jc w:val="left"/>
              <w:rPr>
                <w:sz w:val="4"/>
                <w:szCs w:val="4"/>
              </w:rPr>
            </w:pPr>
            <w:r>
              <w:rPr>
                <w:sz w:val="4"/>
                <w:szCs w:val="4"/>
              </w:rPr>
            </w:r>
          </w:p>
        </w:tc>
        <w:tc>
          <w:tcPr>
            <w:tcW w:w="1022" w:type="dxa"/>
            <w:gridSpan w:val="2"/>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Assignment and Assumption</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Guarantee Agreement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Perfection Certificate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Collateral Agreement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[Reserved]</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Pari Passu Intercreditor Agreement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Second Lien Intercreditor Agreement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Additional Borrower Agreement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Intercompany Note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J</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Specified Discount Prepayment Notice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K</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Specified Discount Prepayment Response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L</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Discount Range Prepayment Notice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M</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Discount Range Prepayment Offer</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N</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Solicited Discounted Prepayment Notice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O</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Solicited Discounted Prepayment Offer</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P</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Acceptance and Prepayment Notice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Q-1</w:t>
            </w:r>
          </w:p>
        </w:tc>
        <w:tc>
          <w:tcPr>
            <w:tcW w:w="108" w:type="dxa"/>
            <w:tcBorders/>
            <w:vAlign w:val="bottom"/>
          </w:tcPr>
          <w:p>
            <w:pPr>
              <w:pStyle w:val="TableContents"/>
              <w:bidi w:val="0"/>
              <w:spacing w:before="0" w:after="283"/>
              <w:jc w:val="left"/>
              <w:rPr/>
            </w:pPr>
            <w:r>
              <w:rPr/>
              <w:t> </w:t>
            </w:r>
          </w:p>
        </w:tc>
        <w:tc>
          <w:tcPr>
            <w:tcW w:w="914" w:type="dxa"/>
            <w:tcBorders/>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United States Tax Compliance Certificate 1 (For Foreign Lenders That Are Not Partnerships for U.S. Federal Income Tax Purposes)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Q-2</w:t>
            </w:r>
          </w:p>
        </w:tc>
        <w:tc>
          <w:tcPr>
            <w:tcW w:w="108" w:type="dxa"/>
            <w:tcBorders/>
            <w:vAlign w:val="bottom"/>
          </w:tcPr>
          <w:p>
            <w:pPr>
              <w:pStyle w:val="TableContents"/>
              <w:bidi w:val="0"/>
              <w:spacing w:before="0" w:after="283"/>
              <w:jc w:val="left"/>
              <w:rPr/>
            </w:pPr>
            <w:r>
              <w:rPr/>
              <w:t> </w:t>
            </w:r>
          </w:p>
        </w:tc>
        <w:tc>
          <w:tcPr>
            <w:tcW w:w="914" w:type="dxa"/>
            <w:tcBorders/>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United States Tax Compliance Certificate 2 (For Non-U.S. Lenders That Are Partnerships for U.S. Federal Income Tax Purposes)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Q-3</w:t>
            </w:r>
          </w:p>
        </w:tc>
        <w:tc>
          <w:tcPr>
            <w:tcW w:w="108" w:type="dxa"/>
            <w:tcBorders/>
            <w:vAlign w:val="bottom"/>
          </w:tcPr>
          <w:p>
            <w:pPr>
              <w:pStyle w:val="TableContents"/>
              <w:bidi w:val="0"/>
              <w:spacing w:before="0" w:after="283"/>
              <w:jc w:val="left"/>
              <w:rPr/>
            </w:pPr>
            <w:r>
              <w:rPr/>
              <w:t> </w:t>
            </w:r>
          </w:p>
        </w:tc>
        <w:tc>
          <w:tcPr>
            <w:tcW w:w="914" w:type="dxa"/>
            <w:tcBorders/>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United States Tax Compliance Certificate 3 (For Non-U.S. Participants That Are Not Partnerships for U.S. Federal Income Tax Purposes)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Q-4</w:t>
            </w:r>
          </w:p>
        </w:tc>
        <w:tc>
          <w:tcPr>
            <w:tcW w:w="108" w:type="dxa"/>
            <w:tcBorders/>
            <w:vAlign w:val="bottom"/>
          </w:tcPr>
          <w:p>
            <w:pPr>
              <w:pStyle w:val="TableContents"/>
              <w:bidi w:val="0"/>
              <w:spacing w:before="0" w:after="283"/>
              <w:jc w:val="left"/>
              <w:rPr/>
            </w:pPr>
            <w:r>
              <w:rPr/>
              <w:t> </w:t>
            </w:r>
          </w:p>
        </w:tc>
        <w:tc>
          <w:tcPr>
            <w:tcW w:w="914" w:type="dxa"/>
            <w:tcBorders/>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United States Tax Compliance Certificate 4 (For Non-U.S. Participants That Are Partnerships for U.S. Federal Income Tax Purposes)</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R</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Note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S</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[Reserved]</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T</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Notice of Borrowing</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U</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Letter of Credit Request</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V</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Cash Management Bank Designation</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W</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Hedge Bank Designation</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X</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Prepayment Notice</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Exhibit Y</w:t>
            </w:r>
          </w:p>
        </w:tc>
        <w:tc>
          <w:tcPr>
            <w:tcW w:w="10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center"/>
              <w:rPr/>
            </w:pPr>
            <w:r>
              <w:rPr/>
              <w:t>—</w:t>
            </w:r>
          </w:p>
        </w:tc>
        <w:tc>
          <w:tcPr>
            <w:tcW w:w="122" w:type="dxa"/>
            <w:tcBorders/>
            <w:vAlign w:val="bottom"/>
          </w:tcPr>
          <w:p>
            <w:pPr>
              <w:pStyle w:val="TableContents"/>
              <w:bidi w:val="0"/>
              <w:spacing w:before="0" w:after="283"/>
              <w:jc w:val="left"/>
              <w:rPr/>
            </w:pPr>
            <w:r>
              <w:rPr/>
              <w:t>  </w:t>
            </w:r>
          </w:p>
        </w:tc>
        <w:tc>
          <w:tcPr>
            <w:tcW w:w="7732" w:type="dxa"/>
            <w:tcBorders/>
            <w:vAlign w:val="bottom"/>
          </w:tcPr>
          <w:p>
            <w:pPr>
              <w:pStyle w:val="TableContents"/>
              <w:bidi w:val="0"/>
              <w:spacing w:before="0" w:after="283"/>
              <w:jc w:val="left"/>
              <w:rPr/>
            </w:pPr>
            <w:r>
              <w:rPr/>
              <w:t>Form of Substitute Affiliate Lender Designation Notice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CREDIT AGREEMENT dated as of December 12, 2019 (this “</w:t>
      </w:r>
      <w:r>
        <w:rPr>
          <w:rFonts w:ascii="Times New Roman" w:hAnsi="Times New Roman"/>
          <w:sz w:val="20"/>
          <w:u w:val="single"/>
        </w:rPr>
        <w:t>Agreement</w:t>
      </w:r>
      <w:r>
        <w:rPr>
          <w:rFonts w:ascii="Times New Roman" w:hAnsi="Times New Roman"/>
          <w:sz w:val="20"/>
        </w:rPr>
        <w:t>”), among CONNECT MIDCO LIMITED (f/k/a Triton Midco (Guernsey) Limited), a non-cellular company limited by shares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non-cellular company limited by shares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private limited liability company (</w:t>
      </w:r>
      <w:r>
        <w:rPr>
          <w:rFonts w:ascii="Times New Roman" w:hAnsi="Times New Roman"/>
          <w:i/>
          <w:sz w:val="20"/>
        </w:rPr>
        <w:t>société à responsabilité limitée</w:t>
      </w:r>
      <w:r>
        <w:rPr>
          <w:rFonts w:ascii="Times New Roman" w:hAnsi="Times New Roman"/>
          <w:sz w:val="20"/>
        </w:rPr>
        <w:t>) incorporated in Luxembourg, having its registered office at 1-3, Boulevard de la Foire, L-1528 Luxembourg, registered with the Luxembourg Companies Register under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in its capacity as a revolving borrower and any Additional Borrowers from time to time party 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hereto and Barclays Bank PLC (“</w:t>
      </w:r>
      <w:r>
        <w:rPr>
          <w:rFonts w:ascii="Times New Roman" w:hAnsi="Times New Roman"/>
          <w:sz w:val="20"/>
          <w:u w:val="single"/>
        </w:rPr>
        <w:t>Barclays</w:t>
      </w:r>
      <w:r>
        <w:rPr>
          <w:rFonts w:ascii="Times New Roman" w:hAnsi="Times New Roman"/>
          <w:sz w:val="20"/>
        </w:rPr>
        <w:t xml:space="preserve">”), as Administrative Agent and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the following terms have the meanings specified below: </w:t>
      </w:r>
    </w:p>
    <w:p>
      <w:pPr>
        <w:pStyle w:val="TextBody"/>
        <w:bidi w:val="0"/>
        <w:spacing w:before="240" w:after="0"/>
        <w:jc w:val="left"/>
        <w:rPr/>
      </w:pPr>
      <w:r>
        <w:rPr/>
        <w:t>“</w:t>
      </w:r>
      <w:r>
        <w:rPr>
          <w:rFonts w:ascii="Times New Roman" w:hAnsi="Times New Roman"/>
          <w:sz w:val="20"/>
          <w:u w:val="single"/>
        </w:rPr>
        <w:t>2011 Ex-Im Credit Agreement</w:t>
      </w:r>
      <w:r>
        <w:rPr>
          <w:rFonts w:ascii="Times New Roman" w:hAnsi="Times New Roman"/>
          <w:sz w:val="20"/>
        </w:rPr>
        <w:t xml:space="preserve">” means the credit agreement dated May 11, 2011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left"/>
        <w:rPr/>
      </w:pPr>
      <w:r>
        <w:rPr/>
        <w:t>“</w:t>
      </w:r>
      <w:r>
        <w:rPr>
          <w:rFonts w:ascii="Times New Roman" w:hAnsi="Times New Roman"/>
          <w:sz w:val="20"/>
          <w:u w:val="single"/>
        </w:rPr>
        <w:t>2014 Ex-Im Credit Agreement</w:t>
      </w:r>
      <w:r>
        <w:rPr>
          <w:rFonts w:ascii="Times New Roman" w:hAnsi="Times New Roman"/>
          <w:sz w:val="20"/>
        </w:rPr>
        <w:t xml:space="preserve">” means the credit agreement dated November 10, 2014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left"/>
        <w:rPr/>
      </w:pPr>
      <w:r>
        <w:rPr/>
        <w:t>“</w:t>
      </w:r>
      <w:r>
        <w:rPr>
          <w:rFonts w:ascii="Times New Roman" w:hAnsi="Times New Roman"/>
          <w:sz w:val="20"/>
          <w:u w:val="single"/>
        </w:rPr>
        <w:t>2022 Notes</w:t>
      </w:r>
      <w:r>
        <w:rPr>
          <w:rFonts w:ascii="Times New Roman" w:hAnsi="Times New Roman"/>
          <w:sz w:val="20"/>
        </w:rPr>
        <w:t xml:space="preserve">” means the $1,000,000,000 4.875% senior notes due 2022 issued by Inmarsat Finance plc. </w:t>
      </w:r>
    </w:p>
    <w:p>
      <w:pPr>
        <w:pStyle w:val="TextBody"/>
        <w:bidi w:val="0"/>
        <w:spacing w:before="240" w:after="0"/>
        <w:jc w:val="left"/>
        <w:rPr/>
      </w:pPr>
      <w:r>
        <w:rPr/>
        <w:t>“</w:t>
      </w:r>
      <w:r>
        <w:rPr>
          <w:rFonts w:ascii="Times New Roman" w:hAnsi="Times New Roman"/>
          <w:sz w:val="20"/>
          <w:u w:val="single"/>
        </w:rPr>
        <w:t>2024 Notes</w:t>
      </w:r>
      <w:r>
        <w:rPr>
          <w:rFonts w:ascii="Times New Roman" w:hAnsi="Times New Roman"/>
          <w:sz w:val="20"/>
        </w:rPr>
        <w:t xml:space="preserve">” means the $400,000,000 6.500% senior notes due 2024 issued by Inmarsat Finance plc.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Alternate Base Rate. </w:t>
      </w:r>
    </w:p>
    <w:p>
      <w:pPr>
        <w:pStyle w:val="TextBody"/>
        <w:bidi w:val="0"/>
        <w:spacing w:before="240" w:after="0"/>
        <w:jc w:val="left"/>
        <w:rPr/>
      </w:pPr>
      <w:r>
        <w:rPr/>
        <w:t>“</w:t>
      </w:r>
      <w:r>
        <w:rPr>
          <w:rFonts w:ascii="Times New Roman" w:hAnsi="Times New Roman"/>
          <w:sz w:val="20"/>
          <w:u w:val="single"/>
        </w:rPr>
        <w:t>Acceptable Commitment</w:t>
      </w:r>
      <w:r>
        <w:rPr>
          <w:rFonts w:ascii="Times New Roman" w:hAnsi="Times New Roman"/>
          <w:sz w:val="20"/>
        </w:rPr>
        <w:t xml:space="preserve">” has the meaning assigned to such term in </w:t>
      </w:r>
      <w:r>
        <w:rPr>
          <w:rFonts w:ascii="Times New Roman" w:hAnsi="Times New Roman"/>
          <w:sz w:val="20"/>
          <w:u w:val="single"/>
        </w:rPr>
        <w:t>Section 6.04(b)(ii)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w:t>
      </w:r>
      <w:r>
        <w:rPr>
          <w:rFonts w:ascii="Times New Roman" w:hAnsi="Times New Roman"/>
          <w:sz w:val="20"/>
          <w:u w:val="single"/>
        </w:rPr>
        <w:t>Acceptable Discount</w:t>
      </w:r>
      <w:r>
        <w:rPr>
          <w:rFonts w:ascii="Times New Roman" w:hAnsi="Times New Roman"/>
          <w:sz w:val="20"/>
        </w:rPr>
        <w:t xml:space="preserve">” has the meaning assigned to such term in </w:t>
      </w:r>
      <w:r>
        <w:rPr>
          <w:rFonts w:ascii="Times New Roman" w:hAnsi="Times New Roman"/>
          <w:sz w:val="20"/>
          <w:u w:val="single"/>
        </w:rPr>
        <w:t>Section 2.10(a)(ii)(D)(2)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Acceptable Prepayment Amount</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and Prepayment Notice</w:t>
      </w:r>
      <w:r>
        <w:rPr>
          <w:rFonts w:ascii="Times New Roman" w:hAnsi="Times New Roman"/>
          <w:sz w:val="20"/>
        </w:rPr>
        <w:t xml:space="preserve">” means an irrevocable written notice from a Term Lender accepting a Solicited Discounted Prepayment Offer to make a Discounted Term Loan Prepayment at the Acceptable Discount specified therein pursuant to </w:t>
      </w:r>
      <w:r>
        <w:rPr>
          <w:rFonts w:ascii="Times New Roman" w:hAnsi="Times New Roman"/>
          <w:sz w:val="20"/>
          <w:u w:val="single"/>
        </w:rPr>
        <w:t>Section 2.10(a)(ii)(D)</w:t>
      </w:r>
      <w:r>
        <w:rPr>
          <w:rFonts w:ascii="Times New Roman" w:hAnsi="Times New Roman"/>
          <w:sz w:val="20"/>
        </w:rPr>
        <w:t xml:space="preserve"> substantially in the form of </w:t>
      </w:r>
      <w:r>
        <w:rPr>
          <w:rFonts w:ascii="Times New Roman" w:hAnsi="Times New Roman"/>
          <w:sz w:val="20"/>
          <w:u w:val="single"/>
        </w:rPr>
        <w:t>Exhibit P</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Date</w:t>
      </w:r>
      <w:r>
        <w:rPr>
          <w:rFonts w:ascii="Times New Roman" w:hAnsi="Times New Roman"/>
          <w:sz w:val="20"/>
        </w:rPr>
        <w:t xml:space="preserve">” has the meaning specified in </w:t>
      </w:r>
      <w:r>
        <w:rPr>
          <w:rFonts w:ascii="Times New Roman" w:hAnsi="Times New Roman"/>
          <w:sz w:val="20"/>
          <w:u w:val="single"/>
        </w:rPr>
        <w:t>Section 2.10(a)(ii)(D)(2)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Accepting Lenders</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Acquired EBITDA</w:t>
      </w:r>
      <w:r>
        <w:rPr>
          <w:rFonts w:ascii="Times New Roman" w:hAnsi="Times New Roman"/>
          <w:sz w:val="20"/>
        </w:rPr>
        <w:t>” means, with respect to any Acquired Entity or Business or any Converted Restricted Subsidiary (any of the foregoing, a “</w:t>
      </w:r>
      <w:r>
        <w:rPr>
          <w:rFonts w:ascii="Times New Roman" w:hAnsi="Times New Roman"/>
          <w:sz w:val="20"/>
          <w:u w:val="single"/>
        </w:rPr>
        <w:t>Pro Forma Entity</w:t>
      </w:r>
      <w:r>
        <w:rPr>
          <w:rFonts w:ascii="Times New Roman" w:hAnsi="Times New Roman"/>
          <w:sz w:val="20"/>
        </w:rPr>
        <w:t xml:space="preserve">”) for any period, the amount for such period of Consolidated EBITDA of such Pro Forma Entity (determined as if references to Bidco and the Restricted Subsidiaries in the definition of “Consolidated EBITDA” were references to such Pro Forma Entity and its subsidiaries that will become Restricted Subsidiaries), all as determined on a consolidated basis for such Pro Forma Entity. </w:t>
      </w:r>
    </w:p>
    <w:p>
      <w:pPr>
        <w:pStyle w:val="TextBody"/>
        <w:bidi w:val="0"/>
        <w:spacing w:before="240" w:after="0"/>
        <w:jc w:val="left"/>
        <w:rPr/>
      </w:pPr>
      <w:r>
        <w:rPr/>
        <w:t>“</w:t>
      </w:r>
      <w:r>
        <w:rPr>
          <w:rFonts w:ascii="Times New Roman" w:hAnsi="Times New Roman"/>
          <w:sz w:val="20"/>
          <w:u w:val="single"/>
        </w:rPr>
        <w:t>Acquired Entity or Business</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Acquired Indebtedness</w:t>
      </w:r>
      <w:r>
        <w:rPr>
          <w:rFonts w:ascii="Times New Roman" w:hAnsi="Times New Roman"/>
          <w:sz w:val="20"/>
        </w:rPr>
        <w:t xml:space="preserve">” means, with respect to any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secured by a Lien encumbering any asset acquired by such specified Person.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the acquisition of the Company by Bidco pursuant to the terms of the Acquisition Documents. </w:t>
      </w:r>
    </w:p>
    <w:p>
      <w:pPr>
        <w:pStyle w:val="TextBody"/>
        <w:bidi w:val="0"/>
        <w:spacing w:before="240" w:after="0"/>
        <w:jc w:val="left"/>
        <w:rPr/>
      </w:pPr>
      <w:r>
        <w:rPr/>
        <w:t>“</w:t>
      </w:r>
      <w:r>
        <w:rPr>
          <w:rFonts w:ascii="Times New Roman" w:hAnsi="Times New Roman"/>
          <w:sz w:val="20"/>
          <w:u w:val="single"/>
        </w:rPr>
        <w:t>Acquisition Documents</w:t>
      </w:r>
      <w:r>
        <w:rPr>
          <w:rFonts w:ascii="Times New Roman" w:hAnsi="Times New Roman"/>
          <w:sz w:val="20"/>
        </w:rPr>
        <w:t xml:space="preserve">” means the Scheme Documents and any other document designated as an Acquisition Document by Bidco and the Administrative Agent and all schedules, exhibits and annexes to each of the foregoing and all side letters, instruments and agreements affecting the terms of the foregoing or entered into in connection therewith. </w:t>
      </w:r>
    </w:p>
    <w:p>
      <w:pPr>
        <w:pStyle w:val="TextBody"/>
        <w:bidi w:val="0"/>
        <w:spacing w:before="240" w:after="0"/>
        <w:jc w:val="left"/>
        <w:rPr/>
      </w:pPr>
      <w:r>
        <w:rPr/>
        <w:t>“</w:t>
      </w:r>
      <w:r>
        <w:rPr>
          <w:rFonts w:ascii="Times New Roman" w:hAnsi="Times New Roman"/>
          <w:sz w:val="20"/>
          <w:u w:val="single"/>
        </w:rPr>
        <w:t>Additional Borrower</w:t>
      </w:r>
      <w:r>
        <w:rPr>
          <w:rFonts w:ascii="Times New Roman" w:hAnsi="Times New Roman"/>
          <w:sz w:val="20"/>
        </w:rPr>
        <w:t xml:space="preserve">” means any Person who shall from time to time become a party to this Agreement as a “Revolving Borrower” hereunder upon the execution and delivery of an Additional Borrower Agreement. </w:t>
      </w:r>
    </w:p>
    <w:p>
      <w:pPr>
        <w:pStyle w:val="TextBody"/>
        <w:bidi w:val="0"/>
        <w:spacing w:before="240" w:after="0"/>
        <w:jc w:val="left"/>
        <w:rPr/>
      </w:pPr>
      <w:r>
        <w:rPr/>
        <w:t>“</w:t>
      </w:r>
      <w:r>
        <w:rPr>
          <w:rFonts w:ascii="Times New Roman" w:hAnsi="Times New Roman"/>
          <w:sz w:val="20"/>
          <w:u w:val="single"/>
        </w:rPr>
        <w:t>Additional Borrower Agreement</w:t>
      </w:r>
      <w:r>
        <w:rPr>
          <w:rFonts w:ascii="Times New Roman" w:hAnsi="Times New Roman"/>
          <w:sz w:val="20"/>
        </w:rPr>
        <w:t xml:space="preserve">” means the Additional Borrower Agreement substantially in the form of </w:t>
      </w:r>
      <w:r>
        <w:rPr>
          <w:rFonts w:ascii="Times New Roman" w:hAnsi="Times New Roman"/>
          <w:sz w:val="20"/>
          <w:u w:val="single"/>
        </w:rPr>
        <w:t>Exhibit H</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w:t>
      </w:r>
      <w:r>
        <w:rPr>
          <w:rFonts w:ascii="Times New Roman" w:hAnsi="Times New Roman"/>
          <w:sz w:val="20"/>
          <w:u w:val="single"/>
        </w:rPr>
        <w:t>Additional Lender</w:t>
      </w:r>
      <w:r>
        <w:rPr>
          <w:rFonts w:ascii="Times New Roman" w:hAnsi="Times New Roman"/>
          <w:sz w:val="20"/>
        </w:rPr>
        <w:t xml:space="preserve">” means any Additional Revolving Lender or any Additional Term Lender, as applicable. </w:t>
      </w:r>
    </w:p>
    <w:p>
      <w:pPr>
        <w:pStyle w:val="TextBody"/>
        <w:bidi w:val="0"/>
        <w:spacing w:before="240" w:after="0"/>
        <w:jc w:val="left"/>
        <w:rPr/>
      </w:pPr>
      <w:r>
        <w:rPr/>
        <w:t>“</w:t>
      </w:r>
      <w:r>
        <w:rPr>
          <w:rFonts w:ascii="Times New Roman" w:hAnsi="Times New Roman"/>
          <w:sz w:val="20"/>
          <w:u w:val="single"/>
        </w:rPr>
        <w:t>Additional/Replacement Revolving Commitments</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Revolving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w:t>
      </w:r>
      <w:r>
        <w:rPr>
          <w:rFonts w:ascii="Times New Roman" w:hAnsi="Times New Roman"/>
          <w:sz w:val="20"/>
          <w:u w:val="single"/>
        </w:rPr>
        <w:t>Section 2.19</w:t>
      </w:r>
      <w:r>
        <w:rPr>
          <w:rFonts w:ascii="Times New Roman" w:hAnsi="Times New Roman"/>
          <w:sz w:val="20"/>
        </w:rPr>
        <w:t xml:space="preserve"> or (b) Credit Agreement Refinancing Indebtedness in the form of Other Revolving Commitments pursuant to a Refinancing Amendment in accordance with </w:t>
      </w:r>
      <w:r>
        <w:rPr>
          <w:rFonts w:ascii="Times New Roman" w:hAnsi="Times New Roman"/>
          <w:sz w:val="20"/>
          <w:u w:val="single"/>
        </w:rPr>
        <w:t>Section 2.20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Additional Revolving Lender shall be subject to the approval of the Administrative Agent, each Issuing Bank and the Swingline Lender, in each case only if such consent would be required under </w:t>
      </w:r>
      <w:r>
        <w:rPr>
          <w:rFonts w:ascii="Times New Roman" w:hAnsi="Times New Roman"/>
          <w:sz w:val="20"/>
          <w:u w:val="single"/>
        </w:rPr>
        <w:t>Section 9.04(b)</w:t>
      </w:r>
      <w:r>
        <w:rPr>
          <w:rFonts w:ascii="Times New Roman" w:hAnsi="Times New Roman"/>
          <w:sz w:val="20"/>
        </w:rPr>
        <w:t xml:space="preserve"> for an assignment of Revolving Loans or Revolving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left"/>
        <w:rPr/>
      </w:pPr>
      <w:r>
        <w:rPr/>
        <w:t>“</w:t>
      </w:r>
      <w:r>
        <w:rPr>
          <w:rFonts w:ascii="Times New Roman" w:hAnsi="Times New Roman"/>
          <w:sz w:val="20"/>
          <w:u w:val="single"/>
        </w:rPr>
        <w:t>Additional Term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Term Loans pursuant to an Incremental Facility Amendment in accordance with </w:t>
      </w:r>
      <w:r>
        <w:rPr>
          <w:rFonts w:ascii="Times New Roman" w:hAnsi="Times New Roman"/>
          <w:sz w:val="20"/>
          <w:u w:val="single"/>
        </w:rPr>
        <w:t>Section 2.19</w:t>
      </w:r>
      <w:r>
        <w:rPr>
          <w:rFonts w:ascii="Times New Roman" w:hAnsi="Times New Roman"/>
          <w:sz w:val="20"/>
        </w:rPr>
        <w:t xml:space="preserve"> or (b) Credit Agreement Refinancing Indebtedness in the form of Other Term Loans or Other Term Commitments pursuant to a Refinancing Amendment in accordance with </w:t>
      </w:r>
      <w:r>
        <w:rPr>
          <w:rFonts w:ascii="Times New Roman" w:hAnsi="Times New Roman"/>
          <w:sz w:val="20"/>
          <w:u w:val="single"/>
        </w:rPr>
        <w:t>Section 2.20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Additional Term Lender shall be subject to the approval of the Administrative Agent if such consent would be required under </w:t>
      </w:r>
      <w:r>
        <w:rPr>
          <w:rFonts w:ascii="Times New Roman" w:hAnsi="Times New Roman"/>
          <w:sz w:val="20"/>
          <w:u w:val="single"/>
        </w:rPr>
        <w:t>Section 9.04(b)</w:t>
      </w:r>
      <w:r>
        <w:rPr>
          <w:rFonts w:ascii="Times New Roman" w:hAnsi="Times New Roman"/>
          <w:sz w:val="20"/>
        </w:rPr>
        <w:t xml:space="preserve"> for an assignment of Term Loans or Term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left"/>
        <w:rPr/>
      </w:pPr>
      <w:r>
        <w:rPr/>
        <w:t>“</w:t>
      </w:r>
      <w:r>
        <w:rPr>
          <w:rFonts w:ascii="Times New Roman" w:hAnsi="Times New Roman"/>
          <w:sz w:val="20"/>
          <w:u w:val="single"/>
        </w:rPr>
        <w:t>Adjusted LIBO Rate</w:t>
      </w:r>
      <w:r>
        <w:rPr>
          <w:rFonts w:ascii="Times New Roman" w:hAnsi="Times New Roman"/>
          <w:sz w:val="20"/>
        </w:rPr>
        <w:t xml:space="preserve">” means, with respect to any Eurodollar Borrowing for any Interest Period, a rate per annum (rounded upwards, if necessary, to the next 1/100th of 1%) equal to the product of (i) the LIBO Rate as in effect at such time for such Interest Period and (ii) the Statutory Reserve Rate; </w:t>
      </w:r>
      <w:r>
        <w:rPr>
          <w:rFonts w:ascii="Times New Roman" w:hAnsi="Times New Roman"/>
          <w:sz w:val="20"/>
          <w:u w:val="single"/>
        </w:rPr>
        <w:t>provided</w:t>
      </w:r>
      <w:r>
        <w:rPr>
          <w:rFonts w:ascii="Times New Roman" w:hAnsi="Times New Roman"/>
          <w:sz w:val="20"/>
        </w:rPr>
        <w:t xml:space="preserve"> that the Adjusted LIBO Rate for any Interest Period shall not be less than (a) 1.00% per annum, with respect to any Amendment No. 1 Refinancing Term Loans and (b) 0.00% per annum, with respect to any Revolving Loans.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Barclays, in its capacity as administrative agent hereunder and under the other Loan Documents, and its successors in such capacity as provided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9.01</w:t>
      </w:r>
      <w:r>
        <w:rPr>
          <w:rFonts w:ascii="Times New Roman" w:hAnsi="Times New Roman"/>
          <w:sz w:val="20"/>
        </w:rPr>
        <w:t xml:space="preserve">, or such other address or account as the Administrative Agent may from time to time notify Bidco and the Borrowers and the Lenders.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Affected Class</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Affiliated Debt Fund</w:t>
      </w:r>
      <w:r>
        <w:rPr>
          <w:rFonts w:ascii="Times New Roman" w:hAnsi="Times New Roman"/>
          <w:sz w:val="20"/>
        </w:rPr>
        <w:t xml:space="preserve">”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 </w:t>
      </w:r>
    </w:p>
    <w:p>
      <w:pPr>
        <w:pStyle w:val="TextBody"/>
        <w:bidi w:val="0"/>
        <w:spacing w:before="240" w:after="0"/>
        <w:jc w:val="left"/>
        <w:rPr/>
      </w:pPr>
      <w:r>
        <w:rPr/>
        <w:t>“</w:t>
      </w:r>
      <w:r>
        <w:rPr>
          <w:rFonts w:ascii="Times New Roman" w:hAnsi="Times New Roman"/>
          <w:sz w:val="20"/>
          <w:u w:val="single"/>
        </w:rPr>
        <w:t>Affiliated Lender</w:t>
      </w:r>
      <w:r>
        <w:rPr>
          <w:rFonts w:ascii="Times New Roman" w:hAnsi="Times New Roman"/>
          <w:sz w:val="20"/>
        </w:rPr>
        <w:t xml:space="preserve">” means, at any time, any Lender that is an Investor or an Affiliate of an Investor (other than Holdings, Bidco or any of their respective Subsidiaries) at such time, to the extent that such Investor or its Affiliates constitute an Affiliate of Holdings, Bidco or its Subsidiaries. </w:t>
      </w:r>
    </w:p>
    <w:p>
      <w:pPr>
        <w:pStyle w:val="TextBody"/>
        <w:bidi w:val="0"/>
        <w:spacing w:before="240" w:after="0"/>
        <w:jc w:val="left"/>
        <w:rPr/>
      </w:pPr>
      <w:r>
        <w:rPr/>
        <w:t>“</w:t>
      </w:r>
      <w:r>
        <w:rPr>
          <w:rFonts w:ascii="Times New Roman" w:hAnsi="Times New Roman"/>
          <w:sz w:val="20"/>
          <w:u w:val="single"/>
        </w:rPr>
        <w:t>Agent</w:t>
      </w:r>
      <w:r>
        <w:rPr>
          <w:rFonts w:ascii="Times New Roman" w:hAnsi="Times New Roman"/>
          <w:sz w:val="20"/>
        </w:rPr>
        <w:t>” means the Administrative Agent, the Collateral Agent, each Joint Lead Arranger, and any successors and assigns of the foregoing in such capacity, and “</w:t>
      </w:r>
      <w:r>
        <w:rPr>
          <w:rFonts w:ascii="Times New Roman" w:hAnsi="Times New Roman"/>
          <w:sz w:val="20"/>
          <w:u w:val="single"/>
        </w:rPr>
        <w:t>Agents</w:t>
      </w:r>
      <w:r>
        <w:rPr>
          <w:rFonts w:ascii="Times New Roman" w:hAnsi="Times New Roman"/>
          <w:sz w:val="20"/>
        </w:rPr>
        <w:t xml:space="preserve">” means two or more of them.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has the meaning given to such term in </w:t>
      </w:r>
      <w:r>
        <w:rPr>
          <w:rFonts w:ascii="Times New Roman" w:hAnsi="Times New Roman"/>
          <w:sz w:val="20"/>
          <w:u w:val="single"/>
        </w:rPr>
        <w:t>Section 9.01(c)</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Agreed Currencies” means U.S. Dollars and each Alternative Currency.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Agreed Security Principles</w:t>
      </w:r>
      <w:r>
        <w:rPr>
          <w:rFonts w:ascii="Times New Roman" w:hAnsi="Times New Roman"/>
          <w:sz w:val="20"/>
        </w:rPr>
        <w:t xml:space="preserve">” means those principles set forth on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Agreement Currency</w:t>
      </w:r>
      <w:r>
        <w:rPr>
          <w:rFonts w:ascii="Times New Roman" w:hAnsi="Times New Roman"/>
          <w:sz w:val="20"/>
        </w:rPr>
        <w:t xml:space="preserve">” has the meaning specified in </w:t>
      </w:r>
      <w:r>
        <w:rPr>
          <w:rFonts w:ascii="Times New Roman" w:hAnsi="Times New Roman"/>
          <w:sz w:val="20"/>
          <w:u w:val="single"/>
        </w:rPr>
        <w:t>Section 9.22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Allocation Date</w:t>
      </w:r>
      <w:r>
        <w:rPr>
          <w:rFonts w:ascii="Times New Roman" w:hAnsi="Times New Roman"/>
          <w:sz w:val="20"/>
        </w:rPr>
        <w:t xml:space="preserve">” means the date of the initial allocation of the Initial Term Loans, which date was September 23, 2019.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w:t>
      </w:r>
      <w:r>
        <w:rPr>
          <w:rFonts w:ascii="Times New Roman" w:hAnsi="Times New Roman"/>
          <w:color w:val="0000FF"/>
          <w:sz w:val="20"/>
          <w:u w:val="single"/>
          <w:bdr w:val="double" w:sz="2" w:space="1" w:color="000000"/>
        </w:rPr>
        <w:t xml:space="preserve">fluctuating </w:t>
      </w:r>
      <w:r>
        <w:rPr>
          <w:rFonts w:ascii="Times New Roman" w:hAnsi="Times New Roman"/>
          <w:sz w:val="20"/>
        </w:rPr>
        <w:t xml:space="preserve">rate per annum equal to the </w:t>
      </w:r>
      <w:r>
        <w:rPr>
          <w:rFonts w:ascii="Times New Roman" w:hAnsi="Times New Roman"/>
          <w:strike/>
          <w:color w:val="FF0000"/>
          <w:sz w:val="20"/>
        </w:rPr>
        <w:t>greatest</w:t>
      </w:r>
      <w:r>
        <w:rPr>
          <w:rFonts w:ascii="Times New Roman" w:hAnsi="Times New Roman"/>
          <w:color w:val="0000FF"/>
          <w:sz w:val="20"/>
          <w:u w:val="single"/>
          <w:bdr w:val="double" w:sz="2" w:space="1" w:color="000000"/>
        </w:rPr>
        <w:t>highest</w:t>
      </w:r>
      <w:r>
        <w:rPr>
          <w:rFonts w:ascii="Times New Roman" w:hAnsi="Times New Roman"/>
          <w:sz w:val="20"/>
        </w:rPr>
        <w:t xml:space="preserve"> of (a) the Prime Rate in effect on such day, (b) the </w:t>
      </w:r>
      <w:r>
        <w:rPr>
          <w:rFonts w:ascii="Times New Roman" w:hAnsi="Times New Roman"/>
          <w:strike/>
          <w:color w:val="FF0000"/>
          <w:sz w:val="20"/>
        </w:rPr>
        <w:t>Federal Funds Effective</w:t>
      </w:r>
      <w:r>
        <w:rPr>
          <w:rFonts w:ascii="Times New Roman" w:hAnsi="Times New Roman"/>
          <w:color w:val="0000FF"/>
          <w:sz w:val="20"/>
          <w:u w:val="single"/>
          <w:bdr w:val="double" w:sz="2" w:space="1" w:color="000000"/>
        </w:rPr>
        <w:t>NYFRB</w:t>
      </w:r>
      <w:r>
        <w:rPr>
          <w:rFonts w:ascii="Times New Roman" w:hAnsi="Times New Roman"/>
          <w:sz w:val="20"/>
        </w:rPr>
        <w:t xml:space="preserve"> Rate </w:t>
      </w:r>
      <w:r>
        <w:rPr>
          <w:rFonts w:ascii="Times New Roman" w:hAnsi="Times New Roman"/>
          <w:strike/>
          <w:color w:val="008000"/>
          <w:sz w:val="20"/>
        </w:rPr>
        <w:t xml:space="preserve">in effect on such day </w:t>
      </w:r>
      <w:r>
        <w:rPr>
          <w:rFonts w:ascii="Times New Roman" w:hAnsi="Times New Roman"/>
          <w:strike/>
          <w:color w:val="FF0000"/>
          <w:sz w:val="20"/>
        </w:rPr>
        <w:t>plus 1⁄2</w:t>
      </w:r>
      <w:r>
        <w:rPr>
          <w:rFonts w:ascii="Times New Roman" w:hAnsi="Times New Roman"/>
          <w:color w:val="0000FF"/>
          <w:sz w:val="20"/>
          <w:u w:val="single"/>
          <w:bdr w:val="double" w:sz="2" w:space="1" w:color="000000"/>
        </w:rPr>
        <w:t xml:space="preserve">plus 1/2 </w:t>
      </w:r>
      <w:r>
        <w:rPr>
          <w:rFonts w:ascii="Times New Roman" w:hAnsi="Times New Roman"/>
          <w:sz w:val="20"/>
        </w:rPr>
        <w:t>of 1.00% and (c) </w:t>
      </w:r>
      <w:r>
        <w:rPr>
          <w:rFonts w:ascii="Times New Roman" w:hAnsi="Times New Roman"/>
          <w:strike/>
          <w:color w:val="FF0000"/>
          <w:sz w:val="20"/>
        </w:rPr>
        <w:t xml:space="preserve">the Adjusted LIBO Rate for the applicable Loan on such day (or </w:t>
      </w:r>
      <w:r>
        <w:rPr>
          <w:rFonts w:ascii="Times New Roman" w:hAnsi="Times New Roman"/>
          <w:strike/>
          <w:color w:val="008000"/>
          <w:sz w:val="20"/>
        </w:rPr>
        <w:t>if such day is not a Business Day</w:t>
      </w:r>
      <w:r>
        <w:rPr>
          <w:rFonts w:ascii="Times New Roman" w:hAnsi="Times New Roman"/>
          <w:strike/>
          <w:color w:val="FF0000"/>
          <w:sz w:val="20"/>
        </w:rPr>
        <w:t>, the immediately preceding Business Day) for a deposit in dollars with a maturity</w:t>
      </w:r>
      <w:r>
        <w:rPr>
          <w:rFonts w:ascii="Times New Roman" w:hAnsi="Times New Roman"/>
          <w:color w:val="0000FF"/>
          <w:sz w:val="20"/>
          <w:u w:val="single"/>
          <w:bdr w:val="double" w:sz="2" w:space="1" w:color="000000"/>
        </w:rPr>
        <w:t xml:space="preserve">Term SOFR (which rate shall be calculated based on an Interest Period </w:t>
      </w:r>
      <w:r>
        <w:rPr>
          <w:rFonts w:ascii="Times New Roman" w:hAnsi="Times New Roman"/>
          <w:sz w:val="20"/>
        </w:rPr>
        <w:t xml:space="preserve">of one month </w:t>
      </w:r>
      <w:r>
        <w:rPr>
          <w:rFonts w:ascii="Times New Roman" w:hAnsi="Times New Roman"/>
          <w:color w:val="0000FF"/>
          <w:sz w:val="20"/>
          <w:u w:val="single"/>
          <w:bdr w:val="double" w:sz="2" w:space="1" w:color="000000"/>
        </w:rPr>
        <w:t xml:space="preserve">as of such date) </w:t>
      </w:r>
      <w:r>
        <w:rPr>
          <w:rFonts w:ascii="Times New Roman" w:hAnsi="Times New Roman"/>
          <w:sz w:val="20"/>
        </w:rPr>
        <w:t xml:space="preserve">plus 1.00%;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trike/>
          <w:color w:val="FF0000"/>
          <w:sz w:val="20"/>
        </w:rPr>
        <w:t>solely for purposes of the foregoing, the Adjusted LIBO Rate</w:t>
      </w:r>
      <w:r>
        <w:rPr>
          <w:rFonts w:ascii="Times New Roman" w:hAnsi="Times New Roman"/>
          <w:color w:val="0000FF"/>
          <w:sz w:val="20"/>
          <w:u w:val="single"/>
          <w:bdr w:val="double" w:sz="2" w:space="1" w:color="000000"/>
        </w:rPr>
        <w:t xml:space="preserve">for the avoidance of doubt, Term SOFR </w:t>
      </w:r>
      <w:r>
        <w:rPr>
          <w:rFonts w:ascii="Times New Roman" w:hAnsi="Times New Roman"/>
          <w:sz w:val="20"/>
        </w:rPr>
        <w:t xml:space="preserve">for any day shall be </w:t>
      </w:r>
      <w:r>
        <w:rPr>
          <w:rFonts w:ascii="Times New Roman" w:hAnsi="Times New Roman"/>
          <w:strike/>
          <w:color w:val="FF0000"/>
          <w:sz w:val="20"/>
        </w:rPr>
        <w:t xml:space="preserve">calculated using the LIBO Rate based on </w:t>
      </w:r>
      <w:r>
        <w:rPr>
          <w:rFonts w:ascii="Times New Roman" w:hAnsi="Times New Roman"/>
          <w:strike/>
          <w:color w:val="008000"/>
          <w:sz w:val="20"/>
        </w:rPr>
        <w:t xml:space="preserve">the rate per annum determined by the Administrative Agent </w:t>
      </w:r>
      <w:r>
        <w:rPr>
          <w:rFonts w:ascii="Times New Roman" w:hAnsi="Times New Roman"/>
          <w:strike/>
          <w:color w:val="FF0000"/>
          <w:sz w:val="20"/>
        </w:rPr>
        <w:t>by reference to the ICE Benchmark Administration Interest Settlement Rates (as set forth by any service selected by the Administrative Agent that has been nominated by the ICE Benchmark Administration Limited (or any Person which takes over the administration of that rate) as an authorized information vendor for the purpose of displaying such rates) (the “</w:t>
      </w:r>
      <w:r>
        <w:rPr>
          <w:rFonts w:ascii="Times New Roman" w:hAnsi="Times New Roman"/>
          <w:strike/>
          <w:color w:val="FF0000"/>
          <w:sz w:val="20"/>
          <w:u w:val="single"/>
        </w:rPr>
        <w:t>ICE LIBOR</w:t>
      </w:r>
      <w:r>
        <w:rPr>
          <w:rFonts w:ascii="Times New Roman" w:hAnsi="Times New Roman"/>
          <w:strike/>
          <w:color w:val="FF0000"/>
          <w:sz w:val="20"/>
        </w:rPr>
        <w:t>”) as published by Reuters (or such other commercially available source providing quotations of ICE LIBOR as may be designated by the Administrative Agent from time to time) on such day at approximately 11:00 a.m. (London time) for deposits in dollars for a period equal to one month. If the Administrative Agent shall have determined</w:t>
      </w:r>
      <w:r>
        <w:rPr>
          <w:rFonts w:ascii="Times New Roman" w:hAnsi="Times New Roman"/>
          <w:sz w:val="20"/>
        </w:rPr>
        <w:t xml:space="preserve"> </w:t>
      </w:r>
      <w:r>
        <w:rPr>
          <w:rFonts w:ascii="Times New Roman" w:hAnsi="Times New Roman"/>
          <w:strike/>
          <w:color w:val="008000"/>
          <w:sz w:val="20"/>
        </w:rPr>
        <w:t xml:space="preserve">(which determination shall be conclusive absent manifest error) that </w:t>
      </w:r>
      <w:r>
        <w:rPr>
          <w:rFonts w:ascii="Times New Roman" w:hAnsi="Times New Roman"/>
          <w:strike/>
          <w:color w:val="FF0000"/>
          <w:sz w:val="20"/>
        </w:rPr>
        <w:t>it is unable to ascertain the Federal Funds Effective Rate or the Adjusted LIBO Rate for any reason, including the inability or failure of the Administrative Agent to obtain sufficient quotations in accordance with the terms of the definition of “Federal Funds Effective Rate”, the Alternate Base Rate shall be determined without regard to clause (b)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or (c) above, as applicable, of the preceding sentence until </w:t>
      </w:r>
      <w:r>
        <w:rPr>
          <w:rFonts w:ascii="Times New Roman" w:hAnsi="Times New Roman"/>
          <w:strike/>
          <w:color w:val="008000"/>
          <w:sz w:val="20"/>
        </w:rPr>
        <w:t xml:space="preserve">the circumstances giving rise to such </w:t>
      </w:r>
      <w:r>
        <w:rPr>
          <w:rFonts w:ascii="Times New Roman" w:hAnsi="Times New Roman"/>
          <w:strike/>
          <w:color w:val="FF0000"/>
          <w:sz w:val="20"/>
        </w:rPr>
        <w:t>inability no longer exist</w:t>
      </w:r>
      <w:r>
        <w:rPr>
          <w:rFonts w:ascii="Times New Roman" w:hAnsi="Times New Roman"/>
          <w:color w:val="0000FF"/>
          <w:sz w:val="20"/>
          <w:u w:val="single"/>
          <w:bdr w:val="double" w:sz="2" w:space="1" w:color="000000"/>
        </w:rPr>
        <w:t>Term SOFR for a one-month interest period on the day that is two (2) Business Days</w:t>
      </w:r>
      <w:r>
        <w:rPr>
          <w:rFonts w:ascii="Times New Roman" w:hAnsi="Times New Roman"/>
          <w:sz w:val="20"/>
        </w:rPr>
        <w:t xml:space="preserve"> </w:t>
      </w:r>
      <w:r>
        <w:rPr>
          <w:rFonts w:ascii="Times New Roman" w:hAnsi="Times New Roman"/>
          <w:color w:val="0000FF"/>
          <w:sz w:val="20"/>
          <w:u w:val="single"/>
          <w:bdr w:val="double" w:sz="2" w:space="1" w:color="000000"/>
        </w:rPr>
        <w:t>prior to such day, as such rate is published by the Term SOFR Administrato r</w:t>
      </w:r>
      <w:r>
        <w:rPr>
          <w:rFonts w:ascii="Times New Roman" w:hAnsi="Times New Roman"/>
          <w:sz w:val="20"/>
        </w:rPr>
        <w:t xml:space="preserve">. Any change in the Alternate Base Rate due to a change in the Prime Rate, the </w:t>
      </w:r>
      <w:r>
        <w:rPr>
          <w:rFonts w:ascii="Times New Roman" w:hAnsi="Times New Roman"/>
          <w:strike/>
          <w:color w:val="FF0000"/>
          <w:sz w:val="20"/>
        </w:rPr>
        <w:t>Federal Funds Effective</w:t>
      </w:r>
      <w:r>
        <w:rPr>
          <w:rFonts w:ascii="Times New Roman" w:hAnsi="Times New Roman"/>
          <w:color w:val="0000FF"/>
          <w:sz w:val="20"/>
          <w:u w:val="single"/>
          <w:bdr w:val="double" w:sz="2" w:space="1" w:color="000000"/>
        </w:rPr>
        <w:t>NYFRB</w:t>
      </w:r>
      <w:r>
        <w:rPr>
          <w:rFonts w:ascii="Times New Roman" w:hAnsi="Times New Roman"/>
          <w:sz w:val="20"/>
        </w:rPr>
        <w:t xml:space="preserve"> Rate or </w:t>
      </w:r>
      <w:r>
        <w:rPr>
          <w:rFonts w:ascii="Times New Roman" w:hAnsi="Times New Roman"/>
          <w:strike/>
          <w:color w:val="FF0000"/>
          <w:sz w:val="20"/>
        </w:rPr>
        <w:t>the Adjusted LIBO Rate</w:t>
      </w:r>
      <w:r>
        <w:rPr>
          <w:rFonts w:ascii="Times New Roman" w:hAnsi="Times New Roman"/>
          <w:color w:val="0000FF"/>
          <w:sz w:val="20"/>
          <w:u w:val="single"/>
          <w:bdr w:val="double" w:sz="2" w:space="1" w:color="000000"/>
        </w:rPr>
        <w:t xml:space="preserve">Term SOFR </w:t>
      </w:r>
      <w:r>
        <w:rPr>
          <w:rFonts w:ascii="Times New Roman" w:hAnsi="Times New Roman"/>
          <w:sz w:val="20"/>
        </w:rPr>
        <w:t xml:space="preserve">shall be effective from and including the effective date of such change in the Prime Rate, </w:t>
      </w:r>
      <w:r>
        <w:rPr>
          <w:rFonts w:ascii="Times New Roman" w:hAnsi="Times New Roman"/>
          <w:strike/>
          <w:color w:val="FF0000"/>
          <w:sz w:val="20"/>
        </w:rPr>
        <w:t>the Federal Funds Effective</w:t>
      </w:r>
      <w:r>
        <w:rPr>
          <w:rFonts w:ascii="Times New Roman" w:hAnsi="Times New Roman"/>
          <w:color w:val="0000FF"/>
          <w:sz w:val="20"/>
          <w:u w:val="single"/>
          <w:bdr w:val="double" w:sz="2" w:space="1" w:color="000000"/>
        </w:rPr>
        <w:t>NYFRB</w:t>
      </w:r>
      <w:r>
        <w:rPr>
          <w:rFonts w:ascii="Times New Roman" w:hAnsi="Times New Roman"/>
          <w:sz w:val="20"/>
        </w:rPr>
        <w:t xml:space="preserve"> Rate or </w:t>
      </w:r>
      <w:r>
        <w:rPr>
          <w:rFonts w:ascii="Times New Roman" w:hAnsi="Times New Roman"/>
          <w:strike/>
          <w:color w:val="FF0000"/>
          <w:sz w:val="20"/>
        </w:rPr>
        <w:t>the Adjusted LIBO Rate</w:t>
      </w:r>
      <w:r>
        <w:rPr>
          <w:rFonts w:ascii="Times New Roman" w:hAnsi="Times New Roman"/>
          <w:color w:val="0000FF"/>
          <w:sz w:val="20"/>
          <w:u w:val="single"/>
          <w:bdr w:val="double" w:sz="2" w:space="1" w:color="000000"/>
        </w:rPr>
        <w:t>Term SOFR</w:t>
      </w:r>
      <w:r>
        <w:rPr>
          <w:rFonts w:ascii="Times New Roman" w:hAnsi="Times New Roman"/>
          <w:sz w:val="20"/>
        </w:rPr>
        <w:t>, respectively.</w:t>
      </w:r>
      <w:r>
        <w:rPr>
          <w:rFonts w:ascii="Times New Roman" w:hAnsi="Times New Roman"/>
          <w:color w:val="0000FF"/>
          <w:sz w:val="20"/>
          <w:u w:val="single"/>
          <w:bdr w:val="double" w:sz="2" w:space="1" w:color="000000"/>
        </w:rPr>
        <w:t xml:space="preserve"> If the Alternate Base Rate is being used as an alternate rate of interest pursuant to</w:t>
      </w:r>
      <w:r>
        <w:rPr>
          <w:rFonts w:ascii="Times New Roman" w:hAnsi="Times New Roman"/>
          <w:sz w:val="20"/>
        </w:rPr>
        <w:t xml:space="preserve"> </w:t>
      </w:r>
      <w:r>
        <w:rPr>
          <w:rFonts w:ascii="Times New Roman" w:hAnsi="Times New Roman"/>
          <w:color w:val="0000FF"/>
          <w:sz w:val="20"/>
          <w:u w:val="single"/>
          <w:bdr w:val="double" w:sz="2" w:space="1" w:color="000000"/>
        </w:rPr>
        <w:t>Section 2.13 (for the avoidance of doubt, only until the Benchmark Replacement has been</w:t>
      </w:r>
      <w:r>
        <w:rPr>
          <w:rFonts w:ascii="Times New Roman" w:hAnsi="Times New Roman"/>
          <w:sz w:val="20"/>
        </w:rPr>
        <w:t xml:space="preserve"> </w:t>
      </w:r>
      <w:r>
        <w:rPr>
          <w:rFonts w:ascii="Times New Roman" w:hAnsi="Times New Roman"/>
          <w:color w:val="0000FF"/>
          <w:sz w:val="20"/>
          <w:u w:val="single"/>
          <w:bdr w:val="double" w:sz="2" w:space="1" w:color="000000"/>
        </w:rPr>
        <w:t>determined pursuant to Section 2.13), then the Alternate Base Rate shall be the greater of clauses (a) and (b) above and shall be determined without reference to clause (c) above.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Currency</w:t>
      </w:r>
      <w:r>
        <w:rPr>
          <w:rFonts w:ascii="Times New Roman" w:hAnsi="Times New Roman"/>
          <w:sz w:val="20"/>
        </w:rPr>
        <w:t xml:space="preserve">” means Euros, Sterling, Swiss Francs, Yen, Canadian Dollars and each other currency (other than dollars) that is requested by Bidco or the Borrowers and approved in accordance with </w:t>
      </w:r>
      <w:r>
        <w:rPr>
          <w:rFonts w:ascii="Times New Roman" w:hAnsi="Times New Roman"/>
          <w:sz w:val="20"/>
          <w:u w:val="single"/>
        </w:rPr>
        <w:t>Section 1.08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Currency Equivalent</w:t>
      </w:r>
      <w:r>
        <w:rPr>
          <w:rFonts w:ascii="Times New Roman" w:hAnsi="Times New Roman"/>
          <w:sz w:val="20"/>
        </w:rPr>
        <w:t xml:space="preserve">” means,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or other applicable date of determination) for the purchase of such Alternative Currency with dollars. </w:t>
      </w:r>
    </w:p>
    <w:p>
      <w:pPr>
        <w:pStyle w:val="TextBody"/>
        <w:bidi w:val="0"/>
        <w:spacing w:before="240" w:after="0"/>
        <w:jc w:val="left"/>
        <w:rPr/>
      </w:pPr>
      <w:r>
        <w:rPr/>
        <w:t>“</w:t>
      </w:r>
      <w:r>
        <w:rPr>
          <w:rFonts w:ascii="Times New Roman" w:hAnsi="Times New Roman"/>
          <w:sz w:val="20"/>
          <w:u w:val="single"/>
        </w:rPr>
        <w:t>Amendment No. 1</w:t>
      </w:r>
      <w:r>
        <w:rPr>
          <w:rFonts w:ascii="Times New Roman" w:hAnsi="Times New Roman"/>
          <w:sz w:val="20"/>
        </w:rPr>
        <w:t xml:space="preserve">” means that certain Amendment No. 1, dated as of the Amendment No. 1 Effective Date, among Initial Holdings, Bidco, the Borrowers, the Lenders party thereto and the Administrative Agent. </w:t>
      </w:r>
    </w:p>
    <w:p>
      <w:pPr>
        <w:pStyle w:val="TextBody"/>
        <w:bidi w:val="0"/>
        <w:spacing w:before="240" w:after="0"/>
        <w:jc w:val="left"/>
        <w:rPr/>
      </w:pPr>
      <w:r>
        <w:rPr/>
        <w:t>“</w:t>
      </w:r>
      <w:r>
        <w:rPr>
          <w:rFonts w:ascii="Times New Roman" w:hAnsi="Times New Roman"/>
          <w:sz w:val="20"/>
          <w:u w:val="single"/>
        </w:rPr>
        <w:t>Amendment No. 1 Effective Date</w:t>
      </w:r>
      <w:r>
        <w:rPr>
          <w:rFonts w:ascii="Times New Roman" w:hAnsi="Times New Roman"/>
          <w:sz w:val="20"/>
        </w:rPr>
        <w:t xml:space="preserve">” means January 25, 2021. </w:t>
      </w:r>
    </w:p>
    <w:p>
      <w:pPr>
        <w:pStyle w:val="TextBody"/>
        <w:bidi w:val="0"/>
        <w:spacing w:before="240" w:after="0"/>
        <w:jc w:val="left"/>
        <w:rPr/>
      </w:pPr>
      <w:r>
        <w:rPr/>
        <w:t>“</w:t>
      </w:r>
      <w:r>
        <w:rPr>
          <w:rFonts w:ascii="Times New Roman" w:hAnsi="Times New Roman"/>
          <w:sz w:val="20"/>
          <w:u w:val="single"/>
        </w:rPr>
        <w:t>Amendment No. 1 Refinancing Term Loans</w:t>
      </w:r>
      <w:r>
        <w:rPr>
          <w:rFonts w:ascii="Times New Roman" w:hAnsi="Times New Roman"/>
          <w:sz w:val="20"/>
        </w:rPr>
        <w:t xml:space="preserve">” means the Other Term Loans made pursuant to Amendment No. 1 on the Amendment No. 1 Effective Date in an aggregate principal amount of $1,736,875,000.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3 ” means that certain Amendment No. 3, dated as of the Amendment No. 3 Effective Date, among Bidco and the Administrative Agent.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3 Effective Date” means December 2, 2022.</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Amendment No. 3 Transition Date” means June 30, 2023.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Announcement</w:t>
      </w:r>
      <w:r>
        <w:rPr>
          <w:rFonts w:ascii="Times New Roman" w:hAnsi="Times New Roman"/>
          <w:sz w:val="20"/>
        </w:rPr>
        <w:t xml:space="preserve">” means the press release made by Bidco, dated as of March 25, 2019, announcing a firm intention to implement the Scheme in accordance with Rule 2.7 of the City Code.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has the meaning assigned to such term in </w:t>
      </w:r>
      <w:r>
        <w:rPr>
          <w:rFonts w:ascii="Times New Roman" w:hAnsi="Times New Roman"/>
          <w:sz w:val="20"/>
          <w:u w:val="single"/>
        </w:rPr>
        <w:t>Section 3.18(a)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Account</w:t>
      </w:r>
      <w:r>
        <w:rPr>
          <w:rFonts w:ascii="Times New Roman" w:hAnsi="Times New Roman"/>
          <w:sz w:val="20"/>
        </w:rPr>
        <w:t xml:space="preserve">” means, with respect to any payment to be made to the Administrative Agent hereunder, the account specified by the Administrative Agent from time to time for the purpose of receiving payments of such type. </w:t>
      </w:r>
    </w:p>
    <w:p>
      <w:pPr>
        <w:pStyle w:val="TextBody"/>
        <w:bidi w:val="0"/>
        <w:spacing w:before="240" w:after="0"/>
        <w:jc w:val="left"/>
        <w:rPr/>
      </w:pPr>
      <w:r>
        <w:rPr/>
        <w:t>“</w:t>
      </w:r>
      <w:r>
        <w:rPr>
          <w:rFonts w:ascii="Times New Roman" w:hAnsi="Times New Roman"/>
          <w:sz w:val="20"/>
          <w:u w:val="single"/>
        </w:rPr>
        <w:t>Applicable Discount</w:t>
      </w:r>
      <w:r>
        <w:rPr>
          <w:rFonts w:ascii="Times New Roman" w:hAnsi="Times New Roman"/>
          <w:sz w:val="20"/>
        </w:rPr>
        <w:t xml:space="preserve">” has the meaning assigned to such term in </w:t>
      </w:r>
      <w:r>
        <w:rPr>
          <w:rFonts w:ascii="Times New Roman" w:hAnsi="Times New Roman"/>
          <w:sz w:val="20"/>
          <w:u w:val="single"/>
        </w:rPr>
        <w:t>Section 2.10(a)(ii)(C)(2)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Fronting Exposure</w:t>
      </w:r>
      <w:r>
        <w:rPr>
          <w:rFonts w:ascii="Times New Roman" w:hAnsi="Times New Roman"/>
          <w:sz w:val="20"/>
        </w:rPr>
        <w:t xml:space="preserve">” means, with respect to any Person that is an Issuing Bank or the Swingline Lender at any time the sum of (a) the aggregate amount of all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rFonts w:ascii="Times New Roman" w:hAnsi="Times New Roman"/>
          <w:sz w:val="20"/>
        </w:rPr>
      </w:pPr>
      <w:r>
        <w:rPr>
          <w:rFonts w:ascii="Times New Roman" w:hAnsi="Times New Roman"/>
          <w:sz w:val="20"/>
        </w:rPr>
        <w:t xml:space="preserve">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Revolving Borrowers at such time and (c) the aggregate principal amount of all Swingline Loans made by such Person in its capacity as a Swingline Lender (if applicable) outstanding at such time.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hAnsi="Times New Roman"/>
          <w:sz w:val="20"/>
          <w:u w:val="single"/>
        </w:rPr>
        <w:t>provided</w:t>
      </w:r>
      <w:r>
        <w:rPr>
          <w:rFonts w:ascii="Times New Roman" w:hAnsi="Times New Roman"/>
          <w:sz w:val="20"/>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for any day, </w:t>
      </w:r>
    </w:p>
    <w:p>
      <w:pPr>
        <w:pStyle w:val="TextBody"/>
        <w:bidi w:val="0"/>
        <w:spacing w:before="240" w:after="0"/>
        <w:jc w:val="left"/>
        <w:rPr>
          <w:rFonts w:ascii="Times New Roman" w:hAnsi="Times New Roman"/>
          <w:sz w:val="20"/>
        </w:rPr>
      </w:pPr>
      <w:r>
        <w:rPr>
          <w:rFonts w:ascii="Times New Roman" w:hAnsi="Times New Roman"/>
          <w:sz w:val="20"/>
        </w:rPr>
        <w:t xml:space="preserve">(a)    (i) with respect to any Initial Term Loan, 3.50% per annum in the case of any ABR Loan or 4.50% per annum in the case of a </w:t>
      </w:r>
      <w:r>
        <w:rPr>
          <w:rFonts w:ascii="Times New Roman" w:hAnsi="Times New Roman"/>
          <w:strike/>
          <w:color w:val="FF0000"/>
          <w:sz w:val="20"/>
        </w:rPr>
        <w:t>Eurodollar</w:t>
      </w:r>
      <w:r>
        <w:rPr>
          <w:rFonts w:ascii="Times New Roman" w:hAnsi="Times New Roman"/>
          <w:color w:val="0000FF"/>
          <w:sz w:val="20"/>
          <w:u w:val="single"/>
          <w:bdr w:val="double" w:sz="2" w:space="1" w:color="000000"/>
        </w:rPr>
        <w:t>Term</w:t>
      </w:r>
      <w:r>
        <w:rPr>
          <w:rFonts w:ascii="Times New Roman" w:hAnsi="Times New Roman"/>
          <w:sz w:val="20"/>
        </w:rPr>
        <w:t xml:space="preserve"> </w:t>
      </w:r>
      <w:r>
        <w:rPr>
          <w:rFonts w:ascii="Times New Roman" w:hAnsi="Times New Roman"/>
          <w:color w:val="0000FF"/>
          <w:sz w:val="20"/>
          <w:u w:val="single"/>
          <w:bdr w:val="double" w:sz="2" w:space="1" w:color="000000"/>
        </w:rPr>
        <w:t>Benchmark</w:t>
      </w:r>
      <w:r>
        <w:rPr>
          <w:rFonts w:ascii="Times New Roman" w:hAnsi="Times New Roman"/>
          <w:sz w:val="20"/>
        </w:rPr>
        <w:t xml:space="preserve"> Loan and (ii) with respect to any Amendment No. 1 Refinancing Term Loan, 2.50% per annum in the case of any ABR Loan or 3.50% per annum in the case of a </w:t>
      </w:r>
      <w:r>
        <w:rPr>
          <w:rFonts w:ascii="Times New Roman" w:hAnsi="Times New Roman"/>
          <w:strike/>
          <w:color w:val="FF0000"/>
          <w:sz w:val="20"/>
        </w:rPr>
        <w:t>Eurodollar</w:t>
      </w:r>
      <w:r>
        <w:rPr>
          <w:rFonts w:ascii="Times New Roman" w:hAnsi="Times New Roman"/>
          <w:color w:val="0000FF"/>
          <w:sz w:val="20"/>
          <w:u w:val="single"/>
          <w:bdr w:val="double" w:sz="2" w:space="1" w:color="000000"/>
        </w:rPr>
        <w:t>Term Benchmark</w:t>
      </w:r>
      <w:r>
        <w:rPr>
          <w:rFonts w:ascii="Times New Roman" w:hAnsi="Times New Roman"/>
          <w:sz w:val="20"/>
        </w:rPr>
        <w:t xml:space="preserve"> Loan; and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Revolving Loan, the applicable rate per annum set forth below under the caption “ABR Spread” </w:t>
      </w:r>
      <w:r>
        <w:rPr>
          <w:rFonts w:ascii="Times New Roman" w:hAnsi="Times New Roman"/>
          <w:color w:val="0000FF"/>
          <w:sz w:val="20"/>
          <w:u w:val="single"/>
          <w:bdr w:val="double" w:sz="2" w:space="1" w:color="000000"/>
        </w:rPr>
        <w:t xml:space="preserve">(with respect to ABR Loans) </w:t>
      </w:r>
      <w:r>
        <w:rPr>
          <w:rFonts w:ascii="Times New Roman" w:hAnsi="Times New Roman"/>
          <w:sz w:val="20"/>
        </w:rPr>
        <w:t>or “Adjusted LIBO Rate</w:t>
      </w:r>
      <w:r>
        <w:rPr>
          <w:rFonts w:ascii="Times New Roman" w:hAnsi="Times New Roman"/>
          <w:color w:val="0000FF"/>
          <w:sz w:val="20"/>
          <w:u w:val="single"/>
          <w:bdr w:val="double" w:sz="2" w:space="1" w:color="000000"/>
        </w:rPr>
        <w:t>, Term SOFR Spread or RFR Rate</w:t>
      </w:r>
      <w:r>
        <w:rPr>
          <w:rFonts w:ascii="Times New Roman" w:hAnsi="Times New Roman"/>
          <w:sz w:val="20"/>
        </w:rPr>
        <w:t xml:space="preserve"> Spread” </w:t>
      </w:r>
      <w:r>
        <w:rPr>
          <w:rFonts w:ascii="Times New Roman" w:hAnsi="Times New Roman"/>
          <w:color w:val="0000FF"/>
          <w:sz w:val="20"/>
          <w:u w:val="single"/>
          <w:bdr w:val="double" w:sz="2" w:space="1" w:color="000000"/>
        </w:rPr>
        <w:t xml:space="preserve">(with respect to Eurodollar Loans, Term Benchmark Loans or RFR Loans) </w:t>
      </w:r>
      <w:r>
        <w:rPr>
          <w:rFonts w:ascii="Times New Roman" w:hAnsi="Times New Roman"/>
          <w:sz w:val="20"/>
        </w:rPr>
        <w:t xml:space="preserve">as the case may be, based upon the Senior Secured First Lien Net Leverage Ratio as of the end of the fiscal quarter of Bidco for which consolidated financial statements have theretofore been most recently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until the date of the delivery of the consolidated financial statements pursuant to </w:t>
      </w:r>
      <w:r>
        <w:rPr>
          <w:rFonts w:ascii="Times New Roman" w:hAnsi="Times New Roman"/>
          <w:sz w:val="20"/>
          <w:u w:val="single"/>
        </w:rPr>
        <w:t>Section 5.01</w:t>
      </w:r>
      <w:r>
        <w:rPr>
          <w:rFonts w:ascii="Times New Roman" w:hAnsi="Times New Roman"/>
          <w:sz w:val="20"/>
        </w:rPr>
        <w:t xml:space="preserve"> as of and for the fiscal year ended December 31, 2019, the Applicable Rate shall be based on the rates per annum set forth in Category 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2"/>
        <w:gridCol w:w="389"/>
        <w:gridCol w:w="150"/>
        <w:gridCol w:w="1100"/>
        <w:gridCol w:w="275"/>
        <w:gridCol w:w="308"/>
        <w:gridCol w:w="187"/>
        <w:gridCol w:w="1395"/>
        <w:gridCol w:w="279"/>
      </w:tblGrid>
      <w:tr>
        <w:trPr/>
        <w:tc>
          <w:tcPr>
            <w:tcW w:w="3672"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72"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Senior Secured First Lien Net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Leverage Ratio:                      </w:t>
            </w:r>
          </w:p>
        </w:tc>
        <w:tc>
          <w:tcPr>
            <w:tcW w:w="38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ABR Spread</w:t>
            </w:r>
          </w:p>
        </w:tc>
        <w:tc>
          <w:tcPr>
            <w:tcW w:w="27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pPr>
            <w:r>
              <w:rPr/>
              <w:t>Adjusted LIBO  Rate</w:t>
            </w:r>
            <w:r>
              <w:rPr>
                <w:b/>
                <w:color w:val="0000FF"/>
                <w:u w:val="single"/>
                <w:bdr w:val="double" w:sz="2" w:space="1" w:color="000000"/>
              </w:rPr>
              <w:t>,</w:t>
            </w:r>
            <w:r>
              <w:rPr>
                <w:b/>
              </w:rPr>
              <w:br/>
            </w:r>
            <w:r>
              <w:rPr>
                <w:color w:val="0000FF"/>
                <w:u w:val="single"/>
                <w:bdr w:val="double" w:sz="2" w:space="1" w:color="000000"/>
              </w:rPr>
              <w:t>Term SOFR or RFR</w:t>
              <w:br/>
              <w:t>Rate</w:t>
            </w:r>
            <w:r>
              <w:rPr/>
              <w:t xml:space="preserve"> Spread</w:t>
            </w:r>
          </w:p>
        </w:tc>
        <w:tc>
          <w:tcPr>
            <w:tcW w:w="279" w:type="dxa"/>
            <w:tcBorders/>
            <w:vAlign w:val="bottom"/>
          </w:tcPr>
          <w:p>
            <w:pPr>
              <w:pStyle w:val="TableContents"/>
              <w:bidi w:val="0"/>
              <w:spacing w:before="0" w:after="283"/>
              <w:jc w:val="left"/>
              <w:rPr/>
            </w:pPr>
            <w:r>
              <w:rPr/>
              <w:t> </w:t>
            </w:r>
          </w:p>
        </w:tc>
      </w:tr>
      <w:tr>
        <w:trPr/>
        <w:tc>
          <w:tcPr>
            <w:tcW w:w="367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4.85 to 1.00</w:t>
            </w:r>
          </w:p>
        </w:tc>
        <w:tc>
          <w:tcPr>
            <w:tcW w:w="38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95" w:type="dxa"/>
            <w:tcBorders/>
            <w:shd w:fill="CCEEFF" w:val="clear"/>
            <w:vAlign w:val="bottom"/>
          </w:tcPr>
          <w:p>
            <w:pPr>
              <w:pStyle w:val="TableContents"/>
              <w:bidi w:val="0"/>
              <w:spacing w:before="0" w:after="283"/>
              <w:jc w:val="right"/>
              <w:rPr/>
            </w:pPr>
            <w:r>
              <w:rPr/>
              <w:t>3.50</w:t>
            </w:r>
          </w:p>
        </w:tc>
        <w:tc>
          <w:tcPr>
            <w:tcW w:w="279" w:type="dxa"/>
            <w:tcBorders/>
            <w:shd w:fill="CCEEFF" w:val="clear"/>
            <w:vAlign w:val="bottom"/>
          </w:tcPr>
          <w:p>
            <w:pPr>
              <w:pStyle w:val="TableContents"/>
              <w:bidi w:val="0"/>
              <w:spacing w:before="0" w:after="283"/>
              <w:jc w:val="left"/>
              <w:rPr/>
            </w:pPr>
            <w:r>
              <w:rPr/>
              <w:t>% </w:t>
            </w:r>
          </w:p>
        </w:tc>
      </w:tr>
      <w:tr>
        <w:trPr>
          <w:trHeight w:val="120" w:hRule="atLeast"/>
        </w:trPr>
        <w:tc>
          <w:tcPr>
            <w:tcW w:w="3672" w:type="dxa"/>
            <w:tcBorders/>
            <w:vAlign w:val="center"/>
          </w:tcPr>
          <w:p>
            <w:pPr>
              <w:pStyle w:val="TableContents"/>
              <w:bidi w:val="0"/>
              <w:spacing w:before="0" w:after="283"/>
              <w:jc w:val="left"/>
              <w:rPr>
                <w:sz w:val="4"/>
                <w:szCs w:val="4"/>
              </w:rPr>
            </w:pPr>
            <w:r>
              <w:rPr>
                <w:sz w:val="4"/>
                <w:szCs w:val="4"/>
              </w:rPr>
            </w:r>
          </w:p>
        </w:tc>
        <w:tc>
          <w:tcPr>
            <w:tcW w:w="1914" w:type="dxa"/>
            <w:gridSpan w:val="4"/>
            <w:tcBorders/>
            <w:vAlign w:val="center"/>
          </w:tcPr>
          <w:p>
            <w:pPr>
              <w:pStyle w:val="TableContents"/>
              <w:bidi w:val="0"/>
              <w:spacing w:before="0" w:after="283"/>
              <w:jc w:val="left"/>
              <w:rPr>
                <w:sz w:val="4"/>
                <w:szCs w:val="4"/>
              </w:rPr>
            </w:pPr>
            <w:r>
              <w:rPr>
                <w:sz w:val="4"/>
                <w:szCs w:val="4"/>
              </w:rPr>
            </w:r>
          </w:p>
        </w:tc>
        <w:tc>
          <w:tcPr>
            <w:tcW w:w="2169" w:type="dxa"/>
            <w:gridSpan w:val="4"/>
            <w:tcBorders/>
            <w:vAlign w:val="center"/>
          </w:tcPr>
          <w:p>
            <w:pPr>
              <w:pStyle w:val="TableContents"/>
              <w:bidi w:val="0"/>
              <w:spacing w:before="0" w:after="283"/>
              <w:jc w:val="left"/>
              <w:rPr>
                <w:sz w:val="4"/>
                <w:szCs w:val="4"/>
              </w:rPr>
            </w:pPr>
            <w:r>
              <w:rPr>
                <w:sz w:val="4"/>
                <w:szCs w:val="4"/>
              </w:rPr>
            </w:r>
          </w:p>
        </w:tc>
      </w:tr>
      <w:tr>
        <w:trPr/>
        <w:tc>
          <w:tcPr>
            <w:tcW w:w="367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Greater than 4.35 to 1.00, but less than or equal to 4.85 to 1.00</w:t>
            </w:r>
          </w:p>
        </w:tc>
        <w:tc>
          <w:tcPr>
            <w:tcW w:w="38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w:t>
            </w:r>
          </w:p>
        </w:tc>
        <w:tc>
          <w:tcPr>
            <w:tcW w:w="27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right"/>
              <w:rPr/>
            </w:pPr>
            <w:r>
              <w:rPr/>
              <w:t>3.25</w:t>
            </w:r>
          </w:p>
        </w:tc>
        <w:tc>
          <w:tcPr>
            <w:tcW w:w="279" w:type="dxa"/>
            <w:tcBorders/>
            <w:vAlign w:val="bottom"/>
          </w:tcPr>
          <w:p>
            <w:pPr>
              <w:pStyle w:val="TableContents"/>
              <w:bidi w:val="0"/>
              <w:spacing w:before="0" w:after="283"/>
              <w:jc w:val="left"/>
              <w:rPr/>
            </w:pPr>
            <w:r>
              <w:rPr/>
              <w:t>% </w:t>
            </w:r>
          </w:p>
        </w:tc>
      </w:tr>
      <w:tr>
        <w:trPr>
          <w:trHeight w:val="120" w:hRule="atLeast"/>
        </w:trPr>
        <w:tc>
          <w:tcPr>
            <w:tcW w:w="3672" w:type="dxa"/>
            <w:tcBorders/>
            <w:vAlign w:val="center"/>
          </w:tcPr>
          <w:p>
            <w:pPr>
              <w:pStyle w:val="TableContents"/>
              <w:bidi w:val="0"/>
              <w:spacing w:before="0" w:after="283"/>
              <w:jc w:val="left"/>
              <w:rPr>
                <w:sz w:val="4"/>
                <w:szCs w:val="4"/>
              </w:rPr>
            </w:pPr>
            <w:r>
              <w:rPr>
                <w:sz w:val="4"/>
                <w:szCs w:val="4"/>
              </w:rPr>
            </w:r>
          </w:p>
        </w:tc>
        <w:tc>
          <w:tcPr>
            <w:tcW w:w="1914" w:type="dxa"/>
            <w:gridSpan w:val="4"/>
            <w:tcBorders/>
            <w:vAlign w:val="center"/>
          </w:tcPr>
          <w:p>
            <w:pPr>
              <w:pStyle w:val="TableContents"/>
              <w:bidi w:val="0"/>
              <w:spacing w:before="0" w:after="283"/>
              <w:jc w:val="left"/>
              <w:rPr>
                <w:sz w:val="4"/>
                <w:szCs w:val="4"/>
              </w:rPr>
            </w:pPr>
            <w:r>
              <w:rPr>
                <w:sz w:val="4"/>
                <w:szCs w:val="4"/>
              </w:rPr>
            </w:r>
          </w:p>
        </w:tc>
        <w:tc>
          <w:tcPr>
            <w:tcW w:w="2169" w:type="dxa"/>
            <w:gridSpan w:val="4"/>
            <w:tcBorders/>
            <w:vAlign w:val="center"/>
          </w:tcPr>
          <w:p>
            <w:pPr>
              <w:pStyle w:val="TableContents"/>
              <w:bidi w:val="0"/>
              <w:spacing w:before="0" w:after="283"/>
              <w:jc w:val="left"/>
              <w:rPr>
                <w:sz w:val="4"/>
                <w:szCs w:val="4"/>
              </w:rPr>
            </w:pPr>
            <w:r>
              <w:rPr>
                <w:sz w:val="4"/>
                <w:szCs w:val="4"/>
              </w:rPr>
            </w:r>
          </w:p>
        </w:tc>
      </w:tr>
      <w:tr>
        <w:trPr/>
        <w:tc>
          <w:tcPr>
            <w:tcW w:w="367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3</w:t>
            </w:r>
          </w:p>
          <w:p>
            <w:pPr>
              <w:pStyle w:val="TableContents"/>
              <w:bidi w:val="0"/>
              <w:spacing w:before="0" w:after="20"/>
              <w:jc w:val="left"/>
              <w:rPr>
                <w:rFonts w:ascii="Times New Roman" w:hAnsi="Times New Roman"/>
                <w:sz w:val="20"/>
              </w:rPr>
            </w:pPr>
            <w:r>
              <w:rPr>
                <w:rFonts w:ascii="Times New Roman" w:hAnsi="Times New Roman"/>
                <w:sz w:val="20"/>
              </w:rPr>
              <w:t>Less than or equal to 4.35 to 1.00</w:t>
            </w:r>
          </w:p>
        </w:tc>
        <w:tc>
          <w:tcPr>
            <w:tcW w:w="38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95"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each change in the Applicable Rate resulting from a change in the Senior Secured First Lien Net Leverage Ratio shall be effective during the period commencing on and including the Business Day following the date of delivery to the Administrative Agent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of the consolidated financial statements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left"/>
        <w:rPr>
          <w:rFonts w:ascii="Times New Roman" w:hAnsi="Times New Roman"/>
          <w:sz w:val="20"/>
        </w:rPr>
      </w:pPr>
      <w:r>
        <w:rPr>
          <w:rFonts w:ascii="Times New Roman" w:hAnsi="Times New Roman"/>
          <w:sz w:val="20"/>
        </w:rPr>
        <w:t xml:space="preserve">Compliance Certificate indicating such change and ending on the date immediately preceding the effective date of the next such change. Notwithstanding the foregoing, the Applicable Rate, at the option of the Administrative Agent or the Required Revolving Lenders, commencing upon written notice to Bidco, shall be based on the rates per annum set forth in Category 1 (i) at any time that an Event of Default under </w:t>
      </w:r>
      <w:r>
        <w:rPr>
          <w:rFonts w:ascii="Times New Roman" w:hAnsi="Times New Roman"/>
          <w:sz w:val="20"/>
          <w:u w:val="single"/>
        </w:rPr>
        <w:t>Section 7.01(a)</w:t>
      </w:r>
      <w:r>
        <w:rPr>
          <w:rFonts w:ascii="Times New Roman" w:hAnsi="Times New Roman"/>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pPr>
      <w:r>
        <w:rPr/>
        <w:t>“</w:t>
      </w:r>
      <w:r>
        <w:rPr>
          <w:rFonts w:ascii="Times New Roman" w:hAnsi="Times New Roman"/>
          <w:sz w:val="20"/>
          <w:u w:val="single"/>
        </w:rPr>
        <w:t>Approved Bank</w:t>
      </w:r>
      <w:r>
        <w:rPr>
          <w:rFonts w:ascii="Times New Roman" w:hAnsi="Times New Roman"/>
          <w:sz w:val="20"/>
        </w:rPr>
        <w:t xml:space="preserve">” has the meaning assigned to such term in clause (4) of the definition of the term “Cash Equivalents.” </w:t>
      </w:r>
    </w:p>
    <w:p>
      <w:pPr>
        <w:pStyle w:val="TextBody"/>
        <w:bidi w:val="0"/>
        <w:spacing w:before="240" w:after="0"/>
        <w:jc w:val="left"/>
        <w:rPr/>
      </w:pPr>
      <w:r>
        <w:rPr/>
        <w:t>“</w:t>
      </w:r>
      <w:r>
        <w:rPr>
          <w:rFonts w:ascii="Times New Roman" w:hAnsi="Times New Roman"/>
          <w:sz w:val="20"/>
          <w:u w:val="single"/>
        </w:rPr>
        <w:t>Approved Foreign Bank</w:t>
      </w:r>
      <w:r>
        <w:rPr>
          <w:rFonts w:ascii="Times New Roman" w:hAnsi="Times New Roman"/>
          <w:sz w:val="20"/>
        </w:rPr>
        <w:t xml:space="preserve">” has the meaning assigned to such term in clause (15) of the definition of “Cash Equivalents.”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 </w:t>
      </w:r>
    </w:p>
    <w:p>
      <w:pPr>
        <w:pStyle w:val="TextBody"/>
        <w:bidi w:val="0"/>
        <w:spacing w:before="240" w:after="0"/>
        <w:jc w:val="left"/>
        <w:rPr/>
      </w:pPr>
      <w:r>
        <w:rPr/>
        <w:t>“</w:t>
      </w:r>
      <w:r>
        <w:rPr>
          <w:rFonts w:ascii="Times New Roman" w:hAnsi="Times New Roman"/>
          <w:sz w:val="20"/>
          <w:u w:val="single"/>
        </w:rPr>
        <w:t>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(1)    the sale, conveyance, transfer or other disposition, whether in a single transaction or a series of related transactions, of property or assets (including by way of a Sale and Lease-Back Transaction) of Bidco or any of its Restricted Subsidiaries (each referred to in this definition as a “</w:t>
      </w:r>
      <w:r>
        <w:rPr>
          <w:rFonts w:ascii="Times New Roman" w:hAnsi="Times New Roman"/>
          <w:sz w:val="20"/>
          <w:u w:val="single"/>
        </w:rPr>
        <w:t>disposition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or sale of Equity Interests of any Restricted Subsidiary (other than Preferred Stock of Restricted Subsidiaries issued in compliance with </w:t>
      </w:r>
      <w:r>
        <w:rPr>
          <w:rFonts w:ascii="Times New Roman" w:hAnsi="Times New Roman"/>
          <w:sz w:val="20"/>
          <w:u w:val="single"/>
        </w:rPr>
        <w:t>Section 6.01</w:t>
      </w:r>
      <w:r>
        <w:rPr>
          <w:rFonts w:ascii="Times New Roman" w:hAnsi="Times New Roman"/>
          <w:sz w:val="20"/>
        </w:rPr>
        <w:t xml:space="preserve"> hereof or the issuance of directors’ qualifying shares and shares issued to foreign nationals as required by applicable law), whether in a single transaction or a series of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each case, other than: </w:t>
      </w:r>
    </w:p>
    <w:p>
      <w:pPr>
        <w:pStyle w:val="TextBody"/>
        <w:bidi w:val="0"/>
        <w:spacing w:before="120" w:after="0"/>
        <w:jc w:val="left"/>
        <w:rPr>
          <w:rFonts w:ascii="Times New Roman" w:hAnsi="Times New Roman"/>
          <w:sz w:val="20"/>
        </w:rPr>
      </w:pPr>
      <w:r>
        <w:rPr>
          <w:rFonts w:ascii="Times New Roman" w:hAnsi="Times New Roman"/>
          <w:sz w:val="20"/>
        </w:rPr>
        <w:t xml:space="preserve">(a)    any disposition of (i) Cash Equivalents or Investment Grade Securities, (ii) obsolete, damaged, used, surplus or worn out property or equipment, whether now owned or hereafter acquired, in the ordinary course of business and dispositions of property no longer used or useful, or economically practicable to maintain, in the conduct of the business of Bidco and any Restricted Subsidiary (including by ceasing to enforce, allowing the lapse, abandonment or invalidation of or discontinuing the use or maintenance of or putting into the public domain any intellectual property that is, in the reasonable judgment of Bidco or the Restricted Subsidiaries, no longer used or useful, or economically practicable to maintain, or in respect of which Bidco or any Restricted Subsidiary determines in its reasonable business judgment that such action or inaction is desirable) or (iii) any disposition of inventory, goods and other assets (including Settlement Assets) in the ordinary course of business or no longer used in the ordinary course of business and immaterial assets (considered in the aggregate and as reasonably determined by Bidco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left"/>
        <w:rPr>
          <w:rFonts w:ascii="Times New Roman" w:hAnsi="Times New Roman"/>
          <w:sz w:val="20"/>
        </w:rPr>
      </w:pPr>
      <w:r>
        <w:rPr>
          <w:rFonts w:ascii="Times New Roman" w:hAnsi="Times New Roman"/>
          <w:sz w:val="20"/>
        </w:rPr>
        <w:t xml:space="preserve">(b)    the disposition of all or substantially all of the assets of Bidco and its Restricted Subsidiaries in a manner permitted pursuant to the provisions of </w:t>
      </w:r>
      <w:r>
        <w:rPr>
          <w:rFonts w:ascii="Times New Roman" w:hAnsi="Times New Roman"/>
          <w:sz w:val="20"/>
          <w:u w:val="single"/>
        </w:rPr>
        <w:t>Section 6.03</w:t>
      </w:r>
      <w:r>
        <w:rPr>
          <w:rFonts w:ascii="Times New Roman" w:hAnsi="Times New Roman"/>
          <w:sz w:val="20"/>
        </w:rPr>
        <w:t xml:space="preserve"> hereof or any disposition that constitutes a Change of Control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making of any Restricted Payment or Permitted Investment that is permitted to be made, and is made, under </w:t>
      </w:r>
      <w:r>
        <w:rPr>
          <w:rFonts w:ascii="Times New Roman" w:hAnsi="Times New Roman"/>
          <w:sz w:val="20"/>
          <w:u w:val="single"/>
        </w:rPr>
        <w:t>Section 6.05</w:t>
      </w:r>
      <w:r>
        <w:rPr>
          <w:rFonts w:ascii="Times New Roman" w:hAnsi="Times New Roman"/>
          <w:sz w:val="20"/>
        </w:rPr>
        <w:t xml:space="preserve"> hereof, or solely for the purposes of Section 6.04(b)(ii), asset sales, the proceeds of which are used to make such Restricted Payments or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(d)    any disposition of assets or issuance or sale of Equity Interests of any Restricted Subsidiary in any transaction or series of related transactions with an aggregate fair market value of less than the greater of $75,000,000 and 10% of Consolidated EBITDA for the most recently ended Test Period as of such date, calculated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(e)    any disposition (i) of property or assets or issuance of securities by a Restricted Subsidiary of Bidco to Bidco or any Borrower or by Bidco or a Restricted Subsidiary of Bidco to another Restricted Subsidiary of Bidco or (ii) to Bidco or a Restricted Subsidiary constituting debt forgiveness; </w:t>
      </w:r>
    </w:p>
    <w:p>
      <w:pPr>
        <w:pStyle w:val="TextBody"/>
        <w:bidi w:val="0"/>
        <w:spacing w:before="120" w:after="0"/>
        <w:jc w:val="left"/>
        <w:rPr>
          <w:rFonts w:ascii="Times New Roman" w:hAnsi="Times New Roman"/>
          <w:sz w:val="20"/>
        </w:rPr>
      </w:pPr>
      <w:r>
        <w:rPr>
          <w:rFonts w:ascii="Times New Roman" w:hAnsi="Times New Roman"/>
          <w:sz w:val="20"/>
        </w:rPr>
        <w:t xml:space="preserve">(f)    dispositions of property to the extent that (i) such property is exchanged for credit against the purchase price of similar replacement property or (ii) an amount equal to net proceeds of such disposition are promptly applied to the purchase price of such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(g)    leases, subleases, service agreements, product sales, licenses or sublicenses (including licenses and sublicenses of intellectual property or other intangible assets), in each case that do not materially interfere with the business of Bidco and the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(h)    sales, rentals or leases of satellite capacity, bandwidth, beams, transponders or threads or other grants of rights of satellite use or of any other portion of a Satellite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any issuance or sale of Equity Interests in, or Indebtedness or other securities of, an Unrestricted Subsidiary or any other disposition of Capital Stock, Indebtedness or other securities of an Unrestricted Subsidiary or an Immaterial Subsidiary; </w:t>
      </w:r>
    </w:p>
    <w:p>
      <w:pPr>
        <w:pStyle w:val="TextBody"/>
        <w:bidi w:val="0"/>
        <w:spacing w:before="120" w:after="0"/>
        <w:jc w:val="left"/>
        <w:rPr>
          <w:rFonts w:ascii="Times New Roman" w:hAnsi="Times New Roman"/>
          <w:sz w:val="20"/>
        </w:rPr>
      </w:pPr>
      <w:r>
        <w:rPr>
          <w:rFonts w:ascii="Times New Roman" w:hAnsi="Times New Roman"/>
          <w:sz w:val="20"/>
        </w:rPr>
        <w:t xml:space="preserve">(j)    foreclosures, condemnation, expropriation or any similar action with respect to assets, other transfers of property subject to casualty events or the granting of Liens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(i) any disposition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in the ordinary course of business or the conversion of accounts receivable to notes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left"/>
        <w:rPr>
          <w:rFonts w:ascii="Times New Roman" w:hAnsi="Times New Roman"/>
          <w:sz w:val="20"/>
        </w:rPr>
      </w:pPr>
      <w:r>
        <w:rPr>
          <w:rFonts w:ascii="Times New Roman" w:hAnsi="Times New Roman"/>
          <w:sz w:val="20"/>
        </w:rPr>
        <w:t xml:space="preserve">(l)     any financing transaction with respect to property built or acquired by Bidco or any Restricted Subsidiary after the Effective Date, including Sale and Lease-Back Transactions (and dispositions of property acquired by Bidco or any of the Restricted Subsidiaries after the Effective Date pursuant to Sale and Lease-Back Transactions) and asset securitizations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(m)     any surrender or waiver of contractual rights or the settlement, release or surrender of contractual rights or other litigation claims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the unwinding or voluntary termination of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(o)     any disposition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(p)     dispositions of any assets (including Equity Interests) (A) acquired in connection with any acquisition or other Investment not prohibited by this Agreement, which assets are not used or useful to the core or principal business of Bidco and the Restricted Subsidiaries or (B) made to obtain the approval of any applicable antitrust authority in connection with an acquisition; </w:t>
      </w:r>
    </w:p>
    <w:p>
      <w:pPr>
        <w:pStyle w:val="TextBody"/>
        <w:bidi w:val="0"/>
        <w:spacing w:before="120" w:after="0"/>
        <w:jc w:val="left"/>
        <w:rPr>
          <w:rFonts w:ascii="Times New Roman" w:hAnsi="Times New Roman"/>
          <w:sz w:val="20"/>
        </w:rPr>
      </w:pPr>
      <w:r>
        <w:rPr>
          <w:rFonts w:ascii="Times New Roman" w:hAnsi="Times New Roman"/>
          <w:sz w:val="20"/>
        </w:rPr>
        <w:t xml:space="preserve">(q)     sales, transfers and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(r)     failing to pursue or allowing any registrations or any applications for registration of any intellectual property rights to lapse or go abandoned in the ordinary course of business if, in the reasonable determination of Bidco or a Restricted Subsidiary, such discontinuance is desirable in the conduct of the business of Bidco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(s)     dispositions of property acquired by Bidco or any of the Restricted Subsidiaries pursuant to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     dispositions in connection with Permitted Liens, Permitted Intercompany Activities, Permitted Tax Restructuring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(u)     an issuance of Capital Stock by a Restricted Subsidiary as part of or pursuant to an equity incentive or compensation plan approved by the Board of Directors of Bidco or any holding company thereof; </w:t>
      </w:r>
    </w:p>
    <w:p>
      <w:pPr>
        <w:pStyle w:val="TextBody"/>
        <w:bidi w:val="0"/>
        <w:spacing w:before="120" w:after="0"/>
        <w:jc w:val="left"/>
        <w:rPr>
          <w:rFonts w:ascii="Times New Roman" w:hAnsi="Times New Roman"/>
          <w:sz w:val="20"/>
        </w:rPr>
      </w:pPr>
      <w:r>
        <w:rPr>
          <w:rFonts w:ascii="Times New Roman" w:hAnsi="Times New Roman"/>
          <w:sz w:val="20"/>
        </w:rPr>
        <w:t xml:space="preserve">(v)     any disposition of Capital Stock of a Restricted Subsidiary pursuant to an agreement or other obligation with or to a Person (other than Bidco or a Restricted Subsidiary) from whom such Restricted Subsidiary was acquired, or from whom such Restricted Subsidiary acquired its business and assets, made as part of such acquisition and in each case comprising all or a portion of the consideration in respect of such sale or acquisition;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left"/>
        <w:rPr>
          <w:rFonts w:ascii="Times New Roman" w:hAnsi="Times New Roman"/>
          <w:sz w:val="20"/>
        </w:rPr>
      </w:pPr>
      <w:r>
        <w:rPr>
          <w:rFonts w:ascii="Times New Roman" w:hAnsi="Times New Roman"/>
          <w:sz w:val="20"/>
        </w:rPr>
        <w:t xml:space="preserve">(w)     any sale of property or assets, if the acquisition of such property or assets was financed with Excluded Contributions and the proceeds of such sale are used to make a Restricted Payment pursuant to </w:t>
      </w:r>
      <w:r>
        <w:rPr>
          <w:rFonts w:ascii="Times New Roman" w:hAnsi="Times New Roman"/>
          <w:sz w:val="20"/>
          <w:u w:val="single"/>
        </w:rPr>
        <w:t>Section 6.05(b)(x)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transaction (or any portion thereof) meets the criteria of a permitted Asset Sale and would also be a Permitted Investment or an Investment permitted under </w:t>
      </w:r>
      <w:r>
        <w:rPr>
          <w:rFonts w:ascii="Times New Roman" w:hAnsi="Times New Roman"/>
          <w:sz w:val="20"/>
          <w:u w:val="single"/>
        </w:rPr>
        <w:t>Section 6.05</w:t>
      </w:r>
      <w:r>
        <w:rPr>
          <w:rFonts w:ascii="Times New Roman" w:hAnsi="Times New Roman"/>
          <w:sz w:val="20"/>
        </w:rPr>
        <w:t xml:space="preserve">, Bidco, in its sole discretion, will be entitled to divide and classify such transaction (or a portion thereof) as an Asset Sale and/or one or more of the types of Permitted Investments or Investments permitted under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Person whose consent is required by </w:t>
      </w:r>
      <w:r>
        <w:rPr>
          <w:rFonts w:ascii="Times New Roman" w:hAnsi="Times New Roman"/>
          <w:sz w:val="20"/>
          <w:u w:val="single"/>
        </w:rPr>
        <w:t>Section 9.04(b)</w:t>
      </w:r>
      <w:r>
        <w:rPr>
          <w:rFonts w:ascii="Times New Roman" w:hAnsi="Times New Roman"/>
          <w:sz w:val="20"/>
        </w:rPr>
        <w:t xml:space="preserve">), substantially in the form of </w:t>
      </w:r>
      <w:r>
        <w:rPr>
          <w:rFonts w:ascii="Times New Roman" w:hAnsi="Times New Roman"/>
          <w:sz w:val="20"/>
          <w:u w:val="single"/>
        </w:rPr>
        <w:t>Exhibit A</w:t>
      </w:r>
      <w:r>
        <w:rPr>
          <w:rFonts w:ascii="Times New Roman" w:hAnsi="Times New Roman"/>
          <w:sz w:val="20"/>
        </w:rPr>
        <w:t xml:space="preserve"> or any other form reasonably approved by the Administrative Agent. </w:t>
      </w:r>
    </w:p>
    <w:p>
      <w:pPr>
        <w:pStyle w:val="TextBody"/>
        <w:bidi w:val="0"/>
        <w:spacing w:before="240" w:after="0"/>
        <w:jc w:val="left"/>
        <w:rPr/>
      </w:pPr>
      <w:r>
        <w:rPr/>
        <w:t>“</w:t>
      </w:r>
      <w:r>
        <w:rPr>
          <w:rFonts w:ascii="Times New Roman" w:hAnsi="Times New Roman"/>
          <w:sz w:val="20"/>
          <w:u w:val="single"/>
        </w:rPr>
        <w:t>Auction Agent</w:t>
      </w:r>
      <w:r>
        <w:rPr>
          <w:rFonts w:ascii="Times New Roman" w:hAnsi="Times New Roman"/>
          <w:sz w:val="20"/>
        </w:rPr>
        <w:t xml:space="preserve">” means (a) the Administrative Agent or (b) any other financial institution or advisor employed by Bidco (whether or not an Affiliate of the Administrative Agent) to act as an arranger in connection with any Discounted Term Loan Prepayment pursuant to </w:t>
      </w:r>
      <w:r>
        <w:rPr>
          <w:rFonts w:ascii="Times New Roman" w:hAnsi="Times New Roman"/>
          <w:sz w:val="20"/>
          <w:u w:val="single"/>
        </w:rPr>
        <w:t>Section 2.10(a)(ii)(A)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Bidco shall not designate the Administrative Agent as the Auction Agent without the written consent of the Administrative Agent (it being understood that the Administrative Agent shall be under no obligation to agree to act as the Auction Agent).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xml:space="preserve">” has the meaning assigned to such term in </w:t>
      </w:r>
      <w:r>
        <w:rPr>
          <w:rFonts w:ascii="Times New Roman" w:hAnsi="Times New Roman"/>
          <w:sz w:val="20"/>
          <w:u w:val="single"/>
        </w:rPr>
        <w:t>Section 6.05(a)(A)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Investments Amount</w:t>
      </w:r>
      <w:r>
        <w:rPr>
          <w:rFonts w:ascii="Times New Roman" w:hAnsi="Times New Roman"/>
          <w:sz w:val="20"/>
        </w:rPr>
        <w:t xml:space="preserve">” means, at any time, (i) the amount of Investments that may be made at the time of determination pursuant to clause (14) of the definition of “Permitted Investments”, minus (ii) the amount of the Available Investments Amount utilized by Bidco or any Restricted Subsidiary to make Restricted Debt Payments pursuant to clause (xiv)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Restricted Debt Payments Amount</w:t>
      </w:r>
      <w:r>
        <w:rPr>
          <w:rFonts w:ascii="Times New Roman" w:hAnsi="Times New Roman"/>
          <w:sz w:val="20"/>
        </w:rPr>
        <w:t xml:space="preserve">” means, at any time, (i) the amount of Restricted Debt Payments that may be made at the time of determination pursuant to clause (xiv) of </w:t>
      </w:r>
      <w:r>
        <w:rPr>
          <w:rFonts w:ascii="Times New Roman" w:hAnsi="Times New Roman"/>
          <w:sz w:val="20"/>
          <w:u w:val="single"/>
        </w:rPr>
        <w:t>Section 6.05(b)</w:t>
      </w:r>
      <w:r>
        <w:rPr>
          <w:rFonts w:ascii="Times New Roman" w:hAnsi="Times New Roman"/>
          <w:sz w:val="20"/>
        </w:rPr>
        <w:t xml:space="preserve">, minus (ii) the sum of (a) the amount of the Available Restricted Debt Payments Amount utilized by Bidco or any Restricted Subsidiary to make Investments pursuant to clause (14) of the definition of “Permitted Investments” and (b) the amount of the Available Restricted Debt Payments Amount utilized by Bidco or any Restricted Subsidiary to make Restricted Payments pursuant to clause (xi)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Restricted Payments Amount</w:t>
      </w:r>
      <w:r>
        <w:rPr>
          <w:rFonts w:ascii="Times New Roman" w:hAnsi="Times New Roman"/>
          <w:sz w:val="20"/>
        </w:rPr>
        <w:t xml:space="preserve">” means, at any time, (i) the amount of Restricted Payments that may be made at the time of determination pursuant to clause (xi) of </w:t>
      </w:r>
      <w:r>
        <w:rPr>
          <w:rFonts w:ascii="Times New Roman" w:hAnsi="Times New Roman"/>
          <w:sz w:val="20"/>
          <w:u w:val="single"/>
        </w:rPr>
        <w:t>Section 6.05(b)</w:t>
      </w:r>
      <w:r>
        <w:rPr>
          <w:rFonts w:ascii="Times New Roman" w:hAnsi="Times New Roman"/>
          <w:sz w:val="20"/>
        </w:rPr>
        <w:t xml:space="preserve">, minus (ii) the sum of (a) the amount of the Available Restricted Payments Amount utilized by Bidco or any Restricted Subsidiary to make Investments pursuant to clause (14) of the definition of “Permitted Investments” and (b) the amount of the Available Restricted Payments Amount utilized by Bidco or any Restricted Subsidiary to make Restricted Debt Payments pursuant to clause (xiv) of </w:t>
      </w:r>
      <w:r>
        <w:rPr>
          <w:rFonts w:ascii="Times New Roman" w:hAnsi="Times New Roman"/>
          <w:sz w:val="20"/>
          <w:u w:val="single"/>
        </w:rPr>
        <w:t>Section 6.05(b)</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as amended, or any similar federal or state law for the relief of debtors. </w:t>
      </w:r>
    </w:p>
    <w:p>
      <w:pPr>
        <w:pStyle w:val="TextBody"/>
        <w:bidi w:val="0"/>
        <w:spacing w:before="240" w:after="0"/>
        <w:jc w:val="left"/>
        <w:rPr/>
      </w:pPr>
      <w:r>
        <w:rPr/>
        <w:t>“</w:t>
      </w:r>
      <w:r>
        <w:rPr>
          <w:rFonts w:ascii="Times New Roman" w:hAnsi="Times New Roman"/>
          <w:sz w:val="20"/>
          <w:u w:val="single"/>
        </w:rPr>
        <w:t>Bank Products</w:t>
      </w:r>
      <w:r>
        <w:rPr>
          <w:rFonts w:ascii="Times New Roman" w:hAnsi="Times New Roman"/>
          <w:sz w:val="20"/>
        </w:rPr>
        <w:t xml:space="preserve">” means any facilities or services related to cash management, including treasury, depository, overdraft, credit or debit card, purchase card, electronic funds transfer and other cash management arrangements. </w:t>
      </w:r>
    </w:p>
    <w:p>
      <w:pPr>
        <w:pStyle w:val="TextBody"/>
        <w:bidi w:val="0"/>
        <w:spacing w:before="240" w:after="0"/>
        <w:jc w:val="left"/>
        <w:rPr/>
      </w:pPr>
      <w:r>
        <w:rPr/>
        <w:t>“</w:t>
      </w:r>
      <w:r>
        <w:rPr>
          <w:rFonts w:ascii="Times New Roman" w:hAnsi="Times New Roman"/>
          <w:sz w:val="20"/>
          <w:u w:val="single"/>
        </w:rPr>
        <w:t>Barclays</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Benchmark” means, initially, the Relevant Rate; provided that if a Benchmark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Section 2.13.</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Benchmark Replacement” means, for any Available Tenor, the first alternative set forth in the order below that can be determined by the Administrative Agent for the applicable Benchmark Replacement Date; provided that, in the case of any Loan denominated in an Agreed Currency and not set forth in clause (1) below, “Benchmark Replacement” shall mean the alternative set forth in clause (2) below: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(1) (A) in the case of any Loans denominated in U.S. Dollars, Daily Simple SOFR,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(2) the alternate benchmark rate that has been selected by the Administrative Agent and the Borrower as the replacement for the then-current Benchmark for the applicable Corresponding Tenor giving due consideration to any evolving or then-prevailing market convention for determining a benchmark rate as a replacement for the then-current Benchmark for U.S. syndicated credit facilities denominated in the applicable Agreed Currency at such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If the Benchmark Replacement as determined pursuant to clause (1) or (2) above would be less than the Floor, the Benchmark Replacement will be deemed to be the Floor for the purposes of this Agreement and the other Loan Documents.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Benchmark Replacement Conforming Changes” means, with respect to any</w:t>
      </w:r>
      <w:r>
        <w:rPr>
          <w:rFonts w:ascii="Times New Roman" w:hAnsi="Times New Roman"/>
          <w:sz w:val="20"/>
        </w:rPr>
        <w:t xml:space="preserve"> </w:t>
      </w:r>
      <w:r>
        <w:rPr>
          <w:rFonts w:ascii="Times New Roman" w:hAnsi="Times New Roman"/>
          <w:color w:val="0000FF"/>
          <w:sz w:val="20"/>
          <w:u w:val="single"/>
          <w:bdr w:val="double" w:sz="2" w:space="1" w:color="000000"/>
        </w:rPr>
        <w:t>Benchmark Replacement, any technical, administrative or operational changes (including changes</w:t>
      </w:r>
      <w:r>
        <w:rPr>
          <w:rFonts w:ascii="Times New Roman" w:hAnsi="Times New Roman"/>
          <w:sz w:val="20"/>
        </w:rPr>
        <w:t xml:space="preserve"> </w:t>
      </w:r>
      <w:r>
        <w:rPr>
          <w:rFonts w:ascii="Times New Roman" w:hAnsi="Times New Roman"/>
          <w:color w:val="0000FF"/>
          <w:sz w:val="20"/>
          <w:u w:val="single"/>
          <w:bdr w:val="double" w:sz="2" w:space="1" w:color="000000"/>
        </w:rPr>
        <w:t>to the definition of “ABR ”, “Alternate Base Rate,” the definition of “Business Day,” the definition of “Interest Period,” timing and frequency of determining rates and making payments of interest,</w:t>
      </w:r>
      <w:r>
        <w:rPr>
          <w:rFonts w:ascii="Times New Roman" w:hAnsi="Times New Roman"/>
          <w:sz w:val="20"/>
        </w:rPr>
        <w:t xml:space="preserve"> </w:t>
      </w:r>
      <w:r>
        <w:rPr>
          <w:rFonts w:ascii="Times New Roman" w:hAnsi="Times New Roman"/>
          <w:color w:val="0000FF"/>
          <w:sz w:val="20"/>
          <w:u w:val="single"/>
          <w:bdr w:val="double" w:sz="2" w:space="1" w:color="000000"/>
        </w:rPr>
        <w:t>timing of borrowing requests or prepayment, conversion or continuation notices, length of</w:t>
      </w:r>
      <w:r>
        <w:rPr>
          <w:rFonts w:ascii="Times New Roman" w:hAnsi="Times New Roman"/>
          <w:sz w:val="20"/>
        </w:rPr>
        <w:t xml:space="preserve"> </w:t>
      </w:r>
      <w:r>
        <w:rPr>
          <w:rFonts w:ascii="Times New Roman" w:hAnsi="Times New Roman"/>
          <w:color w:val="0000FF"/>
          <w:sz w:val="20"/>
          <w:u w:val="single"/>
          <w:bdr w:val="double" w:sz="2" w:space="1" w:color="000000"/>
        </w:rPr>
        <w:t>lookback periods, the applicability of breakage provisions, and other technical, administrative or</w:t>
      </w:r>
      <w:r>
        <w:rPr>
          <w:rFonts w:ascii="Times New Roman" w:hAnsi="Times New Roman"/>
          <w:sz w:val="20"/>
        </w:rPr>
        <w:t xml:space="preserve"> </w:t>
      </w:r>
      <w:r>
        <w:rPr>
          <w:rFonts w:ascii="Times New Roman" w:hAnsi="Times New Roman"/>
          <w:color w:val="0000FF"/>
          <w:sz w:val="20"/>
          <w:u w:val="single"/>
          <w:bdr w:val="double" w:sz="2" w:space="1" w:color="000000"/>
        </w:rPr>
        <w:t>operational matters) that the Administrative Agent (or, for purposes of clause (2) of the definition of “Benchmark Replacement” , the Administrative Agent with the consent of the Borrower)</w:t>
      </w:r>
      <w:r>
        <w:rPr>
          <w:rFonts w:ascii="Times New Roman" w:hAnsi="Times New Roman"/>
          <w:sz w:val="20"/>
        </w:rPr>
        <w:t xml:space="preserve"> </w:t>
      </w:r>
      <w:r>
        <w:rPr>
          <w:rFonts w:ascii="Times New Roman" w:hAnsi="Times New Roman"/>
          <w:color w:val="0000FF"/>
          <w:sz w:val="20"/>
          <w:u w:val="single"/>
          <w:bdr w:val="double" w:sz="2" w:space="1" w:color="000000"/>
        </w:rPr>
        <w:t>determines may be appropriate to reflect the adoption and implementation of such Benchmark</w:t>
      </w:r>
      <w:r>
        <w:rPr>
          <w:rFonts w:ascii="Times New Roman" w:hAnsi="Times New Roman"/>
          <w:sz w:val="20"/>
        </w:rPr>
        <w:t xml:space="preserve"> </w:t>
      </w:r>
      <w:r>
        <w:rPr>
          <w:rFonts w:ascii="Times New Roman" w:hAnsi="Times New Roman"/>
          <w:color w:val="0000FF"/>
          <w:sz w:val="20"/>
          <w:u w:val="single"/>
          <w:bdr w:val="double" w:sz="2" w:space="1" w:color="000000"/>
        </w:rPr>
        <w:t>Replacement and the other provisions contemplated by Section 2.13 in a manner substantially</w:t>
      </w:r>
      <w:r>
        <w:rPr>
          <w:rFonts w:ascii="Times New Roman" w:hAnsi="Times New Roman"/>
          <w:sz w:val="20"/>
        </w:rPr>
        <w:t xml:space="preserve"> </w:t>
      </w:r>
      <w:r>
        <w:rPr>
          <w:rFonts w:ascii="Times New Roman" w:hAnsi="Times New Roman"/>
          <w:color w:val="0000FF"/>
          <w:sz w:val="20"/>
          <w:u w:val="single"/>
          <w:bdr w:val="double" w:sz="2" w:space="1" w:color="000000"/>
        </w:rPr>
        <w:t>consistent with market practice (provided that any such change that is not substantially consistent</w:t>
      </w:r>
      <w:r>
        <w:rPr>
          <w:rFonts w:ascii="Times New Roman" w:hAnsi="Times New Roman"/>
          <w:sz w:val="20"/>
        </w:rPr>
        <w:t xml:space="preserve"> </w:t>
      </w:r>
      <w:r>
        <w:rPr>
          <w:rFonts w:ascii="Times New Roman" w:hAnsi="Times New Roman"/>
          <w:color w:val="0000FF"/>
          <w:sz w:val="20"/>
          <w:u w:val="single"/>
          <w:bdr w:val="double" w:sz="2" w:space="1" w:color="000000"/>
        </w:rPr>
        <w:t>with both (x) market practice and (y) other U.S. syndicated credit facilities for similarly situated</w:t>
      </w:r>
      <w:r>
        <w:rPr>
          <w:rFonts w:ascii="Times New Roman" w:hAnsi="Times New Roman"/>
          <w:sz w:val="20"/>
        </w:rPr>
        <w:t xml:space="preserve"> </w:t>
      </w:r>
      <w:r>
        <w:rPr>
          <w:rFonts w:ascii="Times New Roman" w:hAnsi="Times New Roman"/>
          <w:color w:val="0000FF"/>
          <w:sz w:val="20"/>
          <w:u w:val="single"/>
          <w:bdr w:val="double" w:sz="2" w:space="1" w:color="000000"/>
        </w:rPr>
        <w:t>sponsors denominated in the Agreed Currency for which the Administrative Agent acts as</w:t>
      </w:r>
      <w:r>
        <w:rPr>
          <w:rFonts w:ascii="Times New Roman" w:hAnsi="Times New Roman"/>
          <w:sz w:val="20"/>
        </w:rPr>
        <w:t xml:space="preserve"> </w:t>
      </w:r>
      <w:r>
        <w:rPr>
          <w:rFonts w:ascii="Times New Roman" w:hAnsi="Times New Roman"/>
          <w:color w:val="0000FF"/>
          <w:sz w:val="20"/>
          <w:u w:val="single"/>
          <w:bdr w:val="double" w:sz="2" w:space="1" w:color="000000"/>
        </w:rPr>
        <w:t>administrative agent shall be determined by the Administrative Agent in consultation with the</w:t>
      </w:r>
      <w:r>
        <w:rPr>
          <w:rFonts w:ascii="Times New Roman" w:hAnsi="Times New Roman"/>
          <w:sz w:val="20"/>
        </w:rPr>
        <w:t xml:space="preserve"> </w:t>
      </w:r>
      <w:r>
        <w:rPr>
          <w:rFonts w:ascii="Times New Roman" w:hAnsi="Times New Roman"/>
          <w:color w:val="0000FF"/>
          <w:sz w:val="20"/>
          <w:u w:val="single"/>
          <w:bdr w:val="double" w:sz="2" w:space="1" w:color="000000"/>
        </w:rPr>
        <w:t>Borrower), and to permit the administration thereof by the Administrative Agent in a manner</w:t>
      </w:r>
      <w:r>
        <w:rPr>
          <w:rFonts w:ascii="Times New Roman" w:hAnsi="Times New Roman"/>
          <w:sz w:val="20"/>
        </w:rPr>
        <w:t xml:space="preserve"> </w:t>
      </w:r>
      <w:r>
        <w:rPr>
          <w:rFonts w:ascii="Times New Roman" w:hAnsi="Times New Roman"/>
          <w:color w:val="0000FF"/>
          <w:sz w:val="20"/>
          <w:u w:val="single"/>
          <w:bdr w:val="double" w:sz="2" w:space="1" w:color="000000"/>
        </w:rPr>
        <w:t>substantially consistent with both (x) market practice and (y) other U.S. syndicated credit facilities</w:t>
      </w:r>
      <w:r>
        <w:rPr>
          <w:rFonts w:ascii="Times New Roman" w:hAnsi="Times New Roman"/>
          <w:sz w:val="20"/>
        </w:rPr>
        <w:t xml:space="preserve"> </w:t>
      </w:r>
      <w:r>
        <w:rPr>
          <w:rFonts w:ascii="Times New Roman" w:hAnsi="Times New Roman"/>
          <w:color w:val="0000FF"/>
          <w:sz w:val="20"/>
          <w:u w:val="single"/>
          <w:bdr w:val="double" w:sz="2" w:space="1" w:color="000000"/>
        </w:rPr>
        <w:t>for similarly situated sponsors denominated in the Agreed Currency for which the Administrative</w:t>
      </w:r>
      <w:r>
        <w:rPr>
          <w:rFonts w:ascii="Times New Roman" w:hAnsi="Times New Roman"/>
          <w:sz w:val="20"/>
        </w:rPr>
        <w:t xml:space="preserve"> </w:t>
      </w:r>
      <w:r>
        <w:rPr>
          <w:rFonts w:ascii="Times New Roman" w:hAnsi="Times New Roman"/>
          <w:color w:val="0000FF"/>
          <w:sz w:val="20"/>
          <w:u w:val="single"/>
          <w:bdr w:val="double" w:sz="2" w:space="1" w:color="000000"/>
        </w:rPr>
        <w:t>Agent acts as administrative agent (or, if the Administrative Agent decides that adoption of any</w:t>
      </w:r>
      <w:r>
        <w:rPr>
          <w:rFonts w:ascii="Times New Roman" w:hAnsi="Times New Roman"/>
          <w:sz w:val="20"/>
        </w:rPr>
        <w:t xml:space="preserve"> </w:t>
      </w:r>
      <w:r>
        <w:rPr>
          <w:rFonts w:ascii="Times New Roman" w:hAnsi="Times New Roman"/>
          <w:color w:val="0000FF"/>
          <w:sz w:val="20"/>
          <w:u w:val="single"/>
          <w:bdr w:val="double" w:sz="2" w:space="1" w:color="000000"/>
        </w:rPr>
        <w:t>portion of such market practice is not administratively feasible or if the Administrative Agent</w:t>
      </w:r>
      <w:r>
        <w:rPr>
          <w:rFonts w:ascii="Times New Roman" w:hAnsi="Times New Roman"/>
          <w:sz w:val="20"/>
        </w:rPr>
        <w:t xml:space="preserve"> </w:t>
      </w:r>
      <w:r>
        <w:rPr>
          <w:rFonts w:ascii="Times New Roman" w:hAnsi="Times New Roman"/>
          <w:color w:val="0000FF"/>
          <w:sz w:val="20"/>
          <w:u w:val="single"/>
          <w:bdr w:val="double" w:sz="2" w:space="1" w:color="000000"/>
        </w:rPr>
        <w:t>determines that no market practice for the administration of such Benchmark Replacement exists,</w:t>
      </w:r>
      <w:r>
        <w:rPr>
          <w:rFonts w:ascii="Times New Roman" w:hAnsi="Times New Roman"/>
          <w:sz w:val="20"/>
        </w:rPr>
        <w:t xml:space="preserve"> </w:t>
      </w:r>
      <w:r>
        <w:rPr>
          <w:rFonts w:ascii="Times New Roman" w:hAnsi="Times New Roman"/>
          <w:color w:val="0000FF"/>
          <w:sz w:val="20"/>
          <w:u w:val="single"/>
          <w:bdr w:val="double" w:sz="2" w:space="1" w:color="000000"/>
        </w:rPr>
        <w:t>in such other manner of administration as the Administrative Agent decides is reasonably necessary in connection with the administration of this Agreement and the other Loan Documents).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Benchmark Replacement Date ” means, with respect to any Benchmark, the earliest to occur of the following events with respect to such then-current Benchmark: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color w:val="0000FF"/>
          <w:sz w:val="20"/>
          <w:u w:val="single"/>
          <w:bdr w:val="double" w:sz="2" w:space="1" w:color="000000"/>
        </w:rPr>
        <w:t>in the case of clause (1) or (2) of the definition of “Benchmark Transition</w:t>
      </w:r>
      <w:r>
        <w:rPr>
          <w:rFonts w:ascii="Times New Roman" w:hAnsi="Times New Roman"/>
          <w:sz w:val="20"/>
        </w:rPr>
        <w:t xml:space="preserve"> </w:t>
      </w:r>
      <w:r>
        <w:rPr>
          <w:rFonts w:ascii="Times New Roman" w:hAnsi="Times New Roman"/>
          <w:color w:val="0000FF"/>
          <w:sz w:val="20"/>
          <w:u w:val="single"/>
          <w:bdr w:val="double" w:sz="2" w:space="1" w:color="000000"/>
        </w:rPr>
        <w:t>Event,” the later of (a) the date of the public statement or publication of information referenced</w:t>
      </w:r>
      <w:r>
        <w:rPr>
          <w:rFonts w:ascii="Times New Roman" w:hAnsi="Times New Roman"/>
          <w:sz w:val="20"/>
        </w:rPr>
        <w:t xml:space="preserve"> </w:t>
      </w:r>
      <w:r>
        <w:rPr>
          <w:rFonts w:ascii="Times New Roman" w:hAnsi="Times New Roman"/>
          <w:color w:val="0000FF"/>
          <w:sz w:val="20"/>
          <w:u w:val="single"/>
          <w:bdr w:val="double" w:sz="2" w:space="1" w:color="000000"/>
        </w:rPr>
        <w:t>therein and (b) the date on which the administrator of such Benchmark (or the published</w:t>
      </w:r>
      <w:r>
        <w:rPr>
          <w:rFonts w:ascii="Times New Roman" w:hAnsi="Times New Roman"/>
          <w:sz w:val="20"/>
        </w:rPr>
        <w:t xml:space="preserve"> </w:t>
      </w:r>
      <w:r>
        <w:rPr>
          <w:rFonts w:ascii="Times New Roman" w:hAnsi="Times New Roman"/>
          <w:color w:val="0000FF"/>
          <w:sz w:val="20"/>
          <w:u w:val="single"/>
          <w:bdr w:val="double" w:sz="2" w:space="1" w:color="000000"/>
        </w:rPr>
        <w:t>component used in the calculation thereof) permanently or indefinitely ceases to provide all Available Tenors of such Benchmark (or such component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z w:val="20"/>
        </w:rPr>
        <w:t xml:space="preserve"> </w:t>
      </w:r>
      <w:r>
        <w:rPr>
          <w:rFonts w:ascii="Times New Roman" w:hAnsi="Times New Roman"/>
          <w:color w:val="0000FF"/>
          <w:sz w:val="20"/>
          <w:u w:val="single"/>
          <w:bdr w:val="double" w:sz="2" w:space="1" w:color="000000"/>
        </w:rPr>
        <w:t>in the case of clause (3) of the definition of “Benchmark Transition Event,” the</w:t>
      </w:r>
      <w:r>
        <w:rPr>
          <w:rFonts w:ascii="Times New Roman" w:hAnsi="Times New Roman"/>
          <w:sz w:val="20"/>
        </w:rPr>
        <w:t xml:space="preserve"> </w:t>
      </w:r>
      <w:r>
        <w:rPr>
          <w:rFonts w:ascii="Times New Roman" w:hAnsi="Times New Roman"/>
          <w:color w:val="0000FF"/>
          <w:sz w:val="20"/>
          <w:u w:val="single"/>
          <w:bdr w:val="double" w:sz="2" w:space="1" w:color="000000"/>
        </w:rPr>
        <w:t>date of the public statement or publication of information referenced therein; provided that such</w:t>
      </w:r>
      <w:r>
        <w:rPr>
          <w:rFonts w:ascii="Times New Roman" w:hAnsi="Times New Roman"/>
          <w:sz w:val="20"/>
        </w:rPr>
        <w:t xml:space="preserve"> </w:t>
      </w:r>
      <w:r>
        <w:rPr>
          <w:rFonts w:ascii="Times New Roman" w:hAnsi="Times New Roman"/>
          <w:color w:val="0000FF"/>
          <w:sz w:val="20"/>
          <w:u w:val="single"/>
          <w:bdr w:val="double" w:sz="2" w:space="1" w:color="000000"/>
        </w:rPr>
        <w:t>non-representativeness will be determined by reference to the most recent statement or publication</w:t>
      </w:r>
      <w:r>
        <w:rPr>
          <w:rFonts w:ascii="Times New Roman" w:hAnsi="Times New Roman"/>
          <w:sz w:val="20"/>
        </w:rPr>
        <w:t xml:space="preserve"> </w:t>
      </w:r>
      <w:r>
        <w:rPr>
          <w:rFonts w:ascii="Times New Roman" w:hAnsi="Times New Roman"/>
          <w:color w:val="0000FF"/>
          <w:sz w:val="20"/>
          <w:u w:val="single"/>
          <w:bdr w:val="double" w:sz="2" w:space="1" w:color="000000"/>
        </w:rPr>
        <w:t>referenced in such clause (3) and even if any Available Tenor of such Benchmark (or such component thereof) continues to be provided on such date; 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(3)</w:t>
      </w:r>
      <w:r>
        <w:rPr>
          <w:rFonts w:ascii="Times New Roman" w:hAnsi="Times New Roman"/>
          <w:sz w:val="20"/>
        </w:rPr>
        <w:t xml:space="preserve"> </w:t>
      </w:r>
      <w:r>
        <w:rPr>
          <w:rFonts w:ascii="Times New Roman" w:hAnsi="Times New Roman"/>
          <w:color w:val="0000FF"/>
          <w:sz w:val="20"/>
          <w:u w:val="single"/>
          <w:bdr w:val="double" w:sz="2" w:space="1" w:color="000000"/>
        </w:rPr>
        <w:t>in the case of an Early Opt-in Election, the sixth (6th) Business Day after the</w:t>
      </w:r>
      <w:r>
        <w:rPr>
          <w:rFonts w:ascii="Times New Roman" w:hAnsi="Times New Roman"/>
          <w:sz w:val="20"/>
        </w:rPr>
        <w:t xml:space="preserve"> </w:t>
      </w:r>
      <w:r>
        <w:rPr>
          <w:rFonts w:ascii="Times New Roman" w:hAnsi="Times New Roman"/>
          <w:color w:val="0000FF"/>
          <w:sz w:val="20"/>
          <w:u w:val="single"/>
          <w:bdr w:val="double" w:sz="2" w:space="1" w:color="000000"/>
        </w:rPr>
        <w:t>date notice of such Early Opt-in Election is provided to the Lenders, so long as the Administrative</w:t>
      </w:r>
      <w:r>
        <w:rPr>
          <w:rFonts w:ascii="Times New Roman" w:hAnsi="Times New Roman"/>
          <w:sz w:val="20"/>
        </w:rPr>
        <w:t xml:space="preserve"> </w:t>
      </w:r>
      <w:r>
        <w:rPr>
          <w:rFonts w:ascii="Times New Roman" w:hAnsi="Times New Roman"/>
          <w:color w:val="0000FF"/>
          <w:sz w:val="20"/>
          <w:u w:val="single"/>
          <w:bdr w:val="double" w:sz="2" w:space="1" w:color="000000"/>
        </w:rPr>
        <w:t>Agent has not received, by 5:00 p.m. (New York City time) on the fifth (5th) Business Day after the</w:t>
      </w:r>
      <w:r>
        <w:rPr>
          <w:rFonts w:ascii="Times New Roman" w:hAnsi="Times New Roman"/>
          <w:sz w:val="20"/>
        </w:rPr>
        <w:t xml:space="preserve"> </w:t>
      </w:r>
      <w:r>
        <w:rPr>
          <w:rFonts w:ascii="Times New Roman" w:hAnsi="Times New Roman"/>
          <w:color w:val="0000FF"/>
          <w:sz w:val="20"/>
          <w:u w:val="single"/>
          <w:bdr w:val="double" w:sz="2" w:space="1" w:color="000000"/>
        </w:rPr>
        <w:t>date notice of such Early Opt-in Election is provided to the Lenders, written notice of objection to such Early Opt-in Election from Lenders comprising the Required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For the avoidance of doubt, (i ) if the event giving rise to the Benchmark</w:t>
      </w:r>
      <w:r>
        <w:rPr>
          <w:rFonts w:ascii="Times New Roman" w:hAnsi="Times New Roman"/>
          <w:sz w:val="20"/>
        </w:rPr>
        <w:t xml:space="preserve"> </w:t>
      </w:r>
      <w:r>
        <w:rPr>
          <w:rFonts w:ascii="Times New Roman" w:hAnsi="Times New Roman"/>
          <w:color w:val="0000FF"/>
          <w:sz w:val="20"/>
          <w:u w:val="single"/>
          <w:bdr w:val="double" w:sz="2" w:space="1" w:color="000000"/>
        </w:rPr>
        <w:t>Replacement Date occurs on the same day as, but earlier than, the Reference Time in respect of</w:t>
      </w:r>
      <w:r>
        <w:rPr>
          <w:rFonts w:ascii="Times New Roman" w:hAnsi="Times New Roman"/>
          <w:sz w:val="20"/>
        </w:rPr>
        <w:t xml:space="preserve"> </w:t>
      </w:r>
      <w:r>
        <w:rPr>
          <w:rFonts w:ascii="Times New Roman" w:hAnsi="Times New Roman"/>
          <w:color w:val="0000FF"/>
          <w:sz w:val="20"/>
          <w:u w:val="single"/>
          <w:bdr w:val="double" w:sz="2" w:space="1" w:color="000000"/>
        </w:rPr>
        <w:t>any determination, the Benchmark Replacement Date will be deemed to have occurred prior to the</w:t>
      </w:r>
      <w:r>
        <w:rPr>
          <w:rFonts w:ascii="Times New Roman" w:hAnsi="Times New Roman"/>
          <w:sz w:val="20"/>
        </w:rPr>
        <w:t xml:space="preserve"> </w:t>
      </w:r>
      <w:r>
        <w:rPr>
          <w:rFonts w:ascii="Times New Roman" w:hAnsi="Times New Roman"/>
          <w:color w:val="0000FF"/>
          <w:sz w:val="20"/>
          <w:u w:val="single"/>
          <w:bdr w:val="double" w:sz="2" w:space="1" w:color="000000"/>
        </w:rPr>
        <w:t>Reference Time for such determination and (ii) the “Benchmark Replacement Date” will be</w:t>
      </w:r>
      <w:r>
        <w:rPr>
          <w:rFonts w:ascii="Times New Roman" w:hAnsi="Times New Roman"/>
          <w:sz w:val="20"/>
        </w:rPr>
        <w:t xml:space="preserve"> </w:t>
      </w:r>
      <w:r>
        <w:rPr>
          <w:rFonts w:ascii="Times New Roman" w:hAnsi="Times New Roman"/>
          <w:color w:val="0000FF"/>
          <w:sz w:val="20"/>
          <w:u w:val="single"/>
          <w:bdr w:val="double" w:sz="2" w:space="1" w:color="000000"/>
        </w:rPr>
        <w:t>deemed to have occurred in the case of clause (1) or (2) above with respect to any Benchmark upon the occurrence of the applicable event or events set forth therein solely to the extent such event applies to all then-current Available Tenors of such Benchmark (or the published component used in the calculation thereof).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Benchmark Transition Event ” means, with respect to any Benchmark, the occurrence of one or more of the following events with respect to such then-current Benchmark: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color w:val="0000FF"/>
          <w:sz w:val="20"/>
          <w:u w:val="single"/>
          <w:bdr w:val="double" w:sz="2" w:space="1" w:color="000000"/>
        </w:rPr>
        <w:t>a public statement or publication of information by or on behalf of the</w:t>
      </w:r>
      <w:r>
        <w:rPr>
          <w:rFonts w:ascii="Times New Roman" w:hAnsi="Times New Roman"/>
          <w:sz w:val="20"/>
        </w:rPr>
        <w:t xml:space="preserve"> </w:t>
      </w:r>
      <w:r>
        <w:rPr>
          <w:rFonts w:ascii="Times New Roman" w:hAnsi="Times New Roman"/>
          <w:color w:val="0000FF"/>
          <w:sz w:val="20"/>
          <w:u w:val="single"/>
          <w:bdr w:val="double" w:sz="2" w:space="1" w:color="000000"/>
        </w:rPr>
        <w:t>administrator of such Benchmark (or the published component used in the calculation thereof)</w:t>
      </w:r>
      <w:r>
        <w:rPr>
          <w:rFonts w:ascii="Times New Roman" w:hAnsi="Times New Roman"/>
          <w:sz w:val="20"/>
        </w:rPr>
        <w:t xml:space="preserve"> </w:t>
      </w:r>
      <w:r>
        <w:rPr>
          <w:rFonts w:ascii="Times New Roman" w:hAnsi="Times New Roman"/>
          <w:color w:val="0000FF"/>
          <w:sz w:val="20"/>
          <w:u w:val="single"/>
          <w:bdr w:val="double" w:sz="2" w:space="1" w:color="000000"/>
        </w:rPr>
        <w:t>announcing that such administrator has ceased or will cease to provide all Available Tenors of</w:t>
      </w:r>
      <w:r>
        <w:rPr>
          <w:rFonts w:ascii="Times New Roman" w:hAnsi="Times New Roman"/>
          <w:sz w:val="20"/>
        </w:rPr>
        <w:t xml:space="preserve"> </w:t>
      </w:r>
      <w:r>
        <w:rPr>
          <w:rFonts w:ascii="Times New Roman" w:hAnsi="Times New Roman"/>
          <w:color w:val="0000FF"/>
          <w:sz w:val="20"/>
          <w:u w:val="single"/>
          <w:bdr w:val="double" w:sz="2" w:space="1" w:color="000000"/>
        </w:rPr>
        <w:t>such Benchmark (or such component thereof), permanently or indefinitely, provided that, at the</w:t>
      </w:r>
      <w:r>
        <w:rPr>
          <w:rFonts w:ascii="Times New Roman" w:hAnsi="Times New Roman"/>
          <w:sz w:val="20"/>
        </w:rPr>
        <w:t xml:space="preserve"> </w:t>
      </w:r>
      <w:r>
        <w:rPr>
          <w:rFonts w:ascii="Times New Roman" w:hAnsi="Times New Roman"/>
          <w:color w:val="0000FF"/>
          <w:sz w:val="20"/>
          <w:u w:val="single"/>
          <w:bdr w:val="double" w:sz="2" w:space="1" w:color="000000"/>
        </w:rPr>
        <w:t>time of such statement or publication, there is no successor administrator that will continue to provide any Available Tenor of such Benchmark (or such component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z w:val="20"/>
        </w:rPr>
        <w:t xml:space="preserve"> </w:t>
      </w:r>
      <w:r>
        <w:rPr>
          <w:rFonts w:ascii="Times New Roman" w:hAnsi="Times New Roman"/>
          <w:color w:val="0000FF"/>
          <w:sz w:val="20"/>
          <w:u w:val="single"/>
          <w:bdr w:val="double" w:sz="2" w:space="1" w:color="000000"/>
        </w:rPr>
        <w:t>a public statement or publication of information by the regulatory supervisor</w:t>
      </w:r>
      <w:r>
        <w:rPr>
          <w:rFonts w:ascii="Times New Roman" w:hAnsi="Times New Roman"/>
          <w:sz w:val="20"/>
        </w:rPr>
        <w:t xml:space="preserve"> </w:t>
      </w:r>
      <w:r>
        <w:rPr>
          <w:rFonts w:ascii="Times New Roman" w:hAnsi="Times New Roman"/>
          <w:color w:val="0000FF"/>
          <w:sz w:val="20"/>
          <w:u w:val="single"/>
          <w:bdr w:val="double" w:sz="2" w:space="1" w:color="000000"/>
        </w:rPr>
        <w:t>for the administrator of such Benchmark (or the published component used in the calculation</w:t>
      </w:r>
      <w:r>
        <w:rPr>
          <w:rFonts w:ascii="Times New Roman" w:hAnsi="Times New Roman"/>
          <w:sz w:val="20"/>
        </w:rPr>
        <w:t xml:space="preserve"> </w:t>
      </w:r>
      <w:r>
        <w:rPr>
          <w:rFonts w:ascii="Times New Roman" w:hAnsi="Times New Roman"/>
          <w:color w:val="0000FF"/>
          <w:sz w:val="20"/>
          <w:u w:val="single"/>
          <w:bdr w:val="double" w:sz="2" w:space="1" w:color="000000"/>
        </w:rPr>
        <w:t>thereof), the Federal Reserve Board, the NYFRB, an insolvency official with jurisdiction over the</w:t>
      </w:r>
      <w:r>
        <w:rPr>
          <w:rFonts w:ascii="Times New Roman" w:hAnsi="Times New Roman"/>
          <w:sz w:val="20"/>
        </w:rPr>
        <w:t xml:space="preserve"> </w:t>
      </w:r>
      <w:r>
        <w:rPr>
          <w:rFonts w:ascii="Times New Roman" w:hAnsi="Times New Roman"/>
          <w:color w:val="0000FF"/>
          <w:sz w:val="20"/>
          <w:u w:val="single"/>
          <w:bdr w:val="double" w:sz="2" w:space="1" w:color="000000"/>
        </w:rPr>
        <w:t>administrator for such Benchmark (or such component), a resolution authority with jurisdiction</w:t>
      </w:r>
      <w:r>
        <w:rPr>
          <w:rFonts w:ascii="Times New Roman" w:hAnsi="Times New Roman"/>
          <w:sz w:val="20"/>
        </w:rPr>
        <w:t xml:space="preserve"> </w:t>
      </w:r>
      <w:r>
        <w:rPr>
          <w:rFonts w:ascii="Times New Roman" w:hAnsi="Times New Roman"/>
          <w:color w:val="0000FF"/>
          <w:sz w:val="20"/>
          <w:u w:val="single"/>
          <w:bdr w:val="double" w:sz="2" w:space="1" w:color="000000"/>
        </w:rPr>
        <w:t>over the administrator for such Benchmark (or such component) or a court or an entity with</w:t>
      </w:r>
      <w:r>
        <w:rPr>
          <w:rFonts w:ascii="Times New Roman" w:hAnsi="Times New Roman"/>
          <w:sz w:val="20"/>
        </w:rPr>
        <w:t xml:space="preserve"> </w:t>
      </w:r>
      <w:r>
        <w:rPr>
          <w:rFonts w:ascii="Times New Roman" w:hAnsi="Times New Roman"/>
          <w:color w:val="0000FF"/>
          <w:sz w:val="20"/>
          <w:u w:val="single"/>
          <w:bdr w:val="double" w:sz="2" w:space="1" w:color="000000"/>
        </w:rPr>
        <w:t>similar insolvency or resolution authority over the administrator for such Benchmark (or such</w:t>
      </w:r>
      <w:r>
        <w:rPr>
          <w:rFonts w:ascii="Times New Roman" w:hAnsi="Times New Roman"/>
          <w:sz w:val="20"/>
        </w:rPr>
        <w:t xml:space="preserve"> </w:t>
      </w:r>
      <w:r>
        <w:rPr>
          <w:rFonts w:ascii="Times New Roman" w:hAnsi="Times New Roman"/>
          <w:color w:val="0000FF"/>
          <w:sz w:val="20"/>
          <w:u w:val="single"/>
          <w:bdr w:val="double" w:sz="2" w:space="1" w:color="000000"/>
        </w:rPr>
        <w:t>component), in each case which states that the administrator of such Benchmark (or such</w:t>
      </w:r>
      <w:r>
        <w:rPr>
          <w:rFonts w:ascii="Times New Roman" w:hAnsi="Times New Roman"/>
          <w:sz w:val="20"/>
        </w:rPr>
        <w:t xml:space="preserve"> </w:t>
      </w:r>
      <w:r>
        <w:rPr>
          <w:rFonts w:ascii="Times New Roman" w:hAnsi="Times New Roman"/>
          <w:color w:val="0000FF"/>
          <w:sz w:val="20"/>
          <w:u w:val="single"/>
          <w:bdr w:val="double" w:sz="2" w:space="1" w:color="000000"/>
        </w:rPr>
        <w:t>component) has ceased or will cease to provide all Available Tenors of such Benchmark (or such</w:t>
      </w:r>
      <w:r>
        <w:rPr>
          <w:rFonts w:ascii="Times New Roman" w:hAnsi="Times New Roman"/>
          <w:sz w:val="20"/>
        </w:rPr>
        <w:t xml:space="preserve"> </w:t>
      </w:r>
      <w:r>
        <w:rPr>
          <w:rFonts w:ascii="Times New Roman" w:hAnsi="Times New Roman"/>
          <w:color w:val="0000FF"/>
          <w:sz w:val="20"/>
          <w:u w:val="single"/>
          <w:bdr w:val="double" w:sz="2" w:space="1" w:color="000000"/>
        </w:rPr>
        <w:t>component thereof) permanently or indefinitely; provided that, at the time of such statement or</w:t>
      </w:r>
      <w:r>
        <w:rPr>
          <w:rFonts w:ascii="Times New Roman" w:hAnsi="Times New Roman"/>
          <w:sz w:val="20"/>
        </w:rPr>
        <w:t xml:space="preserve"> </w:t>
      </w:r>
      <w:r>
        <w:rPr>
          <w:rFonts w:ascii="Times New Roman" w:hAnsi="Times New Roman"/>
          <w:color w:val="0000FF"/>
          <w:sz w:val="20"/>
          <w:u w:val="single"/>
          <w:bdr w:val="double" w:sz="2" w:space="1" w:color="000000"/>
        </w:rPr>
        <w:t>publication, there is no successor administrator that will continue to provide any Available Tenor of such Benchmark (or such component thereof); 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(3) a public statement or publication of information by the regulatory supervisor</w:t>
      </w:r>
      <w:r>
        <w:rPr>
          <w:rFonts w:ascii="Times New Roman" w:hAnsi="Times New Roman"/>
          <w:sz w:val="20"/>
        </w:rPr>
        <w:t xml:space="preserve"> </w:t>
      </w:r>
      <w:r>
        <w:rPr>
          <w:rFonts w:ascii="Times New Roman" w:hAnsi="Times New Roman"/>
          <w:color w:val="0000FF"/>
          <w:sz w:val="20"/>
          <w:u w:val="single"/>
          <w:bdr w:val="double" w:sz="2" w:space="1" w:color="000000"/>
        </w:rPr>
        <w:t>for the administrator of such Benchmark (or the published component used in the calculation</w:t>
      </w:r>
      <w:r>
        <w:rPr>
          <w:rFonts w:ascii="Times New Roman" w:hAnsi="Times New Roman"/>
          <w:sz w:val="20"/>
        </w:rPr>
        <w:t xml:space="preserve"> </w:t>
      </w:r>
      <w:r>
        <w:rPr>
          <w:rFonts w:ascii="Times New Roman" w:hAnsi="Times New Roman"/>
          <w:color w:val="0000FF"/>
          <w:sz w:val="20"/>
          <w:u w:val="single"/>
          <w:bdr w:val="double" w:sz="2" w:space="1" w:color="000000"/>
        </w:rPr>
        <w:t>thereof) announcing that all Available Tenors of such Benchmark (or such component thereof) are not, or as of a specified future date will not be,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For</w:t>
      </w:r>
      <w:r>
        <w:rPr>
          <w:rFonts w:ascii="Times New Roman" w:hAnsi="Times New Roman"/>
          <w:sz w:val="20"/>
        </w:rPr>
        <w:t xml:space="preserve"> </w:t>
      </w:r>
      <w:r>
        <w:rPr>
          <w:rFonts w:ascii="Times New Roman" w:hAnsi="Times New Roman"/>
          <w:color w:val="0000FF"/>
          <w:sz w:val="20"/>
          <w:u w:val="single"/>
          <w:bdr w:val="double" w:sz="2" w:space="1" w:color="000000"/>
        </w:rPr>
        <w:t>the avoidance of doubt, a “Benchmark Transition Event” will be deemed to</w:t>
      </w:r>
      <w:r>
        <w:rPr>
          <w:rFonts w:ascii="Times New Roman" w:hAnsi="Times New Roman"/>
          <w:sz w:val="20"/>
        </w:rPr>
        <w:t xml:space="preserve"> </w:t>
      </w:r>
      <w:r>
        <w:rPr>
          <w:rFonts w:ascii="Times New Roman" w:hAnsi="Times New Roman"/>
          <w:color w:val="0000FF"/>
          <w:sz w:val="20"/>
          <w:u w:val="single"/>
          <w:bdr w:val="double" w:sz="2" w:space="1" w:color="000000"/>
        </w:rPr>
        <w:t>have occurred with respect to any Benchmark if a public statement or publication of information</w:t>
      </w:r>
      <w:r>
        <w:rPr>
          <w:rFonts w:ascii="Times New Roman" w:hAnsi="Times New Roman"/>
          <w:sz w:val="20"/>
        </w:rPr>
        <w:t xml:space="preserve"> </w:t>
      </w:r>
      <w:r>
        <w:rPr>
          <w:rFonts w:ascii="Times New Roman" w:hAnsi="Times New Roman"/>
          <w:color w:val="0000FF"/>
          <w:sz w:val="20"/>
          <w:u w:val="single"/>
          <w:bdr w:val="double" w:sz="2" w:space="1" w:color="000000"/>
        </w:rPr>
        <w:t>set forth above has occurred with respect to each then-current Available Tenor of such Benchmark (or the published component used in the calculation thereof).</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Benchmark Unavailability Period” means, with respect to any Benchmark, the</w:t>
      </w:r>
      <w:r>
        <w:rPr>
          <w:rFonts w:ascii="Times New Roman" w:hAnsi="Times New Roman"/>
          <w:sz w:val="20"/>
        </w:rPr>
        <w:t xml:space="preserve"> </w:t>
      </w:r>
      <w:r>
        <w:rPr>
          <w:rFonts w:ascii="Times New Roman" w:hAnsi="Times New Roman"/>
          <w:color w:val="0000FF"/>
          <w:sz w:val="20"/>
          <w:u w:val="single"/>
          <w:bdr w:val="double" w:sz="2" w:space="1" w:color="000000"/>
        </w:rPr>
        <w:t>period (if any) (x) beginning at the time that a Benchmark Replacement Date pursuant to clause</w:t>
      </w:r>
      <w:r>
        <w:rPr>
          <w:rFonts w:ascii="Times New Roman" w:hAnsi="Times New Roman"/>
          <w:sz w:val="20"/>
        </w:rPr>
        <w:t xml:space="preserve"> </w:t>
      </w:r>
      <w:r>
        <w:rPr>
          <w:rFonts w:ascii="Times New Roman" w:hAnsi="Times New Roman"/>
          <w:color w:val="0000FF"/>
          <w:sz w:val="20"/>
          <w:u w:val="single"/>
          <w:bdr w:val="double" w:sz="2" w:space="1" w:color="000000"/>
        </w:rPr>
        <w:t>(1) or (2) of that definition has occurred if, at such time, no Benchmark Replacement has replaced</w:t>
      </w:r>
      <w:r>
        <w:rPr>
          <w:rFonts w:ascii="Times New Roman" w:hAnsi="Times New Roman"/>
          <w:sz w:val="20"/>
        </w:rPr>
        <w:t xml:space="preserve"> </w:t>
      </w:r>
      <w:r>
        <w:rPr>
          <w:rFonts w:ascii="Times New Roman" w:hAnsi="Times New Roman"/>
          <w:color w:val="0000FF"/>
          <w:sz w:val="20"/>
          <w:u w:val="single"/>
          <w:bdr w:val="double" w:sz="2" w:space="1" w:color="000000"/>
        </w:rPr>
        <w:t>such then-current Benchmark for all purposes hereunder and under any Loan Document in</w:t>
      </w:r>
      <w:r>
        <w:rPr>
          <w:rFonts w:ascii="Times New Roman" w:hAnsi="Times New Roman"/>
          <w:sz w:val="20"/>
        </w:rPr>
        <w:t xml:space="preserve"> </w:t>
      </w:r>
      <w:r>
        <w:rPr>
          <w:rFonts w:ascii="Times New Roman" w:hAnsi="Times New Roman"/>
          <w:color w:val="0000FF"/>
          <w:sz w:val="20"/>
          <w:u w:val="single"/>
          <w:bdr w:val="double" w:sz="2" w:space="1" w:color="000000"/>
        </w:rPr>
        <w:t>accordance with Section 2.13 and (y) ending at the time that a Benchmark Replacement has</w:t>
      </w:r>
      <w:r>
        <w:rPr>
          <w:rFonts w:ascii="Times New Roman" w:hAnsi="Times New Roman"/>
          <w:sz w:val="20"/>
        </w:rPr>
        <w:t xml:space="preserve"> </w:t>
      </w:r>
      <w:r>
        <w:rPr>
          <w:rFonts w:ascii="Times New Roman" w:hAnsi="Times New Roman"/>
          <w:color w:val="0000FF"/>
          <w:sz w:val="20"/>
          <w:u w:val="single"/>
          <w:bdr w:val="double" w:sz="2" w:space="1" w:color="000000"/>
        </w:rPr>
        <w:t>replaced such then-current Benchmark for all purposes hereunder and under any Loan Document in accordance with Section 2.13.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left"/>
        <w:rPr/>
      </w:pPr>
      <w:r>
        <w:rPr/>
        <w:t>“</w:t>
      </w:r>
      <w:r>
        <w:rPr>
          <w:rFonts w:ascii="Times New Roman" w:hAnsi="Times New Roman"/>
          <w:sz w:val="20"/>
          <w:u w:val="single"/>
        </w:rPr>
        <w:t>Bidco</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 </w:t>
      </w:r>
    </w:p>
    <w:p>
      <w:pPr>
        <w:pStyle w:val="TextBody"/>
        <w:bidi w:val="0"/>
        <w:spacing w:before="240" w:after="0"/>
        <w:jc w:val="left"/>
        <w:rPr/>
      </w:pPr>
      <w:r>
        <w:rPr/>
        <w:t>“</w:t>
      </w:r>
      <w:r>
        <w:rPr>
          <w:rFonts w:ascii="Times New Roman" w:hAnsi="Times New Roman"/>
          <w:sz w:val="20"/>
          <w:u w:val="single"/>
        </w:rPr>
        <w:t>Board of Governors</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Borrower-Designated Guarantor</w:t>
      </w:r>
      <w:r>
        <w:rPr>
          <w:rFonts w:ascii="Times New Roman" w:hAnsi="Times New Roman"/>
          <w:sz w:val="20"/>
        </w:rPr>
        <w:t xml:space="preserve">” has the meaning assigned to such term in </w:t>
      </w:r>
      <w:r>
        <w:rPr>
          <w:rFonts w:ascii="Times New Roman" w:hAnsi="Times New Roman"/>
          <w:sz w:val="20"/>
          <w:u w:val="single"/>
        </w:rPr>
        <w:t>Section 5.11(a)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Offer of Specified Discount Prepayment</w:t>
      </w:r>
      <w:r>
        <w:rPr>
          <w:rFonts w:ascii="Times New Roman" w:hAnsi="Times New Roman"/>
          <w:sz w:val="20"/>
        </w:rPr>
        <w:t xml:space="preserve">” means the offer by the Borrower to make a voluntary prepayment of Term Loans at a Specified Discount to par pursuant to </w:t>
      </w:r>
      <w:r>
        <w:rPr>
          <w:rFonts w:ascii="Times New Roman" w:hAnsi="Times New Roman"/>
          <w:sz w:val="20"/>
          <w:u w:val="single"/>
        </w:rPr>
        <w:t>Section 2.10(a)(ii)(B)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Representative</w:t>
      </w:r>
      <w:r>
        <w:rPr>
          <w:rFonts w:ascii="Times New Roman" w:hAnsi="Times New Roman"/>
          <w:sz w:val="20"/>
        </w:rPr>
        <w:t xml:space="preserve">” has the meaning assigned to such term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Borrower Solicitation of Discount Range Prepayment Offers</w:t>
      </w:r>
      <w:r>
        <w:rPr>
          <w:rFonts w:ascii="Times New Roman" w:hAnsi="Times New Roman"/>
          <w:sz w:val="20"/>
        </w:rPr>
        <w:t xml:space="preserve">” means the solicitation by the Borrower Representative of offers for, and the corresponding acceptance by a Term Lender of, a voluntary prepayment of Term Loans at a specified range at a discount to par pursuant to </w:t>
      </w:r>
      <w:r>
        <w:rPr>
          <w:rFonts w:ascii="Times New Roman" w:hAnsi="Times New Roman"/>
          <w:sz w:val="20"/>
          <w:u w:val="single"/>
        </w:rPr>
        <w:t>Section 2.10(a)(ii)(C)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Solicitation of Discounted Prepayment Offers</w:t>
      </w:r>
      <w:r>
        <w:rPr>
          <w:rFonts w:ascii="Times New Roman" w:hAnsi="Times New Roman"/>
          <w:sz w:val="20"/>
        </w:rPr>
        <w:t xml:space="preserve">” means the solicitation by the Borrower Representative of offers for, and the subsequent acceptance, if any, by a Term Lender of, a voluntary prepayment of Term Loans at a discount to par pursuant to </w:t>
      </w:r>
      <w:r>
        <w:rPr>
          <w:rFonts w:ascii="Times New Roman" w:hAnsi="Times New Roman"/>
          <w:sz w:val="20"/>
          <w:u w:val="single"/>
        </w:rPr>
        <w:t>Section 2.10(a)(ii)(D)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 Tax Jurisdiction</w:t>
      </w:r>
      <w:r>
        <w:rPr>
          <w:rFonts w:ascii="Times New Roman" w:hAnsi="Times New Roman"/>
          <w:sz w:val="20"/>
        </w:rPr>
        <w:t xml:space="preserve">” means, as regards the relevant Borrower, that Borrower’s jurisdiction of incorporation unless that Borrower is incorporated in Guernsey, in which case its Borrower Tax Jurisdiction shall be the United Kingdom.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Loans of the same Class and Type, made, converted or continued on the same date and, in the case of Eurodollar Loans, </w:t>
      </w:r>
      <w:r>
        <w:rPr>
          <w:rFonts w:ascii="Times New Roman" w:hAnsi="Times New Roman"/>
          <w:color w:val="0000FF"/>
          <w:sz w:val="20"/>
          <w:u w:val="single"/>
          <w:bdr w:val="double" w:sz="2" w:space="1" w:color="000000"/>
        </w:rPr>
        <w:t xml:space="preserve">Term Benchmark Loans and RFR Loans, </w:t>
      </w:r>
      <w:r>
        <w:rPr>
          <w:rFonts w:ascii="Times New Roman" w:hAnsi="Times New Roman"/>
          <w:sz w:val="20"/>
        </w:rPr>
        <w:t xml:space="preserve">as to which a single Interest Period is in effect or (b) a Swingline Loan. </w:t>
      </w:r>
    </w:p>
    <w:p>
      <w:pPr>
        <w:pStyle w:val="TextBody"/>
        <w:bidi w:val="0"/>
        <w:spacing w:before="240" w:after="0"/>
        <w:jc w:val="left"/>
        <w:rPr/>
      </w:pPr>
      <w:r>
        <w:rPr/>
        <w:t>“</w:t>
      </w:r>
      <w:r>
        <w:rPr>
          <w:rFonts w:ascii="Times New Roman" w:hAnsi="Times New Roman"/>
          <w:sz w:val="20"/>
          <w:u w:val="single"/>
        </w:rPr>
        <w:t>Borrowing Minimum</w:t>
      </w:r>
      <w:r>
        <w:rPr>
          <w:rFonts w:ascii="Times New Roman" w:hAnsi="Times New Roman"/>
          <w:sz w:val="20"/>
        </w:rPr>
        <w:t xml:space="preserve">” means (a) in the case of a Eurodollar </w:t>
      </w:r>
      <w:r>
        <w:rPr>
          <w:rFonts w:ascii="Times New Roman" w:hAnsi="Times New Roman"/>
          <w:color w:val="0000FF"/>
          <w:sz w:val="20"/>
          <w:u w:val="single"/>
          <w:bdr w:val="double" w:sz="2" w:space="1" w:color="000000"/>
        </w:rPr>
        <w:t>or Term Benchmark</w:t>
      </w:r>
      <w:r>
        <w:rPr>
          <w:rFonts w:ascii="Times New Roman" w:hAnsi="Times New Roman"/>
          <w:sz w:val="20"/>
        </w:rPr>
        <w:t xml:space="preserve"> Revolving Borrowing, $1,000,000, (b) in the case of an ABR Revolving Borrowing, $500,000 and (c) in the case of a Swingline Loan, $100,000. </w:t>
      </w:r>
    </w:p>
    <w:p>
      <w:pPr>
        <w:pStyle w:val="TextBody"/>
        <w:bidi w:val="0"/>
        <w:spacing w:before="240" w:after="0"/>
        <w:jc w:val="left"/>
        <w:rPr/>
      </w:pPr>
      <w:r>
        <w:rPr/>
        <w:t>“</w:t>
      </w:r>
      <w:r>
        <w:rPr>
          <w:rFonts w:ascii="Times New Roman" w:hAnsi="Times New Roman"/>
          <w:sz w:val="20"/>
          <w:u w:val="single"/>
        </w:rPr>
        <w:t>Borrowing Multiple</w:t>
      </w:r>
      <w:r>
        <w:rPr>
          <w:rFonts w:ascii="Times New Roman" w:hAnsi="Times New Roman"/>
          <w:sz w:val="20"/>
        </w:rPr>
        <w:t xml:space="preserve">” means (a) in the case of a Eurodollar </w:t>
      </w:r>
      <w:r>
        <w:rPr>
          <w:rFonts w:ascii="Times New Roman" w:hAnsi="Times New Roman"/>
          <w:color w:val="0000FF"/>
          <w:sz w:val="20"/>
          <w:u w:val="single"/>
          <w:bdr w:val="double" w:sz="2" w:space="1" w:color="000000"/>
        </w:rPr>
        <w:t>or Term Benchmark</w:t>
      </w:r>
      <w:r>
        <w:rPr>
          <w:rFonts w:ascii="Times New Roman" w:hAnsi="Times New Roman"/>
          <w:sz w:val="20"/>
        </w:rPr>
        <w:t xml:space="preserve"> Revolving Borrowing, $1,000,000, (b) in the case of an ABR Revolving Borrowing, $500,000 and (c) in the case of a Swingline Loan, $100,000.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left"/>
        <w:rPr/>
      </w:pPr>
      <w:r>
        <w:rPr/>
        <w:t>“</w:t>
      </w:r>
      <w:r>
        <w:rPr>
          <w:rFonts w:ascii="Times New Roman" w:hAnsi="Times New Roman"/>
          <w:sz w:val="20"/>
          <w:u w:val="single"/>
        </w:rPr>
        <w:t>Borrowing Request</w:t>
      </w:r>
      <w:r>
        <w:rPr>
          <w:rFonts w:ascii="Times New Roman" w:hAnsi="Times New Roman"/>
          <w:sz w:val="20"/>
        </w:rPr>
        <w:t xml:space="preserve">” means a request by a Borrower for a Borrowing in accordance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London, Luxembourg and/or Guernsey are authorized or required by law to remain closed;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 xml:space="preserve">w) in relation to Loans denominated in U.S. Dollars and in relation to the calculation or computation of Term SOFR,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b/>
          <w:color w:val="0000FF"/>
          <w:sz w:val="20"/>
          <w:u w:val="single"/>
          <w:bdr w:val="double" w:sz="2" w:space="1" w:color="000000"/>
        </w:rPr>
        <w:t>(</w:t>
      </w:r>
      <w:r>
        <w:rPr>
          <w:rFonts w:ascii="Times New Roman" w:hAnsi="Times New Roman"/>
          <w:sz w:val="20"/>
        </w:rPr>
        <w:t xml:space="preserve">x) when used in connection with a Eurodollar Loan denominated in Canadian Dollars, the term “Business Day” shall also exclude any day on which banks are not open for dealings in Canadian Dollar deposits in the Toronto interbank market, (y) when used in connection with a Eurodollar Loan denominated in Euros, the term “Business Day” shall also exclude any day on which the TARGET2 payment system is not open and (z) </w:t>
      </w:r>
      <w:r>
        <w:rPr>
          <w:rFonts w:ascii="Times New Roman" w:hAnsi="Times New Roman"/>
          <w:color w:val="0000FF"/>
          <w:sz w:val="20"/>
          <w:u w:val="single"/>
          <w:bdr w:val="double" w:sz="2" w:space="1" w:color="000000"/>
        </w:rPr>
        <w:t xml:space="preserve">in relation to RFR Loans and any interest rate settings, fundings, disbursements, settlements or payments of any such RFR Loan, or any other dealings in Sterling, shall mean any such day that is an RFR Business Day, and </w:t>
      </w:r>
      <w:r>
        <w:rPr>
          <w:rFonts w:ascii="Times New Roman" w:hAnsi="Times New Roman"/>
          <w:sz w:val="20"/>
        </w:rPr>
        <w:t xml:space="preserve">with respect to all notices and determinations in connection with, and payments of principal and interest on or with respect to, Loans denominated in any Alternative Currency, any day that is a Business Day which is not a legal holiday or a day on which banking institutions are authorized or required by Requirements of Law or other governmental action to remain closed in the country of issuance of the applicable currency.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shall mean the lawful currency of Canada.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or shares in the capital of such corporation;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or membership interests (whether general or limited);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but excluding from all of the foregoing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sz w:val="20"/>
          <w:u w:val="single"/>
        </w:rPr>
        <w:t>Capitalized Amount</w:t>
      </w:r>
      <w:r>
        <w:rPr>
          <w:rFonts w:ascii="Times New Roman" w:hAnsi="Times New Roman"/>
          <w:sz w:val="20"/>
        </w:rPr>
        <w:t xml:space="preserve">” means, as at the relevant date of determination, the sum of the amount of (a) the Equity Contributions and (b) the Senior Secured Notes actually issued, and the Initial Term Loans and Revolving Loans actually funded, on or prior to such date (excluding, in each case, (x) the aggregate gross proceeds of the Senior Secured Notes, the Initial Term Loans and the Revolving Loans to fund original issue discount or upfront fees and (y) any amounts drawn under the Revolving Facility on or prior to such date for working capital purposes). </w:t>
      </w:r>
    </w:p>
    <w:p>
      <w:pPr>
        <w:pStyle w:val="TextBody"/>
        <w:bidi w:val="0"/>
        <w:spacing w:before="240" w:after="0"/>
        <w:jc w:val="left"/>
        <w:rPr/>
      </w:pPr>
      <w:r>
        <w:rPr/>
        <w:t>“</w:t>
      </w:r>
      <w:r>
        <w:rPr>
          <w:rFonts w:ascii="Times New Roman" w:hAnsi="Times New Roman"/>
          <w:sz w:val="20"/>
          <w:u w:val="single"/>
        </w:rPr>
        <w:t>Capitalized Lease Obligations</w:t>
      </w:r>
      <w:r>
        <w:rPr>
          <w:rFonts w:ascii="Times New Roman" w:hAnsi="Times New Roman"/>
          <w:sz w:val="20"/>
        </w:rPr>
        <w:t xml:space="preserve">” means, at the time any determination thereof is to be made, the amount of the liability in respect of a Capitalized Lease that would at such time be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left"/>
        <w:rPr>
          <w:rFonts w:ascii="Times New Roman" w:hAnsi="Times New Roman"/>
          <w:sz w:val="20"/>
        </w:rPr>
      </w:pPr>
      <w:r>
        <w:rPr>
          <w:rFonts w:ascii="Times New Roman" w:hAnsi="Times New Roman"/>
          <w:sz w:val="20"/>
        </w:rPr>
        <w:t xml:space="preserve">be capitalized and reflected as a liability on a balance sheet (excluding the footnotes thereto) prepared in accordance with IFRS; </w:t>
      </w:r>
      <w:r>
        <w:rPr>
          <w:rFonts w:ascii="Times New Roman" w:hAnsi="Times New Roman"/>
          <w:sz w:val="20"/>
          <w:u w:val="single"/>
        </w:rPr>
        <w:t>provided</w:t>
      </w:r>
      <w:r>
        <w:rPr>
          <w:rFonts w:ascii="Times New Roman" w:hAnsi="Times New Roman"/>
          <w:sz w:val="20"/>
        </w:rPr>
        <w:t xml:space="preserve"> that all obligations of any Person that are or would have been characterized as an operating lease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regardless of any change in IFRS following such date that would otherwise require such obligation to be recharacterized as a Capitalized Lease Obligation, to the extent that financial reporting shall not be affected hereby. </w:t>
      </w:r>
    </w:p>
    <w:p>
      <w:pPr>
        <w:pStyle w:val="TextBody"/>
        <w:bidi w:val="0"/>
        <w:spacing w:before="240" w:after="0"/>
        <w:jc w:val="left"/>
        <w:rPr/>
      </w:pPr>
      <w:r>
        <w:rPr/>
        <w:t>“</w:t>
      </w:r>
      <w:r>
        <w:rPr>
          <w:rFonts w:ascii="Times New Roman" w:hAnsi="Times New Roman"/>
          <w:sz w:val="20"/>
          <w:u w:val="single"/>
        </w:rPr>
        <w:t>Capitalized Leases</w:t>
      </w:r>
      <w:r>
        <w:rPr>
          <w:rFonts w:ascii="Times New Roman" w:hAnsi="Times New Roman"/>
          <w:sz w:val="20"/>
        </w:rPr>
        <w:t xml:space="preserve">” means all leases that have been or should be, in accordance with IFRS as in effect on the Effective Date, recorded as capitalized leases; </w:t>
      </w:r>
      <w:r>
        <w:rPr>
          <w:rFonts w:ascii="Times New Roman" w:hAnsi="Times New Roman"/>
          <w:sz w:val="20"/>
          <w:u w:val="single"/>
        </w:rPr>
        <w:t>provided</w:t>
      </w:r>
      <w:r>
        <w:rPr>
          <w:rFonts w:ascii="Times New Roman" w:hAnsi="Times New Roman"/>
          <w:sz w:val="20"/>
        </w:rPr>
        <w:t xml:space="preserve"> that for all purposes hereunder the amount of obligations under any Capitalized Lease shall be the amount thereof accounted for as a liability in accordance with IFRS;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leases of such Person that are or would have been characterized as operating leases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notwithstanding the fact that such obligations are required in accordance with IFRS (on a prospective or retroactive basis or otherwise) to be characterized as capitalized lease obligations in the financial statements to be delivered pursuant to the Loan Documents. </w:t>
      </w:r>
    </w:p>
    <w:p>
      <w:pPr>
        <w:pStyle w:val="TextBody"/>
        <w:bidi w:val="0"/>
        <w:spacing w:before="240" w:after="0"/>
        <w:jc w:val="left"/>
        <w:rPr/>
      </w:pPr>
      <w:r>
        <w:rPr/>
        <w:t>“</w:t>
      </w:r>
      <w:r>
        <w:rPr>
          <w:rFonts w:ascii="Times New Roman" w:hAnsi="Times New Roman"/>
          <w:sz w:val="20"/>
          <w:u w:val="single"/>
        </w:rPr>
        <w:t>Capitalized Software Expenditures</w:t>
      </w:r>
      <w:r>
        <w:rPr>
          <w:rFonts w:ascii="Times New Roman" w:hAnsi="Times New Roman"/>
          <w:sz w:val="20"/>
        </w:rPr>
        <w:t xml:space="preserve">” means, for any period, the aggregate of all expenditures (whether paid in cash or accrued as liabilities) by Bidco and the Restricted Subsidiaries during such period in respect of purchased software or internally developed software and software enhancements that, in conformity with IFRS, are or are required to be reflected as capitalized costs on the consolidated balance sheet of Bidco and the Restricted Subsidiaries.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United States dollars; </w:t>
      </w:r>
    </w:p>
    <w:p>
      <w:pPr>
        <w:pStyle w:val="TextBody"/>
        <w:bidi w:val="0"/>
        <w:spacing w:before="120" w:after="0"/>
        <w:jc w:val="left"/>
        <w:rPr>
          <w:rFonts w:ascii="Times New Roman" w:hAnsi="Times New Roman"/>
          <w:sz w:val="20"/>
        </w:rPr>
      </w:pPr>
      <w:r>
        <w:rPr>
          <w:rFonts w:ascii="Times New Roman" w:hAnsi="Times New Roman"/>
          <w:sz w:val="20"/>
        </w:rPr>
        <w:t xml:space="preserve">(2)     (a) Canadian Dollars, Yen, pounds sterling, euros, or any national currency of any participating member state of the EMU or (b) in the case of any Foreign Subsidiary, such local currencies held by it from time to time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     securities issued or directly and fully and unconditionally guaranteed or insured by the U.S. government or any agency or instrumentality thereof, Canada, Switzerland, a member of the European Union rated “A” (or the equivalent thereof) or better by S&amp;P and A2 (or the equivalent thereof) or better by Moody’s, the securities of which are unconditionally guaranteed as a full faith and credit obligation of such government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$250,000,000 in the case of U.S. banks or $100,000,000 (or the Dollar Equivalent as of the date of determination) in the case of non-U.S. banks (any such bank being an “</w:t>
      </w:r>
      <w:r>
        <w:rPr>
          <w:rFonts w:ascii="Times New Roman" w:hAnsi="Times New Roman"/>
          <w:sz w:val="20"/>
          <w:u w:val="single"/>
        </w:rPr>
        <w:t>Approved Bank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left"/>
        <w:rPr>
          <w:rFonts w:ascii="Times New Roman" w:hAnsi="Times New Roman"/>
          <w:sz w:val="20"/>
        </w:rPr>
      </w:pPr>
      <w:r>
        <w:rPr>
          <w:rFonts w:ascii="Times New Roman" w:hAnsi="Times New Roman"/>
          <w:sz w:val="20"/>
        </w:rPr>
        <w:t xml:space="preserve">(5)     repurchase obligations for underlying securities of the types described in clause (3), (4) or (7) entered into with any financial institution or recognized securities dealer meeting the qualifications specified in clause (4) above; </w:t>
      </w:r>
    </w:p>
    <w:p>
      <w:pPr>
        <w:pStyle w:val="TextBody"/>
        <w:bidi w:val="0"/>
        <w:spacing w:before="120" w:after="0"/>
        <w:jc w:val="left"/>
        <w:rPr>
          <w:rFonts w:ascii="Times New Roman" w:hAnsi="Times New Roman"/>
          <w:sz w:val="20"/>
        </w:rPr>
      </w:pPr>
      <w:r>
        <w:rPr>
          <w:rFonts w:ascii="Times New Roman" w:hAnsi="Times New Roman"/>
          <w:sz w:val="20"/>
        </w:rPr>
        <w:t xml:space="preserve">(6)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(7)     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left"/>
        <w:rPr>
          <w:rFonts w:ascii="Times New Roman" w:hAnsi="Times New Roman"/>
          <w:sz w:val="20"/>
        </w:rPr>
      </w:pPr>
      <w:r>
        <w:rPr>
          <w:rFonts w:ascii="Times New Roman" w:hAnsi="Times New Roman"/>
          <w:sz w:val="20"/>
        </w:rPr>
        <w:t xml:space="preserve">(8)     readily marketable direct obligations issued by any state, commonwealth or territory of the United States of America or any political subdivision or taxing authority thereof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(9)     Indebtedness or Preferred Stock issued by Persons with a rating of “A” or higher from S&amp;P or “A2” or higher from Moody’s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(10)     readily marketable direct obligations issued by any foreign government or any political subdivision or public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(11)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 </w:t>
      </w:r>
    </w:p>
    <w:p>
      <w:pPr>
        <w:pStyle w:val="TextBody"/>
        <w:bidi w:val="0"/>
        <w:spacing w:before="120" w:after="0"/>
        <w:jc w:val="left"/>
        <w:rPr>
          <w:rFonts w:ascii="Times New Roman" w:hAnsi="Times New Roman"/>
          <w:sz w:val="20"/>
        </w:rPr>
      </w:pPr>
      <w:r>
        <w:rPr>
          <w:rFonts w:ascii="Times New Roman" w:hAnsi="Times New Roman"/>
          <w:sz w:val="20"/>
        </w:rPr>
        <w:t xml:space="preserve">(12)     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(13)     instruments equivalent to those referred to in clauses (1) through (12)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left"/>
        <w:rPr>
          <w:rFonts w:ascii="Times New Roman" w:hAnsi="Times New Roman"/>
          <w:sz w:val="20"/>
        </w:rPr>
      </w:pPr>
      <w:r>
        <w:rPr>
          <w:rFonts w:ascii="Times New Roman" w:hAnsi="Times New Roman"/>
          <w:sz w:val="20"/>
        </w:rPr>
        <w:t xml:space="preserve">(14)     investments, classified in accordance with IFRS as current assets of Bidco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(1) through (13)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(15)     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hAnsi="Times New Roman"/>
          <w:sz w:val="20"/>
          <w:u w:val="single"/>
        </w:rPr>
        <w:t>Approved Foreign Bank</w:t>
      </w:r>
      <w:r>
        <w:rPr>
          <w:rFonts w:ascii="Times New Roman" w:hAnsi="Times New Roman"/>
          <w:sz w:val="20"/>
        </w:rPr>
        <w:t xml:space="preserve">”), and in each case with maturities of not more than 24 months from the date of acquisition and (iii) the equivalent of demand deposit accounts which are maintained with an Approved Foreign Bank; and </w:t>
      </w:r>
    </w:p>
    <w:p>
      <w:pPr>
        <w:pStyle w:val="TextBody"/>
        <w:bidi w:val="0"/>
        <w:spacing w:before="120" w:after="0"/>
        <w:jc w:val="left"/>
        <w:rPr>
          <w:rFonts w:ascii="Times New Roman" w:hAnsi="Times New Roman"/>
          <w:sz w:val="20"/>
        </w:rPr>
      </w:pPr>
      <w:r>
        <w:rPr>
          <w:rFonts w:ascii="Times New Roman" w:hAnsi="Times New Roman"/>
          <w:sz w:val="20"/>
        </w:rPr>
        <w:t xml:space="preserve">(16)     investment funds investing at least 90% of their assets in securities of the types described in clauses (1) through (15)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Cash Equivalents shall include amounts denominated in currencies other than those set forth in clauses (1) or (2) above or the immediately preceding paragraph; </w:t>
      </w:r>
      <w:r>
        <w:rPr>
          <w:rFonts w:ascii="Times New Roman" w:hAnsi="Times New Roman"/>
          <w:sz w:val="20"/>
          <w:u w:val="single"/>
        </w:rPr>
        <w:t>provided</w:t>
      </w:r>
      <w:r>
        <w:rPr>
          <w:rFonts w:ascii="Times New Roman" w:hAnsi="Times New Roman"/>
          <w:sz w:val="20"/>
        </w:rPr>
        <w:t xml:space="preserve"> that such amounts are converted into any currency listed in clauses (1) or (2) above or the immediately preceding paragraph as promptly as practicable and in any event within ten Business Days following the receipt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(16) above of foreign obligors, which Investments or obligors (or the parents of such obligors) have ratings described in such clauses or equivalent ratings from comparable foreign rating agencies and (b) other short term investments utilized by Foreign Subsidiaries that are Restricted Subsidiaries in accordance with normal investment practices for cash management in investments analogous to the foregoing investments in clauses (1) through (16) above.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auction-rate obligations; or (iv) the next put exercise date (for obligations with put features). </w:t>
      </w:r>
    </w:p>
    <w:p>
      <w:pPr>
        <w:pStyle w:val="TextBody"/>
        <w:bidi w:val="0"/>
        <w:spacing w:before="240" w:after="0"/>
        <w:jc w:val="left"/>
        <w:rPr/>
      </w:pPr>
      <w:r>
        <w:rPr/>
        <w:t>“</w:t>
      </w:r>
      <w:r>
        <w:rPr>
          <w:rFonts w:ascii="Times New Roman" w:hAnsi="Times New Roman"/>
          <w:sz w:val="20"/>
          <w:u w:val="single"/>
        </w:rPr>
        <w:t>Cash Management Obligations</w:t>
      </w:r>
      <w:r>
        <w:rPr>
          <w:rFonts w:ascii="Times New Roman" w:hAnsi="Times New Roman"/>
          <w:sz w:val="20"/>
        </w:rPr>
        <w:t xml:space="preserve">” means (a) obligations of Holdings, any Intermediate Parent, Bidco or any Subsidiary in respect of any overdraft and related liabilities arising from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left"/>
        <w:rPr>
          <w:rFonts w:ascii="Times New Roman" w:hAnsi="Times New Roman"/>
          <w:sz w:val="20"/>
        </w:rPr>
      </w:pPr>
      <w:r>
        <w:rPr>
          <w:rFonts w:ascii="Times New Roman" w:hAnsi="Times New Roman"/>
          <w:sz w:val="20"/>
        </w:rPr>
        <w:t xml:space="preserve">depository, cash pooling arrangements and cash management services or any automated clearing house transfers of funds and (b) other obligations in respect of netting services, employee credit or purchase card programs and similar arrangements. </w:t>
      </w:r>
    </w:p>
    <w:p>
      <w:pPr>
        <w:pStyle w:val="TextBody"/>
        <w:bidi w:val="0"/>
        <w:spacing w:before="240" w:after="0"/>
        <w:jc w:val="left"/>
        <w:rPr/>
      </w:pPr>
      <w:r>
        <w:rPr/>
        <w:t>“</w:t>
      </w:r>
      <w:r>
        <w:rPr>
          <w:rFonts w:ascii="Times New Roman" w:hAnsi="Times New Roman"/>
          <w:sz w:val="20"/>
          <w:u w:val="single"/>
        </w:rPr>
        <w:t>Casualty Event</w:t>
      </w:r>
      <w:r>
        <w:rPr>
          <w:rFonts w:ascii="Times New Roman" w:hAnsi="Times New Roman"/>
          <w:sz w:val="20"/>
        </w:rPr>
        <w:t xml:space="preserve">” means any event that gives rise to the receipt by Bidco or any Subsidiary of any insurance proceeds or condemnation awards in respect of any equipment, fixed assets or real property (including any improvements thereon) to replace or repair such equipment, fixed assets or real property.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Central Bank Rate” means the Bank of England’ s Bank Rate as published by the Bank of England from time to time.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Central Bank Rate Adjustment” means, in relation to the Central Bank Rate</w:t>
      </w:r>
      <w:r>
        <w:rPr>
          <w:rFonts w:ascii="Times New Roman" w:hAnsi="Times New Roman"/>
          <w:sz w:val="20"/>
        </w:rPr>
        <w:t xml:space="preserve"> </w:t>
      </w:r>
      <w:r>
        <w:rPr>
          <w:rFonts w:ascii="Times New Roman" w:hAnsi="Times New Roman"/>
          <w:color w:val="0000FF"/>
          <w:sz w:val="20"/>
          <w:u w:val="single"/>
          <w:bdr w:val="double" w:sz="2" w:space="1" w:color="000000"/>
        </w:rPr>
        <w:t>prevailing at close of business on any RFR Business Day, the 20% trimmed arithmetic mean (calculated by the Administrative Agent) of the Central Bank Rate Spreads for the five most immediately preceding RFR Business Days for which the RFR is available.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Central Bank Rate Spread” means, in relation to any RFR Business Day, the</w:t>
      </w:r>
      <w:r>
        <w:rPr>
          <w:rFonts w:ascii="Times New Roman" w:hAnsi="Times New Roman"/>
          <w:sz w:val="20"/>
        </w:rPr>
        <w:t xml:space="preserve"> </w:t>
      </w:r>
      <w:r>
        <w:rPr>
          <w:rFonts w:ascii="Times New Roman" w:hAnsi="Times New Roman"/>
          <w:color w:val="0000FF"/>
          <w:sz w:val="20"/>
          <w:u w:val="single"/>
          <w:bdr w:val="double" w:sz="2" w:space="1" w:color="000000"/>
        </w:rPr>
        <w:t>difference (expressed as a percentage rate per annum) calculated by the Administrative Agent of</w:t>
      </w:r>
      <w:r>
        <w:rPr>
          <w:rFonts w:ascii="Times New Roman" w:hAnsi="Times New Roman"/>
          <w:sz w:val="20"/>
        </w:rPr>
        <w:t xml:space="preserve"> </w:t>
      </w:r>
      <w:r>
        <w:rPr>
          <w:rFonts w:ascii="Times New Roman" w:hAnsi="Times New Roman"/>
          <w:color w:val="0000FF"/>
          <w:sz w:val="20"/>
          <w:u w:val="single"/>
          <w:bdr w:val="double" w:sz="2" w:space="1" w:color="000000"/>
        </w:rPr>
        <w:t>(x) the RFR for that RFR Business Day, and (x) the Central Bank Rate prevailing at close of business on that RFR Business Day.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Certain Funds Loan Party</w:t>
      </w:r>
      <w:r>
        <w:rPr>
          <w:rFonts w:ascii="Times New Roman" w:hAnsi="Times New Roman"/>
          <w:sz w:val="20"/>
        </w:rPr>
        <w:t xml:space="preserve">” means Initial Holdings, Bidco, the Finco Borrower and the U.S. Borrower, in each case as of the Effective Date. </w:t>
      </w:r>
    </w:p>
    <w:p>
      <w:pPr>
        <w:pStyle w:val="TextBody"/>
        <w:bidi w:val="0"/>
        <w:spacing w:before="240" w:after="0"/>
        <w:jc w:val="left"/>
        <w:rPr/>
      </w:pPr>
      <w:r>
        <w:rPr/>
        <w:t>“</w:t>
      </w:r>
      <w:r>
        <w:rPr>
          <w:rFonts w:ascii="Times New Roman" w:hAnsi="Times New Roman"/>
          <w:sz w:val="20"/>
          <w:u w:val="single"/>
        </w:rPr>
        <w:t>Certain Funds Period</w:t>
      </w:r>
      <w:r>
        <w:rPr>
          <w:rFonts w:ascii="Times New Roman" w:hAnsi="Times New Roman"/>
          <w:sz w:val="20"/>
        </w:rPr>
        <w:t xml:space="preserve">” means the period from (and including) the Effective Date to (and including) 11:59 p.m., New York City time, on the earliest of (a) the date on which the Initial Term Commitments have been utilized in full and (b) the date falling 60 days after the Effective Date (or, in each case, such later time as agreed by the Administrative Agent (acting reasonably and in good faith)). </w:t>
      </w:r>
    </w:p>
    <w:p>
      <w:pPr>
        <w:pStyle w:val="TextBody"/>
        <w:bidi w:val="0"/>
        <w:spacing w:before="240" w:after="0"/>
        <w:jc w:val="left"/>
        <w:rPr/>
      </w:pPr>
      <w:r>
        <w:rPr/>
        <w:t>“</w:t>
      </w:r>
      <w:r>
        <w:rPr>
          <w:rFonts w:ascii="Times New Roman" w:hAnsi="Times New Roman"/>
          <w:sz w:val="20"/>
          <w:u w:val="single"/>
        </w:rPr>
        <w:t>Certain Funds Utilization</w:t>
      </w:r>
      <w:r>
        <w:rPr>
          <w:rFonts w:ascii="Times New Roman" w:hAnsi="Times New Roman"/>
          <w:sz w:val="20"/>
        </w:rPr>
        <w:t xml:space="preserve">” means any borrowing of Initial Term Loans on or after the Effective Date and prior to the expiration of the Certain Funds Period in accordance with </w:t>
      </w:r>
      <w:r>
        <w:rPr>
          <w:rFonts w:ascii="Times New Roman" w:hAnsi="Times New Roman"/>
          <w:sz w:val="20"/>
          <w:u w:val="single"/>
        </w:rPr>
        <w:t>Section 3.17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CFC</w:t>
      </w:r>
      <w:r>
        <w:rPr>
          <w:rFonts w:ascii="Times New Roman" w:hAnsi="Times New Roman"/>
          <w:sz w:val="20"/>
        </w:rPr>
        <w:t xml:space="preserve">” means a “controlled foreign corporation” within the meaning of Section 957 of the Code.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shall mean (i) the adoption of any law, treaty, order, policy, rule, or regulation after the Effective Date, (ii) any change in any law, treaty, order, policy, rule, or regulation or in the interpretation or application thereof by any Governmental Authority after the Effective Date or (iii) compliance by any Lender with any guideline, request, directive, or order issued or made after the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Effective Date.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 (i) prior to an IPO, the failure of Holdings, directly or indirectly through one or more Intermediate Parents, to own all of the Equity Interests of Bidco or (ii) prior to an IPO by a Borrower, the failure of Bidco, directly or indirectly, to own all of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left"/>
        <w:rPr>
          <w:rFonts w:ascii="Times New Roman" w:hAnsi="Times New Roman"/>
          <w:sz w:val="20"/>
        </w:rPr>
      </w:pPr>
      <w:r>
        <w:rPr>
          <w:rFonts w:ascii="Times New Roman" w:hAnsi="Times New Roman"/>
          <w:sz w:val="20"/>
        </w:rPr>
        <w:t xml:space="preserve">Interests of each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the Board of Directors of Holdings represented by the issued and outstanding Equity Interests in Holdings, unless the Permitted Holders otherwise have the right (pursuant to contract, proxy or otherwise), directly or indirectly, to designate, nominate or appoint (and do so designate, nominate or appoint) a majority of the Board of Directors of Holdings, (c) after an IPO, (i)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the IPO Entity or (ii) if the IPO Entity is a parent entity of Holdings, the failure of Holdings to remain an indirect or direct subsidiary of the IPO Entity,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Holdings or (d) the occurrence of a “Change of Control” (or similar event, however denominated), as defined in the documentation governing any Subordinated Indebtedness that is Material Indebtedness, unless such Subordinated Indebtedness is repaid substantially simultaneously with the occurrence of such “Change of Control” under such documentation in a manner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 “beneficial ownership” shall be as defined in Rules13(d)-3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Bidco, as applicable, directly or indirectly owned by the Permitted Holders that are part of such Person or “group” shall not be treated as being owned by such Person or “group” for purposes of determining whether clause (c) of this definition is triggered). </w:t>
      </w:r>
    </w:p>
    <w:p>
      <w:pPr>
        <w:pStyle w:val="TextBody"/>
        <w:bidi w:val="0"/>
        <w:spacing w:before="240" w:after="0"/>
        <w:jc w:val="left"/>
        <w:rPr/>
      </w:pPr>
      <w:r>
        <w:rPr/>
        <w:t>“</w:t>
      </w:r>
      <w:r>
        <w:rPr>
          <w:rFonts w:ascii="Times New Roman" w:hAnsi="Times New Roman"/>
          <w:sz w:val="20"/>
          <w:u w:val="single"/>
        </w:rPr>
        <w:t>City Code</w:t>
      </w:r>
      <w:r>
        <w:rPr>
          <w:rFonts w:ascii="Times New Roman" w:hAnsi="Times New Roman"/>
          <w:sz w:val="20"/>
        </w:rPr>
        <w:t xml:space="preserve">” means the UK City Code on Takeovers and Mergers, as administered by the Panel.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 any Loan or Borrowing, refers to whether such Loan, or the Loans comprising such Borrowing, are Revolving Loans, Other Revolving Loans, Term Loans, Incremental Term Loans, Other Term Loans or Swingline Loans, (b) any Commitment, refers to whether such Commitment is a Revolving Commitment, Additional/Replacement Revolving Commitment, Other Revolving Commitment, Term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and Incremental Term Loans that have different terms and conditions (other than with respect to original issue discount or upfront fees) shall be construed to be in different Classes.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left"/>
        <w:rPr/>
      </w:pPr>
      <w:r>
        <w:rPr/>
        <w:t>“</w:t>
      </w:r>
      <w:r>
        <w:rPr>
          <w:rFonts w:ascii="Times New Roman" w:hAnsi="Times New Roman"/>
          <w:sz w:val="20"/>
          <w:u w:val="single"/>
        </w:rPr>
        <w:t>Code</w:t>
      </w:r>
      <w:r>
        <w:rPr>
          <w:rFonts w:ascii="Times New Roman" w:hAnsi="Times New Roman"/>
          <w:sz w:val="20"/>
        </w:rPr>
        <w:t xml:space="preserve">” means the United States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assets, whether real or personal, tangible or intangible, on which Liens are purported to be granted pursuant to the Security Documents as security for the Secured Obligations.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has the meaning given to such term in </w:t>
      </w:r>
      <w:r>
        <w:rPr>
          <w:rFonts w:ascii="Times New Roman" w:hAnsi="Times New Roman"/>
          <w:sz w:val="20"/>
          <w:u w:val="single"/>
        </w:rPr>
        <w:t>Section 8.01(b)</w:t>
      </w:r>
      <w:r>
        <w:rPr>
          <w:rFonts w:ascii="Times New Roman" w:hAnsi="Times New Roman"/>
          <w:sz w:val="20"/>
        </w:rPr>
        <w:t xml:space="preserve"> and its successors in such capacity as provided in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Agreement</w:t>
      </w:r>
      <w:r>
        <w:rPr>
          <w:rFonts w:ascii="Times New Roman" w:hAnsi="Times New Roman"/>
          <w:sz w:val="20"/>
        </w:rPr>
        <w:t xml:space="preserve">” means the Collateral Agreement among the Loan Parties party thereto and the Collateral Agent, substantially in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and Guarantee Requirement</w:t>
      </w:r>
      <w:r>
        <w:rPr>
          <w:rFonts w:ascii="Times New Roman" w:hAnsi="Times New Roman"/>
          <w:sz w:val="20"/>
        </w:rPr>
        <w:t xml:space="preserve">” means, at any time, subject in all respects to the Agreed Security Principles (other than with respect to U.S. Restricted Subsidiaries or U.S. Loan Parties),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from (i) Holdings, any Intermediate Parent, Bidco, each of the U.S. Restricted Subsidiaries (other than any Excluded Subsidiary) and each of the Non-U.S. Restricted Subsidiaries (other than any Non-U.S. Restricted Subsidiary that is incorporated in an Excluded Jurisdiction) that is a Guarantor Coverage Material Subsidiary or that is designated to accede as a Guarantor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5.11</w:t>
      </w:r>
      <w:r>
        <w:rPr>
          <w:rFonts w:ascii="Times New Roman" w:hAnsi="Times New Roman"/>
          <w:sz w:val="20"/>
        </w:rPr>
        <w:t xml:space="preserve">, either (x) a counterpart of the Guarantee Agreement duly executed and delivered on behalf of such Person or (y) in the case of any Person that becomes a Restricted Subsidiary (other than an Excluded Subsidiary) or a Loan Party after the Effective Date or that ceases to be an Excluded Subsidiary, a supplement to the Guarantee Agreement, in substantially the form specified therein, duly executed and delivered on behalf of such Person, (ii) any Borrower or Guarantor that is a U.S. Loan Party, (x) a counterpart of the Collateral Agreement duly executed and delivered on behalf of such Person, (y) in the case of any Person that becomes a U.S. Loan Party after the Effective Date (including by ceasing to be an Excluded Subsidiary), a supplement to the Collateral Agreement in substantially the form specified therein, duly executed and delivered on behalf of such Person, and (iii) any Borrower or Guarantor that is a Non-U.S. Loan Party, (x) a counterpart of each applicable Non-U.S. Security Agreement listed on </w:t>
      </w:r>
      <w:r>
        <w:rPr>
          <w:rFonts w:ascii="Times New Roman" w:hAnsi="Times New Roman"/>
          <w:sz w:val="20"/>
          <w:u w:val="single"/>
        </w:rPr>
        <w:t>Schedule 1.01(d)</w:t>
      </w:r>
      <w:r>
        <w:rPr>
          <w:rFonts w:ascii="Times New Roman" w:hAnsi="Times New Roman"/>
          <w:sz w:val="20"/>
        </w:rPr>
        <w:t xml:space="preserve"> duly executed and delivered on behalf of such Person and (y) in the case of any Person that becomes a Non-U.S. Loan Party after the Effective Date (including by ceasing to be an Excluded Subsidiary), executed pledge and security agreement(s) in accordance with the Agreed Security Principles (including but not limited to the Overriding Principle (as defined therein)) or under </w:t>
      </w:r>
      <w:r>
        <w:rPr>
          <w:rFonts w:ascii="Times New Roman" w:hAnsi="Times New Roman"/>
          <w:sz w:val="20"/>
          <w:u w:val="single"/>
        </w:rPr>
        <w:t>Section 5.14</w:t>
      </w:r>
      <w:r>
        <w:rPr>
          <w:rFonts w:ascii="Times New Roman" w:hAnsi="Times New Roman"/>
          <w:sz w:val="20"/>
        </w:rPr>
        <w:t xml:space="preserve"> (as applicable), in each case under this clause (a) together with, in the case of any such Loan Documents executed and delivered after the Effective Date, to the extent reasonably requested by the Administrative Agent, opinions and documents of the type referred to in </w:t>
      </w:r>
      <w:r>
        <w:rPr>
          <w:rFonts w:ascii="Times New Roman" w:hAnsi="Times New Roman"/>
          <w:sz w:val="20"/>
          <w:u w:val="single"/>
        </w:rPr>
        <w:t>Sections 4.01(b)</w:t>
      </w:r>
      <w:r>
        <w:rPr>
          <w:rFonts w:ascii="Times New Roman" w:hAnsi="Times New Roman"/>
          <w:sz w:val="20"/>
        </w:rPr>
        <w:t xml:space="preserve"> and </w:t>
      </w:r>
      <w:r>
        <w:rPr>
          <w:rFonts w:ascii="Times New Roman" w:hAnsi="Times New Roman"/>
          <w:sz w:val="20"/>
          <w:u w:val="single"/>
        </w:rPr>
        <w:t>4.01(d)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outstanding Equity Interests of Bidco, each Intermediate Parent, the Borrowers, each Material Subsidiary that is a U.S. Restricted Subsidiary and each Guarantor Coverage Material Subsidiary that is a Non-U.S. Restricted Subsidiary (other than any Equity Interests constituting Excluded Assets) owned by or on behalf of any Loan Party, shall have been pledged pursuant to the applicable Security Document, and the Collateral Agent shall have received certificates, if any, or other instruments, if any, representing all such Equity Interests to the extent constituting “certificated securities” (other than such Equity Interests constituting Excluded Assets), together with undated stock powers or other instruments of transfer with respect thereto endorsed in blank or updated shareholders’ register reflecting the registration of the pledge, in each case, as is customary in that jurisdiction and required to be delivered under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left"/>
        <w:rPr>
          <w:rFonts w:ascii="Times New Roman" w:hAnsi="Times New Roman"/>
          <w:sz w:val="20"/>
        </w:rPr>
      </w:pPr>
      <w:r>
        <w:rPr>
          <w:rFonts w:ascii="Times New Roman" w:hAnsi="Times New Roman"/>
          <w:sz w:val="20"/>
        </w:rPr>
        <w:t xml:space="preserve">(c)     if any Indebtedness for borrowed money of Bidco or any Restricted Subsidiary in a principal amount of $125,000,000 or more is owing by such obligor to any U.S. Loan Party and such Indebtedness is evidenced by a promissory note, such promissory note shall be pledged pursuant to the applicable Security Document, the Collateral Agent shall have received all such promissory notes, together with undated instruments of transfer with respect thereto endorsed in blank;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delivery requirement with respect to any intercompany indebtedness may be satisfied, at Bidco’s sole discretion, by delivery of an omnibus or global intercompany note executed by all U.S. Loan Parties as payees and all such obligors as payors; </w:t>
      </w:r>
    </w:p>
    <w:p>
      <w:pPr>
        <w:pStyle w:val="TextBody"/>
        <w:bidi w:val="0"/>
        <w:spacing w:before="120" w:after="0"/>
        <w:jc w:val="left"/>
        <w:rPr>
          <w:rFonts w:ascii="Times New Roman" w:hAnsi="Times New Roman"/>
          <w:sz w:val="20"/>
        </w:rPr>
      </w:pPr>
      <w:r>
        <w:rPr>
          <w:rFonts w:ascii="Times New Roman" w:hAnsi="Times New Roman"/>
          <w:sz w:val="20"/>
        </w:rPr>
        <w:t xml:space="preserve">(d)     (i) each Non-U.S. Loan Party shall grant to the Collateral Agent (A) fixed security over material bank accounts (without control over use) and (B) fixed security over material, structural, long-term documented intercompany loans made by such Non-U.S. Loan Party, and (ii) in the United Kingdom (and where customary in any other jurisdiction), each Non-U.S. Loan Party which is incorporated in the United Kingdom (or such other jurisdiction) shall grant to the Collateral Agent “floating charges” or such equivalent or substantially equivalent concept as may exist under relevant law; and </w:t>
      </w:r>
    </w:p>
    <w:p>
      <w:pPr>
        <w:pStyle w:val="TextBody"/>
        <w:bidi w:val="0"/>
        <w:spacing w:before="120" w:after="0"/>
        <w:jc w:val="left"/>
        <w:rPr>
          <w:rFonts w:ascii="Times New Roman" w:hAnsi="Times New Roman"/>
          <w:sz w:val="20"/>
        </w:rPr>
      </w:pPr>
      <w:r>
        <w:rPr>
          <w:rFonts w:ascii="Times New Roman" w:hAnsi="Times New Roman"/>
          <w:sz w:val="20"/>
        </w:rPr>
        <w:t xml:space="preserve">(e)     all certificates, agreements, documents and instruments, including Uniform Commercial Code financing statements and Intellectual Property Security Agreements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the other provisions of the term “Collateral and Guarantee Requirement” and (in the case of the Non-U.S. Loan Parties) the Agreed Security Principles, shall have been filed, registered or recorded or delivered to the Collateral Agent for filing, registration or recording.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the Administrative Agent and Bidco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outweighs the benefits to be obtained by the Lenders therefrom; (b) Liens required to be granted from time to time pursuant to the term “Collateral and Guarantee Requirement” shall be subject to exceptions and limitations set forth in this Agreement and the Security Documents; (c) in the case of U.S. Loan Parties, in no event shall control agreements or other control or similar arrangements be required with respect to cash, Cash Equivalents, other deposit accounts, securities and commodities accounts (including securities entitlements and related assets), letter of credit rights or other assets requiring perfection by control (but not, for avoidance of doubt, possession); (d) [reserved]; (e) the U.S. Loan Parties shall not be required, nor shall the Administrative Agent be authorized, to perfect the above-described pledges, security interests and mortgages by any means other than by (i) filings pursuant to the Uniform Commercial Code in the office of the secretary of state (or similar central filing office) of the relevant jurisdiction, (ii) filings in United States Patent and Trademark Office and the United States Copyright Office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TextBody"/>
        <w:bidi w:val="0"/>
        <w:spacing w:before="0" w:after="0"/>
        <w:jc w:val="left"/>
        <w:rPr>
          <w:rFonts w:ascii="Times New Roman" w:hAnsi="Times New Roman"/>
          <w:sz w:val="20"/>
        </w:rPr>
      </w:pPr>
      <w:r>
        <w:rPr>
          <w:rFonts w:ascii="Times New Roman" w:hAnsi="Times New Roman"/>
          <w:sz w:val="20"/>
        </w:rPr>
        <w:t xml:space="preserve">to registered and applied-for Intellectual Property as expressly required in the Loan Documents and (iii) delivery to the Collateral Agent to be held in its possession of all Collateral consisting of intercompany notes, stock certificates of any Intermediate Parent, Bidco and its Subsidiaries and instruments, in each case as expressly required in the Loan Documents; (f) in the case of the Non-U.S. Restricted Subsidiaries and the Non-U.S. Loan Parties, the foregoing provisions of this definition shall be subject in all respects to the Agreed Security Principles and (g) in no event shall the Collateral include any Excluded Assets, except at the option or in the sole discretion of Bidco. The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or due to factors beyond the control of Bidco and the Restricted Subsidiaries by the time or times at which it would otherwise be required to be accomplished by this Agreement (including as set forth on </w:t>
      </w:r>
      <w:r>
        <w:rPr>
          <w:rFonts w:ascii="Times New Roman" w:hAnsi="Times New Roman"/>
          <w:sz w:val="20"/>
          <w:u w:val="single"/>
        </w:rPr>
        <w:t>Schedule 5.14</w:t>
      </w:r>
      <w:r>
        <w:rPr>
          <w:rFonts w:ascii="Times New Roman" w:hAnsi="Times New Roman"/>
          <w:sz w:val="20"/>
        </w:rPr>
        <w:t xml:space="preserve">) or the Security Documents.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 with respect to any Lender, its Revolving Commitment, Other Revolving Commitment of any Class, Term Commitment, Initial Term Commitment, Other Term Commitment of any Class or any combination thereof (as the context requires) and (b) with respect to any Swingline Lender, its Swingline Commitment. </w:t>
      </w:r>
    </w:p>
    <w:p>
      <w:pPr>
        <w:pStyle w:val="TextBody"/>
        <w:bidi w:val="0"/>
        <w:spacing w:before="240" w:after="0"/>
        <w:jc w:val="left"/>
        <w:rPr/>
      </w:pPr>
      <w:r>
        <w:rPr/>
        <w:t>“</w:t>
      </w:r>
      <w:r>
        <w:rPr>
          <w:rFonts w:ascii="Times New Roman" w:hAnsi="Times New Roman"/>
          <w:sz w:val="20"/>
          <w:u w:val="single"/>
        </w:rPr>
        <w:t>Commitment Fee Percentage</w:t>
      </w:r>
      <w:r>
        <w:rPr>
          <w:rFonts w:ascii="Times New Roman" w:hAnsi="Times New Roman"/>
          <w:sz w:val="20"/>
        </w:rPr>
        <w:t xml:space="preserve">” means, for any day, the applicable percentage set forth below under the caption “Commitment Fee Percentage” based upon the Senior Secured First Lien Net Leverage Ratio as of the end of the fiscal quarter of Bidco for which consolidated financial statements have theretofore been most recently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until the date of the delivery of the consolidated financial statements pursuant to </w:t>
      </w:r>
      <w:r>
        <w:rPr>
          <w:rFonts w:ascii="Times New Roman" w:hAnsi="Times New Roman"/>
          <w:sz w:val="20"/>
          <w:u w:val="single"/>
        </w:rPr>
        <w:t>Section 5.01</w:t>
      </w:r>
      <w:r>
        <w:rPr>
          <w:rFonts w:ascii="Times New Roman" w:hAnsi="Times New Roman"/>
          <w:sz w:val="20"/>
        </w:rPr>
        <w:t xml:space="preserve"> as of and for the fiscal year ended December 31, 2019, the Commitment Fee Percentage shall be based on the rates per annum set forth in Category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87"/>
        <w:gridCol w:w="517"/>
        <w:gridCol w:w="160"/>
        <w:gridCol w:w="1497"/>
        <w:gridCol w:w="278"/>
      </w:tblGrid>
      <w:tr>
        <w:trPr/>
        <w:tc>
          <w:tcPr>
            <w:tcW w:w="4487"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487"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Senior Secured First Lien Net</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Leverage Ratio                      </w:t>
            </w:r>
          </w:p>
        </w:tc>
        <w:tc>
          <w:tcPr>
            <w:tcW w:w="517" w:type="dxa"/>
            <w:tcBorders/>
            <w:vAlign w:val="bottom"/>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pPr>
            <w:r>
              <w:rPr/>
              <w:t>Commitment Fee</w:t>
              <w:br/>
              <w:t>Percentage</w:t>
            </w:r>
          </w:p>
        </w:tc>
        <w:tc>
          <w:tcPr>
            <w:tcW w:w="27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4.85 to 1.00</w:t>
            </w:r>
          </w:p>
        </w:tc>
        <w:tc>
          <w:tcPr>
            <w:tcW w:w="5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0.375</w:t>
            </w:r>
          </w:p>
        </w:tc>
        <w:tc>
          <w:tcPr>
            <w:tcW w:w="27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Less than or equal to 4.85 to 1.00</w:t>
            </w:r>
          </w:p>
        </w:tc>
        <w:tc>
          <w:tcPr>
            <w:tcW w:w="5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0.250</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each change in the Commitment Fee Percentage resulting from a change in the Senior Secured First Lien Net Leverage Ratio shall be effective during the period commencing on and including the Business Day following the date of delivery to the Administrative Agent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5.01(b)</w:t>
      </w:r>
      <w:r>
        <w:rPr>
          <w:rFonts w:ascii="Times New Roman" w:hAnsi="Times New Roman"/>
          <w:sz w:val="20"/>
        </w:rPr>
        <w:t xml:space="preserve"> of the consolidated financial statements and related Compliance Certificate indicating such change and ending on the date immediately preceding the effective date of the next such change. Notwithstanding the foregoing, the Commitment Fee Percentage, at the option of the Administrative Agent or the Required Revolving Lenders, commencing upon written notice to Bidco, shall be based on the rates per annum set forth in Category 1 (i) at any time that an Event of Default under </w:t>
      </w:r>
      <w:r>
        <w:rPr>
          <w:rFonts w:ascii="Times New Roman" w:hAnsi="Times New Roman"/>
          <w:sz w:val="20"/>
          <w:u w:val="single"/>
        </w:rPr>
        <w:t>Section 7.01(a)</w:t>
      </w:r>
      <w:r>
        <w:rPr>
          <w:rFonts w:ascii="Times New Roman" w:hAnsi="Times New Roman"/>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Times New Roman" w:hAnsi="Times New Roman"/>
          <w:sz w:val="20"/>
          <w:u w:val="single"/>
        </w:rPr>
        <w:t>Section 5.01(a)</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TextBody"/>
        <w:bidi w:val="0"/>
        <w:spacing w:before="0" w:after="0"/>
        <w:jc w:val="left"/>
        <w:rPr>
          <w:rFonts w:ascii="Times New Roman" w:hAnsi="Times New Roman"/>
          <w:sz w:val="20"/>
        </w:rPr>
      </w:pPr>
      <w:r>
        <w:rPr>
          <w:rFonts w:ascii="Times New Roman" w:hAnsi="Times New Roman"/>
          <w:sz w:val="20"/>
          <w:u w:val="single"/>
        </w:rPr>
        <w:t>5.01(b)</w:t>
      </w:r>
      <w:r>
        <w:rPr>
          <w:rFonts w:ascii="Times New Roman" w:hAnsi="Times New Roman"/>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pPr>
      <w:r>
        <w:rPr/>
        <w:t>“</w:t>
      </w:r>
      <w:r>
        <w:rPr>
          <w:rFonts w:ascii="Times New Roman" w:hAnsi="Times New Roman"/>
          <w:sz w:val="20"/>
          <w:u w:val="single"/>
        </w:rPr>
        <w:t>Commitment Letter</w:t>
      </w:r>
      <w:r>
        <w:rPr>
          <w:rFonts w:ascii="Times New Roman" w:hAnsi="Times New Roman"/>
          <w:sz w:val="20"/>
        </w:rPr>
        <w:t xml:space="preserve">” means the second amended and restated commitment letter dated as of September 4,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as amended from time to time, and any successor statute.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Inmarsat Group Holdings Limited (f/k/a Inmarsat plc), a limited company incorporated under the laws of England and Wales with registered number 04886072.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the certificate required to be delivered pursuant to </w:t>
      </w:r>
      <w:r>
        <w:rPr>
          <w:rFonts w:ascii="Times New Roman" w:hAnsi="Times New Roman"/>
          <w:sz w:val="20"/>
          <w:u w:val="single"/>
        </w:rPr>
        <w:t>Section 5.01(d)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Cash Interest Expense</w:t>
      </w:r>
      <w:r>
        <w:rPr>
          <w:rFonts w:ascii="Times New Roman" w:hAnsi="Times New Roman"/>
          <w:sz w:val="20"/>
        </w:rPr>
        <w:t xml:space="preserve">” means, as of any date for the applicable period ending on such date with respect to Bidco and the Restricted Subsidiaries on a consolidated basis, the amount payable with respect to such period in respect of (a) total interest expense payable in cash with respect to all outstanding Indebtedness of Bidco and the Restricted Subsidiaries including the interest component under Capitalized Leases, but excluding, to the extent included in interest expense, (i) fees and expenses (including any penalties and interest relating to Taxes) associated with the consummation of the Transactions, (ii) annual agency fees paid to the administrative agents and collateral agents under any credit facilities or other debt instruments or documents, (iii) costs associated with obtaining Swap Agreements and any interest expense attributable to the movement of the mark-to-market valuation of obligations under Swap Agreements or other derivative instruments, and any one-time cash costs associated with breakage in respect of Swap Agreements for interest rates, (iv) fees and expenses (including any penalties and interest relating to Taxes) associated with any Investment not prohibited by </w:t>
      </w:r>
      <w:r>
        <w:rPr>
          <w:rFonts w:ascii="Times New Roman" w:hAnsi="Times New Roman"/>
          <w:sz w:val="20"/>
          <w:u w:val="single"/>
        </w:rPr>
        <w:t>Section 6.04</w:t>
      </w:r>
      <w:r>
        <w:rPr>
          <w:rFonts w:ascii="Times New Roman" w:hAnsi="Times New Roman"/>
          <w:sz w:val="20"/>
        </w:rPr>
        <w:t xml:space="preserve">, the issuance of Equity Interests or Indebtedness, (v) any interest component relating to accretion or accrual of discounted liabilities, (vi) all non-recurring cash interest expense consisting of liquidated damages for failure to timely comply with registration rights obligations, (vii) amortization of deferred financing fees, debt issuance costs, commissions, fees and expenses or expensing of any financing fees or prepayment or redemption premiums or penalty and any other amounts of non-cash interest (including as a result of the effects of acquisition method accounting or pushdown accounting), and (viii)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IFRS minus (b) cash interest income of Bidco and the Restricted Subsidiaries earned during such period, in each case as determined in accordance with IFRS. </w:t>
      </w:r>
    </w:p>
    <w:p>
      <w:pPr>
        <w:pStyle w:val="TextBody"/>
        <w:bidi w:val="0"/>
        <w:spacing w:before="240" w:after="0"/>
        <w:jc w:val="left"/>
        <w:rPr/>
      </w:pPr>
      <w:r>
        <w:rPr/>
        <w:t>“</w:t>
      </w:r>
      <w:r>
        <w:rPr>
          <w:rFonts w:ascii="Times New Roman" w:hAnsi="Times New Roman"/>
          <w:sz w:val="20"/>
          <w:u w:val="single"/>
        </w:rPr>
        <w:t>Consolidated Depreciation and Amortization Expense</w:t>
      </w:r>
      <w:r>
        <w:rPr>
          <w:rFonts w:ascii="Times New Roman" w:hAnsi="Times New Roman"/>
          <w:sz w:val="20"/>
        </w:rPr>
        <w:t xml:space="preserve">” means with respect to any Person for any period, the total amount of depreciation and amortization expense for such period, including the amortization of deferred financing fees, debt issuance costs, commissions, fees and expenses and Capitalized Software Expenditures of such Person and its Restricted Subsidiaries for such period (including such expense attributable to held-for-sale discontinued operations) determined on a consolidated basis and otherwise determined in accordance with IFRS.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TextBody"/>
        <w:bidi w:val="0"/>
        <w:spacing w:before="0" w:after="0"/>
        <w:jc w:val="left"/>
        <w:rPr/>
      </w:pPr>
      <w:r>
        <w:rPr/>
        <w:t>“</w:t>
      </w:r>
      <w:r>
        <w:rPr>
          <w:rFonts w:ascii="Times New Roman" w:hAnsi="Times New Roman"/>
          <w:sz w:val="20"/>
          <w:u w:val="single"/>
        </w:rPr>
        <w:t>Consolidated EBITDA</w:t>
      </w:r>
      <w:r>
        <w:rPr>
          <w:rFonts w:ascii="Times New Roman" w:hAnsi="Times New Roman"/>
          <w:sz w:val="20"/>
        </w:rPr>
        <w:t xml:space="preserve">” means, with respect to any Person for any period, the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(1)     increased (without duplication) by the following, in each case, to the extent deducted (and not added back) in arriving at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Taxes paid (including pursuant to any Tax sharing arrangements) and provisions for Taxes of such Person and its Restricted Subsidiaries, including, in each case federal, state, provincial, local, foreign, unitary, franchise, excise, property, withholding, use and similar Taxes, including any penalties and interest, plus, without duplication, Tax Distributions paid or accrued during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Fixed Charges of such Person for such period (including (1) premium payments, debt discount, fees, charges and related expenses incurred in connection with borrowed money (including capitalized interest) or in connection with the deferred purchase price of assets, (2) the portion of rent expense with respect to such period under Capitalized Lease Obligations that is treated as interest expense in accordance with IFRS, (3) the implied interest component of synthetic leases with respect to such period, (4) net losses on Hedging Obligations or other derivative instruments entered into for the purpose of hedging interest rate risk, net of interest income and gains with respect to such obligations plus bank fees, (5) bank and letter of credit fees and costs of surety bonds in connection with financing activities, and (6) any commissions, discounts, yield and other fees and charges (including any interest expense) related to any Receivables Facility, in each case, to the extent included in Fixed Charges), together with items excluded from the definition of “Consolidated Interest Expense” pursuant to clauses 1(o) through 1(z) thereof;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Consolidated Depreciation and Amortization Expense of such Person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expenses or charges (other than depreciation or amortization expense) related to any Equity Offering, Permitted Investment, Restricted Payment, acquisition, disposition, recapitalization or the incurrence of Indebtedness (and any amendment or modification to any such transaction) (including a refinancing thereof) (whether or not successful), including (i) such fees, expenses or charges related to the incurrence of the Loans hereunder and all Transaction Costs, (ii) such fees, expenses, or charges related to the Loan Documents and any other credit facilities, or debt issuances and (iii) any amendment or other modification of the Loans hereunder, or other indebtedness;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Effective Date, project startup costs and costs related to the closure and/or consolidation of facilities, in each case, whether or not classified as restructuring expense on the consolidated financial statements;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left"/>
        <w:rPr>
          <w:rFonts w:ascii="Times New Roman" w:hAnsi="Times New Roman"/>
          <w:sz w:val="20"/>
        </w:rPr>
      </w:pPr>
      <w:r>
        <w:rPr>
          <w:rFonts w:ascii="Times New Roman" w:hAnsi="Times New Roman"/>
          <w:sz w:val="20"/>
        </w:rPr>
        <w:t xml:space="preserve">(f)     any other non-cash charges, including, without limitation, any write offs or write downs, reducing Consolidated Net Income for such period; </w:t>
      </w:r>
      <w:r>
        <w:rPr>
          <w:rFonts w:ascii="Times New Roman" w:hAnsi="Times New Roman"/>
          <w:sz w:val="20"/>
          <w:u w:val="single"/>
        </w:rPr>
        <w:t>provided</w:t>
      </w:r>
      <w:r>
        <w:rPr>
          <w:rFonts w:ascii="Times New Roman" w:hAnsi="Times New Roman"/>
          <w:sz w:val="20"/>
        </w:rPr>
        <w:t xml:space="preserv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amount of any non-controlling interest expense consisting of income attributable to non-controlling interests of third parties in any Non-Wholly Owned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the amount of board of directors fees and management, monitoring, consulting, advisory fees and other fees (including termination and transaction fees), indemnities and related expenses paid or accrued in such period under the Sponsor Management Agreement or otherwise to (or on behalf of) the Investors (including any termination fees payable in connection with the early termination of management and monitoring agreements) to the extent otherwise permitted under </w:t>
      </w:r>
      <w:r>
        <w:rPr>
          <w:rFonts w:ascii="Times New Roman" w:hAnsi="Times New Roman"/>
          <w:sz w:val="20"/>
          <w:u w:val="single"/>
        </w:rPr>
        <w:t>Section 5.17</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(x) start-up fees, losses, costs, charges, expenses or payments incurred in the first twelve (12) months following the commitment to open a new facility with respect to the prospecting, opening, and organizing of any new facility (including, but not limited to, the cost of feasibility studies, staff-training and recruiting costs, advertising and marketing costs, rental or mortgage costs, compensation costs, insurance costs, travel costs and other employee related costs and expenses for employees engaged in such startup activities), (y) operating losses of new facilities (including, but not limited to, allocation of corporate overhead expenses) incurred in the first twelve (12) months following the opening of such new facility and (z) expenses relating to any remodeling costs attributable to any existing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losses on dispositions of accounts receivable, Receivables Assets and related assets incurred in connection with a Receivables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any costs or expense incurred by Bidco or a Restricted Subsidiary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Bidco or net cash proceeds of an issuance of Equity Interest of Bidco (other than Disqualified Equity Interests) solely to the extent that such net cash proceeds are excluded from the calculation set forth in </w:t>
      </w:r>
      <w:r>
        <w:rPr>
          <w:rFonts w:ascii="Times New Roman" w:hAnsi="Times New Roman"/>
          <w:sz w:val="20"/>
          <w:u w:val="single"/>
        </w:rPr>
        <w:t>Section 6.05(a)(A)(2)</w:t>
      </w:r>
      <w:r>
        <w:rPr>
          <w:rFonts w:ascii="Times New Roman" w:hAnsi="Times New Roman"/>
          <w:sz w:val="20"/>
        </w:rPr>
        <w:t xml:space="preserve"> hereof;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IAS 19, 26 and 37, and any other items of a similar nature;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left"/>
        <w:rPr>
          <w:rFonts w:ascii="Times New Roman" w:hAnsi="Times New Roman"/>
          <w:sz w:val="20"/>
        </w:rPr>
      </w:pPr>
      <w:r>
        <w:rPr>
          <w:rFonts w:ascii="Times New Roman" w:hAnsi="Times New Roman"/>
          <w:sz w:val="20"/>
        </w:rPr>
        <w:t xml:space="preserve">(m)     operating expenses incurred on or prior to the Effective Date attributable to (A) salary obligations paid to employees terminated prior to the Effective Date and (B) wages paid to executives in excess of the amounts the Company and its Subsidiaries are required to pay pursuant to any employment agreements;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any net loss from discontinued operations;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cash receipts (or any netting arrangements resulting in reduced cash expenditures) not representing Consolidated EBITDA or Consolidated Net Income in any period to the extent non cash gains relating to such income were deducted in the calculation of Consolidated EBITDA pursuant to clause (3) below for any previous period and not added back;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any loss relating to amounts paid in cash prior to the stated settlement date of any hedging obligation that has been reflected in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any gain relating to hedging obligations associated with transactions realized in the current period that has been reflected in Consolidated Net Income in prior periods and excluded from Consolidated EBITDA pursuant to clauses (3)(c) and (3)(d) below;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the amount of expenses relating to payments made to option holders of any direct or indirect parent company of Bidco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earn-out and contingent consideration obligations (including to the extent accounted for as bonuses or otherwise) and adjustments thereof and purchase price adjustments, in each case in connection with acquisitions or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    Public Company Costs;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“run rate” cost savings, operating expense reductions, other operating improvements, revenue enhancements and synergies related to any Specified Transaction, the Transactions, any restructuring, cost saving initiative or other initiative projected by Bidco in good faith to be realized as a result of actions taken, committed to be taken or planned to be taken, in each case on or prior to the date that is 24 months after the end of the relevant period (including actions initiated prior to the Effective Date) (which cost savings, operating expense reductions, other operating improvements, revenue enhancements and synergies shall be added to Consolidated EBITDA until fully realized and calculated on a Pro Forma Basis as though such cost savings, operating expense reductions, other operating improvements, revenue enhancements and synergies had been realized on the first day of the relevant period), net of the amount of actual benefits realized from such actions; </w:t>
      </w:r>
      <w:r>
        <w:rPr>
          <w:rFonts w:ascii="Times New Roman" w:hAnsi="Times New Roman"/>
          <w:sz w:val="20"/>
          <w:u w:val="single"/>
        </w:rPr>
        <w:t>provided</w:t>
      </w:r>
      <w:r>
        <w:rPr>
          <w:rFonts w:ascii="Times New Roman" w:hAnsi="Times New Roman"/>
          <w:sz w:val="20"/>
        </w:rPr>
        <w:t xml:space="preserve"> that (A) such cost savings, operating expense reductions, other operating improvements,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left"/>
        <w:rPr>
          <w:rFonts w:ascii="Times New Roman" w:hAnsi="Times New Roman"/>
          <w:sz w:val="20"/>
        </w:rPr>
      </w:pPr>
      <w:r>
        <w:rPr>
          <w:rFonts w:ascii="Times New Roman" w:hAnsi="Times New Roman"/>
          <w:sz w:val="20"/>
        </w:rPr>
        <w:t xml:space="preserve">enhancements and synergies are reasonably identifiable and quantifiable and (B) no cost savings, operating expense reductions, other operating improvements, revenue enhancements or synergies shall be added pursuant to this clause (a) to the extent duplicative of any expenses or charges relating to such cost savings, operating expense reductions, other operating improvements, revenue enhancements or synergies that are included in any other clause of this definition or in the definition of “Pro Forma Adjustment” (it being understood and agreed that “run rate” shall mean the full recurring benefit that is associated with any action taken);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aggregate amount of “run rate” cost savings, operating expense reductions, other operating improvements, revenue enhancements and synergies related to any    Specified Transaction, any restructuring, cost saving initiative or other initiative added pursuant to this clause (a) shall not exceed 25% of Consolidated EBITDA (calculated after giving effect to any addback under this clause (a) for any Test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other add-backs and adjustments of the type reflected in the Model and the Information Memorandum;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adjustments consistent with Regulation S-X or contained in a quality of earnings report in connection with a Permitted Acquisition or Investment made available to the Administrative Agent conducted by financial advisors (which are either nationally recognized or reasonably acceptable to the Administrative Agent (it being understood and agreed that any of the “Big Four” accounting firms are acceptable));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amount of reasonably identifiable and factually    supportable “run-rate” Consolidated EBITDA (calculated on a pre-tax basis) that is projected by Bidco in good faith to be derived from New Contracts (calculated on a Pro Forma Basis as though such Consolidated EBITDA had been realized on the first day of such period) within 36 months of the entry into such New Contract net of the amount of actual earnings realized prior to or during such period from such New Contracts and without giving any benefit for any period after the termination of such New Contract;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amount of reasonably identifiable and factually supportable “run-rate” Consolidated EBITDA (calculated on a pre-tax basis) that is projected by Bidco in good faith to be derived from any anticipated revenue enhancements from the launch of new satellites (calculated on a Pro Forma Basis as though such revenue enhancements had been realized on the first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(3)    decreased (without duplication) by the following, in each case, to the extent included in determining Consolidated Net Income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(a)     non-cash gains increasing Consolidated Net Income of such Person for such period, excluding any non-cash gains to the extent they represent the reversal of an accrual or reserve for a potential cash item that reduced Consolidated EBITDA in any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any non-controlling interest consisting of loss attributable to non-controlling interests of third parties in any Non-Wholly Owned Subsidiaries;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left"/>
        <w:rPr>
          <w:rFonts w:ascii="Times New Roman" w:hAnsi="Times New Roman"/>
          <w:sz w:val="20"/>
        </w:rPr>
      </w:pPr>
      <w:r>
        <w:rPr>
          <w:rFonts w:ascii="Times New Roman" w:hAnsi="Times New Roman"/>
          <w:sz w:val="20"/>
        </w:rPr>
        <w:t xml:space="preserve">(c)     any gain relating to amounts received in cash prior to the stated settlement date of any hedging obligation that has been reflected in Consolidated Net Income in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(d)     any loss relating to hedging obligations associated with transactions realized in the current period that has been reflected in Consolidated Net Income in prior periods and excluded from Consolidated EBITDA pursuant to clauses (1)(p) and (1)(q) above; </w:t>
      </w:r>
    </w:p>
    <w:p>
      <w:pPr>
        <w:pStyle w:val="TextBody"/>
        <w:bidi w:val="0"/>
        <w:spacing w:before="120" w:after="0"/>
        <w:jc w:val="left"/>
        <w:rPr>
          <w:rFonts w:ascii="Times New Roman" w:hAnsi="Times New Roman"/>
          <w:sz w:val="20"/>
        </w:rPr>
      </w:pPr>
      <w:r>
        <w:rPr>
          <w:rFonts w:ascii="Times New Roman" w:hAnsi="Times New Roman"/>
          <w:sz w:val="20"/>
        </w:rPr>
        <w:t xml:space="preserve">(4)     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(3) above if it were income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(5)     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 above if it were a loss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(6)     increased by an amount, with respect to investments recorded using the equity method of accounting or the cost method of accounting and without duplication of any amounts added pursuant to clause (4) above, equal to the amount attributable to each such investment that would be added to Consolidated EBITDA pursuant to clause (1) above if instead attributable to Bidco or a Subsidiary, pro-rated according to Bidco’s or the applicable Subsidiary’s percentage ownership in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(7)     decreased by an amount, with respect to investments recorded using the equity method of accounting or the cost method of accounting and without duplication of any amounts deducted pursuant to clause (5) above, equal to the amount attributable to each such investment that would be deducted from Consolidated EBITDA pursuant to clause (3) above if instead attributable to Bidco or a Subsidiary, pro-rated according to Bidco’s or the applicable Subsidiary’s percentage ownership in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as determined on a consolidated basis for such Person in accordance with IFRS;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included in Consolidated Net Income, there shall be excluded in determining Consolidated EBITDA for any period any adjustments resulting from the application of IFRS 9, </w:t>
      </w:r>
    </w:p>
    <w:p>
      <w:pPr>
        <w:pStyle w:val="TextBody"/>
        <w:bidi w:val="0"/>
        <w:spacing w:before="120" w:after="0"/>
        <w:jc w:val="left"/>
        <w:rPr>
          <w:rFonts w:ascii="Times New Roman" w:hAnsi="Times New Roman"/>
          <w:sz w:val="20"/>
        </w:rPr>
      </w:pPr>
      <w:r>
        <w:rPr>
          <w:rFonts w:ascii="Times New Roman" w:hAnsi="Times New Roman"/>
          <w:sz w:val="20"/>
        </w:rPr>
        <w:t xml:space="preserve">(III)    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Bidco or any Restricted Subsidiary during such period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TextBody"/>
        <w:bidi w:val="0"/>
        <w:spacing w:before="0" w:after="0"/>
        <w:jc w:val="left"/>
        <w:rPr>
          <w:rFonts w:ascii="Times New Roman" w:hAnsi="Times New Roman"/>
          <w:sz w:val="20"/>
        </w:rPr>
      </w:pPr>
      <w:r>
        <w:rPr>
          <w:rFonts w:ascii="Times New Roman" w:hAnsi="Times New Roman"/>
          <w:sz w:val="20"/>
        </w:rPr>
        <w:t>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hAnsi="Times New Roman"/>
          <w:sz w:val="20"/>
          <w:u w:val="single"/>
        </w:rPr>
        <w:t>Acquired Entity or Business</w:t>
      </w:r>
      <w:r>
        <w:rPr>
          <w:rFonts w:ascii="Times New Roman" w:hAnsi="Times New Roman"/>
          <w:sz w:val="20"/>
        </w:rPr>
        <w:t>”), and the Acquired EBITDA of any Unrestricted Subsidiary that is converted into a Restricted Subsidiary during such period (each, a “</w:t>
      </w:r>
      <w:r>
        <w:rPr>
          <w:rFonts w:ascii="Times New Roman" w:hAnsi="Times New Roman"/>
          <w:sz w:val="20"/>
          <w:u w:val="single"/>
        </w:rPr>
        <w:t>Converted Restricted Subsidiary</w:t>
      </w:r>
      <w:r>
        <w:rPr>
          <w:rFonts w:ascii="Times New Roman" w:hAnsi="Times New Roman"/>
          <w:sz w:val="20"/>
        </w:rPr>
        <w:t xml:space="preserve">”),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Administrative Agent (for further delivery to the Lenders); </w:t>
      </w:r>
      <w:r>
        <w:rPr>
          <w:rFonts w:ascii="Times New Roman" w:hAnsi="Times New Roman"/>
          <w:sz w:val="20"/>
          <w:u w:val="single"/>
        </w:rPr>
        <w:t>provided</w:t>
      </w:r>
      <w:r>
        <w:rPr>
          <w:rFonts w:ascii="Times New Roman" w:hAnsi="Times New Roman"/>
          <w:sz w:val="20"/>
        </w:rPr>
        <w:t xml:space="preserve"> that with respect to any determination to be made on a Pro Forma Basis, at the election of Bidco, such Acquired EBITDA or such adjustment shall not be required to be included for any Pro Forma Entity to the extent the aggregate consideration paid in connection with the acquisition of such Acquired Entity or Business or the fair market value of such Converted Restricted Subsidiary, in the aggregate, is less than $375,000,000; </w:t>
      </w:r>
    </w:p>
    <w:p>
      <w:pPr>
        <w:pStyle w:val="TextBody"/>
        <w:bidi w:val="0"/>
        <w:spacing w:before="120" w:after="0"/>
        <w:jc w:val="left"/>
        <w:rPr>
          <w:rFonts w:ascii="Times New Roman" w:hAnsi="Times New Roman"/>
          <w:sz w:val="20"/>
        </w:rPr>
      </w:pPr>
      <w:r>
        <w:rPr>
          <w:rFonts w:ascii="Times New Roman" w:hAnsi="Times New Roman"/>
          <w:sz w:val="20"/>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IFRS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w:t>
      </w:r>
      <w:r>
        <w:rPr>
          <w:rFonts w:ascii="Times New Roman" w:hAnsi="Times New Roman"/>
          <w:sz w:val="20"/>
          <w:u w:val="single"/>
        </w:rPr>
        <w:t>i.e.</w:t>
      </w:r>
      <w:r>
        <w:rPr>
          <w:rFonts w:ascii="Times New Roman" w:hAnsi="Times New Roman"/>
          <w:sz w:val="20"/>
        </w:rPr>
        <w:t>, if such Disposed EBITDA is negative, it shall be added back in determining Consolidated EBITDA for any period)) by Bidco or any Restricted Subsidiary during such period (each such Person, property, business or asset so sold, transferred or otherwise disposed of, closed or classified, a “</w:t>
      </w:r>
      <w:r>
        <w:rPr>
          <w:rFonts w:ascii="Times New Roman" w:hAnsi="Times New Roman"/>
          <w:sz w:val="20"/>
          <w:u w:val="single"/>
        </w:rPr>
        <w:t>Sold Entity or Business</w:t>
      </w:r>
      <w:r>
        <w:rPr>
          <w:rFonts w:ascii="Times New Roman" w:hAnsi="Times New Roman"/>
          <w:sz w:val="20"/>
        </w:rPr>
        <w:t>”), and the Disposed EBITDA of any Restricted Subsidiary that is converted into an Unrestricted Subsidiary during such period (each, a “</w:t>
      </w:r>
      <w:r>
        <w:rPr>
          <w:rFonts w:ascii="Times New Roman" w:hAnsi="Times New Roman"/>
          <w:sz w:val="20"/>
          <w:u w:val="single"/>
        </w:rPr>
        <w:t>Converted Unrestricted</w:t>
      </w:r>
      <w:r>
        <w:rPr>
          <w:rFonts w:ascii="Times New Roman" w:hAnsi="Times New Roman"/>
          <w:sz w:val="20"/>
        </w:rPr>
        <w:t xml:space="preserve"> </w:t>
      </w:r>
      <w:r>
        <w:rPr>
          <w:rFonts w:ascii="Times New Roman" w:hAnsi="Times New Roman"/>
          <w:sz w:val="20"/>
          <w:u w:val="single"/>
        </w:rPr>
        <w:t>Subsidiary</w:t>
      </w:r>
      <w:r>
        <w:rPr>
          <w:rFonts w:ascii="Times New Roman" w:hAnsi="Times New Roman"/>
          <w:sz w:val="20"/>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included in Consolidated Net Income, there shall be excluded in determining Consolidated EBITDA any expense (or income) as a result of adjustments recorded to contingent consideration liabilities relating to the Transactions or any Permitted Acquisition (or other Investment not prohibited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Consolidated EBITDA shall be deemed to equal (a) $189.95 million for the fiscal quarter ended September 30, 2018, (b) $174.05 million for the fiscal quarter ended December 31, 2018, (c) $188.85 million for the fiscal quarter ended March 31, 2019 and (d) $200.60 million for the fiscal quarter ended June 30, 2019 (it being understood that such amounts are subject to adjustments, as and to the extent otherwise contemplated in this Agreement, in connection with any Pro Forma Adjustment or any calculation on a Pro Forma Basis); </w:t>
      </w:r>
      <w:r>
        <w:rPr>
          <w:rFonts w:ascii="Times New Roman" w:hAnsi="Times New Roman"/>
          <w:sz w:val="20"/>
          <w:u w:val="single"/>
        </w:rPr>
        <w:t>provided</w:t>
      </w:r>
      <w:r>
        <w:rPr>
          <w:rFonts w:ascii="Times New Roman" w:hAnsi="Times New Roman"/>
          <w:sz w:val="20"/>
        </w:rPr>
        <w:t xml:space="preserve"> that such amounts of Consolidated EBITDA for any such fiscal quarter shall be adjusted to include, without duplication, any cost savings that would otherwise be included pursuant to clause (1)(i)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TextBody"/>
        <w:bidi w:val="0"/>
        <w:spacing w:before="0" w:after="0"/>
        <w:jc w:val="left"/>
        <w:rPr/>
      </w:pPr>
      <w:r>
        <w:rPr/>
        <w:t>“</w:t>
      </w:r>
      <w:r>
        <w:rPr>
          <w:rFonts w:ascii="Times New Roman" w:hAnsi="Times New Roman"/>
          <w:sz w:val="20"/>
          <w:u w:val="single"/>
        </w:rPr>
        <w:t>Consolidated Interest Expense</w:t>
      </w:r>
      <w:r>
        <w:rPr>
          <w:rFonts w:ascii="Times New Roman" w:hAnsi="Times New Roman"/>
          <w:sz w:val="20"/>
        </w:rPr>
        <w:t xml:space="preserve">” means, with respect to any Person for any period,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IFRS), (iv) the interest component of Capitalized Lease Obligations, and (v) net payments, if any, pursuant to interest rate Hedging Obligations with respect to Indebtedness, and excluding (o) all non-recurring cash interest expense consisting of liquidated damages for failure to timely comply with registration rights obligations, (p) any interest expense attributable to the exercise of appraisal rights and the settlement of any claims or actions (whether actual, contingent or potential) with respect thereto and with respect to any Investment, (q) any prepayment premium or penalty, (r) costs associated with obtaining Hedging Obligations and breakage costs in respect of Hedging Obligations related to interest rates, (s) any accretion of accrued interest on discounted liabilities (other than Indebtedness except to the extent arising from the application of purchase accounting), (t) penalties and interest relating to Taxes, (u) accretion or accrual of discounted liabilities not constituting Indebtedness, (v) any expense resulting from the discounting of Indebtedness in connection with the application of recapitalization or purchase accounting, (w) any “additional interest” with respect to debt securities, (x) [reserved], (y) any amortization or expensing of bridge, commitment and other financing fees and (z) commissions, discounts, yield and other fees and charges (including any interest expense) related to any Receivables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consolidated capitalized interest of such Person and its Restricted Subsidiaries for such period, whether paid or accrued;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interest income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interest on a Capitalized Lease Obligation shall be deemed to accrue at an interest rate reasonably determined by such Person to be the rate of interest implicit in such Capitalized Lease Obligation in accordance with IFRS.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means, with respect to any Person for any period, the aggregate of the Net Income, of such Person and its Restricted Subsidiaries for such period, on a consolidated basis, and otherwise determined in accordance with IFRS;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extraordinary, non-recurring or unusual gains or losses (less all fees and expenses relating thereto) or expenses (including the Transaction Costs or any multi-year strategic cost-saving initiatives, any unusual or non-recurring operating expenses directly attributable to the implementation of cost savings initiatives and any accruals or reserves in respect of any extraordinary, non-recurring or unusual items), severance, relocation costs, integration and facilities’ opening costs and other business optimization expenses (including related to new product introductions), recruiting fees, restructuring charges, accruals or reserves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TextBody"/>
        <w:bidi w:val="0"/>
        <w:spacing w:before="0" w:after="0"/>
        <w:jc w:val="left"/>
        <w:rPr>
          <w:rFonts w:ascii="Times New Roman" w:hAnsi="Times New Roman"/>
          <w:sz w:val="20"/>
        </w:rPr>
      </w:pPr>
      <w:r>
        <w:rPr>
          <w:rFonts w:ascii="Times New Roman" w:hAnsi="Times New Roman"/>
          <w:sz w:val="20"/>
        </w:rPr>
        <w:t xml:space="preserve">(including restructuring and integration costs related to acquisitions after the Effective Date and adjustments to existing reserves), whether or not classified as restructuring expense on the consolidated financial statements,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cumulative effect of a change in accounting principles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(3)     any income (loss) from disposed, abandoned or discontinued operations and any gains or losses on disposal of disposed, abandoned or discontinued operations shall be excluded (but if such operations are classified as discontinued due to the fact that they are subject to an agreement to dispose of such operations, only when and to the extent such operations are actually disposed of); </w:t>
      </w:r>
    </w:p>
    <w:p>
      <w:pPr>
        <w:pStyle w:val="TextBody"/>
        <w:bidi w:val="0"/>
        <w:spacing w:before="120" w:after="0"/>
        <w:jc w:val="left"/>
        <w:rPr>
          <w:rFonts w:ascii="Times New Roman" w:hAnsi="Times New Roman"/>
          <w:sz w:val="20"/>
        </w:rPr>
      </w:pPr>
      <w:r>
        <w:rPr>
          <w:rFonts w:ascii="Times New Roman" w:hAnsi="Times New Roman"/>
          <w:sz w:val="20"/>
        </w:rPr>
        <w:t xml:space="preserve">(4)     any gains or losses (less all fees and expenses relating thereto) attributable to asset dispositions, disposals or abandonments other than in the ordinary course of business, as determined in good faith by Bidco,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the Net Income for such period of any Person that is an Unrestricted Subsidiary, or any Person that is not a Subsidiary or that is accounted for by the equity method of accounting, shall be excluded; </w:t>
      </w:r>
      <w:r>
        <w:rPr>
          <w:rFonts w:ascii="Times New Roman" w:hAnsi="Times New Roman"/>
          <w:sz w:val="20"/>
          <w:u w:val="single"/>
        </w:rPr>
        <w:t>provided</w:t>
      </w:r>
      <w:r>
        <w:rPr>
          <w:rFonts w:ascii="Times New Roman" w:hAnsi="Times New Roman"/>
          <w:sz w:val="20"/>
        </w:rPr>
        <w:t xml:space="preserve"> 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(6)     solely for the purpose of determining the amount available for Restricted Payments under </w:t>
      </w:r>
      <w:r>
        <w:rPr>
          <w:rFonts w:ascii="Times New Roman" w:hAnsi="Times New Roman"/>
          <w:sz w:val="20"/>
          <w:u w:val="single"/>
        </w:rPr>
        <w:t>Section 6.05(a)(A)(1)</w:t>
      </w:r>
      <w:r>
        <w:rPr>
          <w:rFonts w:ascii="Times New Roman" w:hAnsi="Times New Roman"/>
          <w:sz w:val="20"/>
        </w:rPr>
        <w:t xml:space="preserve"> 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 restrictions that have been waived or otherwise released, (b) restrictions pursuant to the Loan Documents or this Agreement and (c) restrictions specified in clause (xviii) of </w:t>
      </w:r>
      <w:r>
        <w:rPr>
          <w:rFonts w:ascii="Times New Roman" w:hAnsi="Times New Roman"/>
          <w:sz w:val="20"/>
          <w:u w:val="single"/>
        </w:rPr>
        <w:t>Section 6.06(b)</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that Consolidated Net Income of Bidco shall be increased by the amount of dividends or other distributions or other payments actually paid in cash (or to the extent converted into cash) or Cash Equivalents to Bidco or a Restricted Subsidiary thereof in respect of such period, to the extent not already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(7)     effects of adjustments (including the effects of such adjustments pushed down to Bidco and its Restricted Subsidiaries) in the inventory, property and equipment, software, goodwill, other intangible assets, in-process research and development, deferred revenue, debt line items and other non-cash charges in such Person’s consolidated financial statements pursuant to IFRS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left"/>
        <w:rPr>
          <w:rFonts w:ascii="Times New Roman" w:hAnsi="Times New Roman"/>
          <w:sz w:val="20"/>
        </w:rPr>
      </w:pPr>
      <w:r>
        <w:rPr>
          <w:rFonts w:ascii="Times New Roman" w:hAnsi="Times New Roman"/>
          <w:sz w:val="20"/>
        </w:rPr>
        <w:t xml:space="preserve">(8)     any income (loss) from the early extinguishment or conversion of (a) Indebtedness, (b) Hedging Obligations or (c)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(9)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IFRS, and the amortization of intangibles arising pursuant to IFRS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(10)     (i) 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any cash charges associated with the rollover, acceleration or payout of Equity Interests by management of Bidco or any of its direct or indirect parent companies in connection with the Transactions and (iv) the amount of any expense required to be recorded as compensation expense related to contingent transaction consideration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(11)     any fees, expenses (including any transaction or retention bonus or similar payment) or charges incurred during such period, or any amortization thereof for such period, in connection with any acquisition, non-recurring costs to acquire equipment to the extent not capitalized in accordance with IFRS, Investment (including Investments in the form of Recruitment Notes and associated fees and expenses paid to recruiters in connection therewith), recapitalization, asset disposition, non-competition agreement, issuance, incurrence or repayment of Indebtedness (including such fees, expenses or charges related to the offering of the Loans) issuance of Equity Interests, refinancing transaction or amendment or modification of or waiver or consent relating to any debt instrument (including the obligations under this Agreement and the other Loan Documents) and including, in each case, without limitation,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IFRS),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(12)     accruals and reserves that are established or adjusted as a result of the Transactions or an Investment permitted under this Agreement in accordance with IFRS (including any adjustment of estimated payouts on earn-outs), or changes as a result of the adoption or modification of accounting policies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(13)     any expenses, charges, lost profits or losses that are covered by indemnification, insurance or other reimbursement provisions in connection with the Transactions, any investment, acquisition or any sale, conveyance, transfer or other disposition of assets permitted under this Agreement, to the extent actually reimbursed, or, so long as Bidco has made a determination that a reasonable basis exists for indemnification, insurance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(14)     to the extent covered by insurance and actually reimbursed, or, so long as Bidco has made a determination that there exists reasonable evidence that such amount will in fact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TextBody"/>
        <w:bidi w:val="0"/>
        <w:spacing w:before="0" w:after="0"/>
        <w:jc w:val="left"/>
        <w:rPr>
          <w:rFonts w:ascii="Times New Roman" w:hAnsi="Times New Roman"/>
          <w:sz w:val="20"/>
        </w:rPr>
      </w:pPr>
      <w:r>
        <w:rPr>
          <w:rFonts w:ascii="Times New Roman" w:hAnsi="Times New Roman"/>
          <w:sz w:val="20"/>
        </w:rPr>
        <w:t xml:space="preserve">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(15)     any net pension costs or other post-employment benefit costs representing amortization of unrecognized prior service costs, actuarial losses, including amortization of such amounts arising in prior periods, amortization of the unrecognized net obligation (and loss or cost), and any other non-cash items of a similar nature,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(16)    any Transaction Costs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(17)     any income (loss) from Investments recorded using the equity method of accounting (but including any cash dividends or distributions actually received by Bidco or any Restricted Subsidiary in respect of such investment)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(18)    the following items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(a)     any non-cash gain or loss (after any offset) attributable to the mark to market movement in the valuation of Hedging Obligations or other derivative instruments pursuant to IFRS 9 or mark to market movement of other financial instruments pursuant to IFRS 9 shall be excluded; </w:t>
      </w:r>
      <w:r>
        <w:rPr>
          <w:rFonts w:ascii="Times New Roman" w:hAnsi="Times New Roman"/>
          <w:sz w:val="20"/>
          <w:u w:val="single"/>
        </w:rPr>
        <w:t>provided</w:t>
      </w:r>
      <w:r>
        <w:rPr>
          <w:rFonts w:ascii="Times New Roman" w:hAnsi="Times New Roman"/>
          <w:sz w:val="20"/>
        </w:rPr>
        <w:t xml:space="preserve"> that any cash payments or receipts relating to transactions realized in a given period shall be taken into account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(b)     any non-cash gain or loss (after any offset) from currency translation and transaction gains or losses including those related to currency remeasurements of Indebtedness (including any net gain or loss resulting from hedging agreements for currency exchange risk and revaluations of intercompany balances) any other monetary assets and liabilities; and </w:t>
      </w:r>
    </w:p>
    <w:p>
      <w:pPr>
        <w:pStyle w:val="TextBody"/>
        <w:bidi w:val="0"/>
        <w:spacing w:before="120" w:after="0"/>
        <w:jc w:val="left"/>
        <w:rPr>
          <w:rFonts w:ascii="Times New Roman" w:hAnsi="Times New Roman"/>
          <w:sz w:val="20"/>
        </w:rPr>
      </w:pPr>
      <w:r>
        <w:rPr>
          <w:rFonts w:ascii="Times New Roman" w:hAnsi="Times New Roman"/>
          <w:sz w:val="20"/>
        </w:rPr>
        <w:t>(19)     any non-cash expenses, accruals or reserves related to adjustments to historical tax exposures (</w:t>
      </w:r>
      <w:r>
        <w:rPr>
          <w:rFonts w:ascii="Times New Roman" w:hAnsi="Times New Roman"/>
          <w:sz w:val="20"/>
          <w:u w:val="single"/>
        </w:rPr>
        <w:t>provided</w:t>
      </w:r>
      <w:r>
        <w:rPr>
          <w:rFonts w:ascii="Times New Roman" w:hAnsi="Times New Roman"/>
          <w:sz w:val="20"/>
        </w:rPr>
        <w:t xml:space="preserve">, in each case, that the cash payment in respect thereof in such future period shall be subtracted from Consolidated Net Income for the period in which such cash payment was made)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purpose of </w:t>
      </w:r>
      <w:r>
        <w:rPr>
          <w:rFonts w:ascii="Times New Roman" w:hAnsi="Times New Roman"/>
          <w:sz w:val="20"/>
          <w:u w:val="single"/>
        </w:rPr>
        <w:t>Section 6.05</w:t>
      </w:r>
      <w:r>
        <w:rPr>
          <w:rFonts w:ascii="Times New Roman" w:hAnsi="Times New Roman"/>
          <w:sz w:val="20"/>
        </w:rPr>
        <w:t xml:space="preserve"> hereof only (other than clause (A)(4) of </w:t>
      </w:r>
      <w:r>
        <w:rPr>
          <w:rFonts w:ascii="Times New Roman" w:hAnsi="Times New Roman"/>
          <w:sz w:val="20"/>
          <w:u w:val="single"/>
        </w:rPr>
        <w:t>Section 6.05(a)</w:t>
      </w:r>
      <w:r>
        <w:rPr>
          <w:rFonts w:ascii="Times New Roman" w:hAnsi="Times New Roman"/>
          <w:sz w:val="20"/>
        </w:rPr>
        <w:t xml:space="preserve">), there shall be excluded from Consolidated Net Income any income arising from any sale or other disposition of Restricted Investments made by Bidco and its Restricted Subsidiaries, any repurchases and redemptions of Restricted Investments from Bidco and its Restricted Subsidiaries, any repayments of loans and advances which constitute Restricted Investments by Bidco or any of its Restricted Subsidiaries, any sale or other disposition of the stock of an Unrestricted Subsidiary or any distribution or dividend from an Unrestricted Subsidiary, in each case only to the extent such amounts increase the amount of Restricted Payments permitted under </w:t>
      </w:r>
      <w:r>
        <w:rPr>
          <w:rFonts w:ascii="Times New Roman" w:hAnsi="Times New Roman"/>
          <w:sz w:val="20"/>
          <w:u w:val="single"/>
        </w:rPr>
        <w:t>Section 6.05(a)(A)(4)</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left"/>
        <w:rPr/>
      </w:pPr>
      <w:r>
        <w:rPr/>
        <w:t>“</w:t>
      </w:r>
      <w:r>
        <w:rPr>
          <w:rFonts w:ascii="Times New Roman" w:hAnsi="Times New Roman"/>
          <w:sz w:val="20"/>
          <w:u w:val="single"/>
        </w:rPr>
        <w:t>Consolidated Senior Secured First Lien Indebtedness</w:t>
      </w:r>
      <w:r>
        <w:rPr>
          <w:rFonts w:ascii="Times New Roman" w:hAnsi="Times New Roman"/>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on an equal priority basis with Liens on the Collateral securing the Loan Document Obligations (including, for avoidance of doubt, the Loan Document Obligations), determined on a consolidated basis in accordance with IFRS. </w:t>
      </w:r>
    </w:p>
    <w:p>
      <w:pPr>
        <w:pStyle w:val="TextBody"/>
        <w:bidi w:val="0"/>
        <w:spacing w:before="240" w:after="0"/>
        <w:jc w:val="left"/>
        <w:rPr/>
      </w:pPr>
      <w:r>
        <w:rPr/>
        <w:t>“</w:t>
      </w:r>
      <w:r>
        <w:rPr>
          <w:rFonts w:ascii="Times New Roman" w:hAnsi="Times New Roman"/>
          <w:sz w:val="20"/>
          <w:u w:val="single"/>
        </w:rPr>
        <w:t>Consolidated Senior Secured Indebtedness</w:t>
      </w:r>
      <w:r>
        <w:rPr>
          <w:rFonts w:ascii="Times New Roman" w:hAnsi="Times New Roman"/>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determined on a consolidated basis in accordance with IFRS. </w:t>
      </w:r>
    </w:p>
    <w:p>
      <w:pPr>
        <w:pStyle w:val="TextBody"/>
        <w:bidi w:val="0"/>
        <w:spacing w:before="240" w:after="0"/>
        <w:jc w:val="left"/>
        <w:rPr/>
      </w:pPr>
      <w:r>
        <w:rPr/>
        <w:t>“</w:t>
      </w:r>
      <w:r>
        <w:rPr>
          <w:rFonts w:ascii="Times New Roman" w:hAnsi="Times New Roman"/>
          <w:sz w:val="20"/>
          <w:u w:val="single"/>
        </w:rPr>
        <w:t>Consolidated Total Indebtedness</w:t>
      </w:r>
      <w:r>
        <w:rPr>
          <w:rFonts w:ascii="Times New Roman" w:hAnsi="Times New Roman"/>
          <w:sz w:val="20"/>
        </w:rPr>
        <w:t xml:space="preserve">” means, as of any date of determination, the aggregate amount of Indebtedness of Bidco and the Restricted Subsidiaries outstanding on such date, determined on a consolidated basis in accordance with IFRS (but excluding the effects of any discounting of Indebtedness resulting from the application of the acquisition method accounting in connection with the Transactions or any Permitted Acquisition (or other Investment not prohibited hereunder)) and consisting only of Indebtedness for borrowed money, drawn obligations under letters of credit that have not been reimbursed after two (2) Business Days, Capitalized Lease Obligations and debt obligations evidenced by promissory notes or similar instruments, but excluding any obligations under or in respect of Receivables Facilities and excluding outstanding Revolving Loans used to finance seasonal working capital needs of Bidco and its Subsidiaries (as reasonably determined by Bidco in its reasonable discretion), </w:t>
      </w:r>
      <w:r>
        <w:rPr>
          <w:rFonts w:ascii="Times New Roman" w:hAnsi="Times New Roman"/>
          <w:sz w:val="20"/>
          <w:u w:val="single"/>
        </w:rPr>
        <w:t>minus</w:t>
      </w:r>
      <w:r>
        <w:rPr>
          <w:rFonts w:ascii="Times New Roman" w:hAnsi="Times New Roman"/>
          <w:sz w:val="20"/>
        </w:rPr>
        <w:t xml:space="preserve"> the aggregate amount of cash and Cash Equivalents (in each case, free and clear of all liens, other than Liens permitted pursuant to </w:t>
      </w:r>
      <w:r>
        <w:rPr>
          <w:rFonts w:ascii="Times New Roman" w:hAnsi="Times New Roman"/>
          <w:sz w:val="20"/>
          <w:u w:val="single"/>
        </w:rPr>
        <w:t>Section 6.02</w:t>
      </w:r>
      <w:r>
        <w:rPr>
          <w:rFonts w:ascii="Times New Roman" w:hAnsi="Times New Roman"/>
          <w:sz w:val="20"/>
        </w:rPr>
        <w:t xml:space="preserve">), excluding cash and Cash Equivalents that are listed as “restricted” on the consolidated balance sheet of Bidco and the Restricted Subsidiaries as of such date, but including cash and Cash Equivalents subject to a Permitted Lien (which may also secure other Indebtedness secured by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lien on the Collateral along with the Secured Obligations). </w:t>
      </w:r>
    </w:p>
    <w:p>
      <w:pPr>
        <w:pStyle w:val="TextBody"/>
        <w:bidi w:val="0"/>
        <w:spacing w:before="240" w:after="0"/>
        <w:jc w:val="left"/>
        <w:rPr/>
      </w:pPr>
      <w:r>
        <w:rPr/>
        <w:t>“</w:t>
      </w:r>
      <w:r>
        <w:rPr>
          <w:rFonts w:ascii="Times New Roman" w:hAnsi="Times New Roman"/>
          <w:sz w:val="20"/>
          <w:u w:val="single"/>
        </w:rPr>
        <w:t>Consolidated Working Capital</w:t>
      </w:r>
      <w:r>
        <w:rPr>
          <w:rFonts w:ascii="Times New Roman" w:hAnsi="Times New Roman"/>
          <w:sz w:val="20"/>
        </w:rPr>
        <w:t xml:space="preserve">” means, at any date, the excess of (a) the sum of all amounts (other than cash and Cash Equivalents) that would, in conformity with IFRS, be set forth opposite the caption “total current assets” (or any like caption) on a consolidated balance sheet of Bidco and the Restricted Subsidiaries at such date, excluding the current portion of deferred income taxes </w:t>
      </w:r>
      <w:r>
        <w:rPr>
          <w:rFonts w:ascii="Times New Roman" w:hAnsi="Times New Roman"/>
          <w:sz w:val="20"/>
          <w:u w:val="single"/>
        </w:rPr>
        <w:t>over</w:t>
      </w:r>
      <w:r>
        <w:rPr>
          <w:rFonts w:ascii="Times New Roman" w:hAnsi="Times New Roman"/>
          <w:sz w:val="20"/>
        </w:rPr>
        <w:t xml:space="preserve"> (b) the sum of all amounts that would, in conformity with IFRS, be set forth opposite the caption “total current liabilities” (or any like caption) on a consolidated balance sheet of Bidco and the Restricted Subsidiaries on such date, including deferred revenue but excluding, without duplication, (i) the current portion of any Funded Debt, (ii) all Indebtedness consisting of Loans, Senior Secured Notes and obligations under Letters of Credit to the extent otherwise included therein, (iii) the current portion of interest and (iv) the current portion of current and deferred income taxes; </w:t>
      </w:r>
      <w:r>
        <w:rPr>
          <w:rFonts w:ascii="Times New Roman" w:hAnsi="Times New Roman"/>
          <w:sz w:val="20"/>
          <w:u w:val="single"/>
        </w:rPr>
        <w:t>provided</w:t>
      </w:r>
      <w:r>
        <w:rPr>
          <w:rFonts w:ascii="Times New Roman" w:hAnsi="Times New Roman"/>
          <w:sz w:val="20"/>
        </w:rPr>
        <w:t xml:space="preserve"> that, for purposes of calculating Excess Cash Flow, increases or decreases in working capital (A) arising from acquisitions or dispositions by Bidco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IFRS of assets or liabilities, as applicable, between current and noncurrent or (z) the effects of acquisition method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left"/>
        <w:rPr/>
      </w:pPr>
      <w:r>
        <w:rPr/>
        <w:t>“</w:t>
      </w:r>
      <w:r>
        <w:rPr>
          <w:rFonts w:ascii="Times New Roman" w:hAnsi="Times New Roman"/>
          <w:sz w:val="20"/>
          <w:u w:val="single"/>
        </w:rPr>
        <w:t>Contingent Obligations</w:t>
      </w:r>
      <w:r>
        <w:rPr>
          <w:rFonts w:ascii="Times New Roman" w:hAnsi="Times New Roman"/>
          <w:sz w:val="20"/>
        </w:rPr>
        <w:t xml:space="preserve">” means, with respect to any Person, any obligation of such Person guaranteeing any leases, dividends or other obligations that do not constitute Indebtedness (“primary obligations”) of any other Person (the “primary obligor”) in any manner, whether directly or indirectly, including, without limitation, any obligation of such Person, whether or not contingent, </w:t>
      </w:r>
    </w:p>
    <w:p>
      <w:pPr>
        <w:pStyle w:val="TextBody"/>
        <w:bidi w:val="0"/>
        <w:spacing w:before="240" w:after="0"/>
        <w:jc w:val="left"/>
        <w:rPr>
          <w:rFonts w:ascii="Times New Roman" w:hAnsi="Times New Roman"/>
          <w:sz w:val="20"/>
        </w:rPr>
      </w:pPr>
      <w:r>
        <w:rPr>
          <w:rFonts w:ascii="Times New Roman" w:hAnsi="Times New Roman"/>
          <w:sz w:val="20"/>
        </w:rPr>
        <w:t xml:space="preserve">(1)    to purchase any such primary obligation or any property constituting direct or indirect security therefor, </w:t>
      </w:r>
    </w:p>
    <w:p>
      <w:pPr>
        <w:pStyle w:val="TextBody"/>
        <w:bidi w:val="0"/>
        <w:spacing w:before="240" w:after="0"/>
        <w:jc w:val="left"/>
        <w:rPr>
          <w:rFonts w:ascii="Times New Roman" w:hAnsi="Times New Roman"/>
          <w:sz w:val="20"/>
        </w:rPr>
      </w:pPr>
      <w:r>
        <w:rPr>
          <w:rFonts w:ascii="Times New Roman" w:hAnsi="Times New Roman"/>
          <w:sz w:val="20"/>
        </w:rPr>
        <w:t xml:space="preserve">(2)    to advance or supply funds </w:t>
      </w:r>
    </w:p>
    <w:p>
      <w:pPr>
        <w:pStyle w:val="TextBody"/>
        <w:bidi w:val="0"/>
        <w:spacing w:before="240" w:after="0"/>
        <w:jc w:val="left"/>
        <w:rPr>
          <w:rFonts w:ascii="Times New Roman" w:hAnsi="Times New Roman"/>
          <w:sz w:val="20"/>
        </w:rPr>
      </w:pPr>
      <w:r>
        <w:rPr>
          <w:rFonts w:ascii="Times New Roman" w:hAnsi="Times New Roman"/>
          <w:sz w:val="20"/>
        </w:rPr>
        <w:t xml:space="preserve">(a)    for the purchase or payment of any such primary obligation, or </w:t>
      </w:r>
    </w:p>
    <w:p>
      <w:pPr>
        <w:pStyle w:val="TextBody"/>
        <w:bidi w:val="0"/>
        <w:spacing w:before="240" w:after="0"/>
        <w:jc w:val="left"/>
        <w:rPr>
          <w:rFonts w:ascii="Times New Roman" w:hAnsi="Times New Roman"/>
          <w:sz w:val="20"/>
        </w:rPr>
      </w:pPr>
      <w:r>
        <w:rPr>
          <w:rFonts w:ascii="Times New Roman" w:hAnsi="Times New Roman"/>
          <w:sz w:val="20"/>
        </w:rPr>
        <w:t xml:space="preserve">(b)     to maintain working capital or equity capital of the primary obligor or otherwise to maintain the net worth or solvency of the primary obligor, or </w:t>
      </w:r>
    </w:p>
    <w:p>
      <w:pPr>
        <w:pStyle w:val="TextBody"/>
        <w:bidi w:val="0"/>
        <w:spacing w:before="240" w:after="0"/>
        <w:jc w:val="left"/>
        <w:rPr>
          <w:rFonts w:ascii="Times New Roman" w:hAnsi="Times New Roman"/>
          <w:sz w:val="20"/>
        </w:rPr>
      </w:pPr>
      <w:r>
        <w:rPr>
          <w:rFonts w:ascii="Times New Roman" w:hAnsi="Times New Roman"/>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left"/>
        <w:rPr/>
      </w:pPr>
      <w:r>
        <w:rPr/>
        <w:t>“</w:t>
      </w:r>
      <w:r>
        <w:rPr>
          <w:rFonts w:ascii="Times New Roman" w:hAnsi="Times New Roman"/>
          <w:sz w:val="20"/>
          <w:u w:val="single"/>
        </w:rPr>
        <w:t>Contract Consideration</w:t>
      </w:r>
      <w:r>
        <w:rPr>
          <w:rFonts w:ascii="Times New Roman" w:hAnsi="Times New Roman"/>
          <w:sz w:val="20"/>
        </w:rPr>
        <w:t xml:space="preserve">” has the meaning assigned to such term in the definition of “Excess Cash Flow”. </w:t>
      </w:r>
    </w:p>
    <w:p>
      <w:pPr>
        <w:pStyle w:val="TextBody"/>
        <w:bidi w:val="0"/>
        <w:spacing w:before="240" w:after="0"/>
        <w:jc w:val="left"/>
        <w:rPr/>
      </w:pPr>
      <w:r>
        <w:rPr/>
        <w:t>“</w:t>
      </w:r>
      <w:r>
        <w:rPr>
          <w:rFonts w:ascii="Times New Roman" w:hAnsi="Times New Roman"/>
          <w:sz w:val="20"/>
          <w:u w:val="single"/>
        </w:rPr>
        <w:t>Contributed Holdings Investments</w:t>
      </w:r>
      <w:r>
        <w:rPr>
          <w:rFonts w:ascii="Times New Roman" w:hAnsi="Times New Roman"/>
          <w:sz w:val="20"/>
        </w:rPr>
        <w:t xml:space="preserve">” has the meaning assigned to such term in </w:t>
      </w:r>
      <w:r>
        <w:rPr>
          <w:rFonts w:ascii="Times New Roman" w:hAnsi="Times New Roman"/>
          <w:sz w:val="20"/>
          <w:u w:val="single"/>
        </w:rPr>
        <w:t>Section 6.05(b)(xv)(I)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hAnsi="Times New Roman"/>
          <w:sz w:val="20"/>
          <w:u w:val="single"/>
        </w:rPr>
        <w:t>Controlled</w:t>
      </w:r>
      <w:r>
        <w:rPr>
          <w:rFonts w:ascii="Times New Roman" w:hAnsi="Times New Roman"/>
          <w:sz w:val="20"/>
        </w:rPr>
        <w:t xml:space="preserve">” has the meaning correlative thereto. </w:t>
      </w:r>
    </w:p>
    <w:p>
      <w:pPr>
        <w:pStyle w:val="TextBody"/>
        <w:bidi w:val="0"/>
        <w:spacing w:before="240" w:after="0"/>
        <w:jc w:val="left"/>
        <w:rPr/>
      </w:pPr>
      <w:r>
        <w:rPr/>
        <w:t>“</w:t>
      </w:r>
      <w:r>
        <w:rPr>
          <w:rFonts w:ascii="Times New Roman" w:hAnsi="Times New Roman"/>
          <w:sz w:val="20"/>
          <w:u w:val="single"/>
        </w:rPr>
        <w:t>Controlled Investment Affiliate</w:t>
      </w:r>
      <w:r>
        <w:rPr>
          <w:rFonts w:ascii="Times New Roman" w:hAnsi="Times New Roman"/>
          <w:sz w:val="20"/>
        </w:rPr>
        <w:t xml:space="preserve">”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Bidco and/or other companies. </w:t>
      </w:r>
    </w:p>
    <w:p>
      <w:pPr>
        <w:pStyle w:val="TextBody"/>
        <w:bidi w:val="0"/>
        <w:spacing w:before="240" w:after="0"/>
        <w:jc w:val="left"/>
        <w:rPr/>
      </w:pPr>
      <w:r>
        <w:rPr/>
        <w:t>“</w:t>
      </w:r>
      <w:r>
        <w:rPr>
          <w:rFonts w:ascii="Times New Roman" w:hAnsi="Times New Roman"/>
          <w:sz w:val="20"/>
          <w:u w:val="single"/>
        </w:rPr>
        <w:t>Converted Restricted Subsidiary</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Converted Unrestricted Subsidiary</w:t>
      </w:r>
      <w:r>
        <w:rPr>
          <w:rFonts w:ascii="Times New Roman" w:hAnsi="Times New Roman"/>
          <w:sz w:val="20"/>
        </w:rPr>
        <w:t xml:space="preserve">” has the meaning given such term in the definition of “Consolidated EBITDA.” </w:t>
      </w:r>
    </w:p>
    <w:p>
      <w:pPr>
        <w:pStyle w:val="TextBody"/>
        <w:bidi w:val="0"/>
        <w:spacing w:before="240" w:after="0"/>
        <w:jc w:val="left"/>
        <w:rPr/>
      </w:pPr>
      <w:r>
        <w:rPr/>
        <w:t>“</w:t>
      </w:r>
      <w:r>
        <w:rPr>
          <w:rFonts w:ascii="Times New Roman" w:hAnsi="Times New Roman"/>
          <w:sz w:val="20"/>
          <w:u w:val="single"/>
        </w:rPr>
        <w:t>Convertible Bonds</w:t>
      </w:r>
      <w:r>
        <w:rPr>
          <w:rFonts w:ascii="Times New Roman" w:hAnsi="Times New Roman"/>
          <w:sz w:val="20"/>
        </w:rPr>
        <w:t xml:space="preserve">” means the $650,000,000 3.875% convertible bonds due 2023 issued by Inmarsat Group Holdings Limited (f/k/a Inmarsat plc).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Corresponding Tenor” with respect to any Available Tenor means, as applicable, either a tenor (including overnight) or an interest payment period having approximately the same length (disregarding business day adjustment) as such Available Tenor.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TextBody"/>
        <w:bidi w:val="0"/>
        <w:spacing w:before="0" w:after="0"/>
        <w:jc w:val="left"/>
        <w:rPr/>
      </w:pPr>
      <w:r>
        <w:rPr/>
        <w:t>“</w:t>
      </w:r>
      <w:r>
        <w:rPr>
          <w:rFonts w:ascii="Times New Roman" w:hAnsi="Times New Roman"/>
          <w:sz w:val="20"/>
          <w:u w:val="single"/>
        </w:rPr>
        <w:t>Court Order</w:t>
      </w:r>
      <w:r>
        <w:rPr>
          <w:rFonts w:ascii="Times New Roman" w:hAnsi="Times New Roman"/>
          <w:sz w:val="20"/>
        </w:rPr>
        <w:t xml:space="preserve">” means the order of the High Court of Justice of England and Wales sanctioning the Scheme. </w:t>
      </w:r>
    </w:p>
    <w:p>
      <w:pPr>
        <w:pStyle w:val="TextBody"/>
        <w:bidi w:val="0"/>
        <w:spacing w:before="240" w:after="0"/>
        <w:jc w:val="left"/>
        <w:rPr/>
      </w:pPr>
      <w:r>
        <w:rPr/>
        <w:t>“</w:t>
      </w:r>
      <w:r>
        <w:rPr>
          <w:rFonts w:ascii="Times New Roman" w:hAnsi="Times New Roman"/>
          <w:sz w:val="20"/>
          <w:u w:val="single"/>
        </w:rPr>
        <w:t>Co-operation Agreement</w:t>
      </w:r>
      <w:r>
        <w:rPr>
          <w:rFonts w:ascii="Times New Roman" w:hAnsi="Times New Roman"/>
          <w:sz w:val="20"/>
        </w:rPr>
        <w:t xml:space="preserve">” means the co-operation agreement, dated as of March 25, 2019, entered into between Bidco and the Company in respect of the Acquisition. </w:t>
      </w:r>
    </w:p>
    <w:p>
      <w:pPr>
        <w:pStyle w:val="TextBody"/>
        <w:bidi w:val="0"/>
        <w:spacing w:before="240" w:after="0"/>
        <w:jc w:val="left"/>
        <w:rPr/>
      </w:pPr>
      <w:r>
        <w:rPr/>
        <w:t>“</w:t>
      </w:r>
      <w:r>
        <w:rPr>
          <w:rFonts w:ascii="Times New Roman" w:hAnsi="Times New Roman"/>
          <w:sz w:val="20"/>
          <w:u w:val="single"/>
        </w:rPr>
        <w:t>Credit Agreement Refinancing Indebtedness</w:t>
      </w:r>
      <w:r>
        <w:rPr>
          <w:rFonts w:ascii="Times New Roman" w:hAnsi="Times New Roman"/>
          <w:sz w:val="20"/>
        </w:rPr>
        <w:t>” means Indebtedness issued, incurred or otherwise obtained (including by means of the extension or renewal of existing Indebtedness) in exchange for, or to extend, renew, replace or refinance, in whole or part, existing Term Loans, Revolving Loans (or unused Revolving Commitments) or Incremental Equivalent Debt (“</w:t>
      </w:r>
      <w:r>
        <w:rPr>
          <w:rFonts w:ascii="Times New Roman" w:hAnsi="Times New Roman"/>
          <w:sz w:val="20"/>
          <w:u w:val="single"/>
        </w:rPr>
        <w:t>Refinanced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except in the case of any Designated Earlier Maturing Debt,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and does not have a shorter Weighted Average Life to Maturity than the Refinanced Debt), (c) shall not be guaranteed by any entity that is not a Loan Party, (d) in the case of any secured Indebtedness (i) is not secured by any assets not securing the Secured Obligations and (ii) if not comprising Other Term Loans or Other Revolving Commitments hereunder that are secured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other Secured Obligations, is subject to a Customary Intercreditor Agreement(s) and (e) otherwise has terms and conditions that shall be reasonably satisfactory to Bidco and the lenders providing such Credit Agreement Refinancing Indebtedness. Notwithstanding anything to the contrary, no Credit Agreement Refinancing Indebtedness shall be subject to any “most favored nation” pricing adjustments set forth in this Agreement. </w:t>
      </w:r>
    </w:p>
    <w:p>
      <w:pPr>
        <w:pStyle w:val="TextBody"/>
        <w:bidi w:val="0"/>
        <w:spacing w:before="240" w:after="0"/>
        <w:jc w:val="left"/>
        <w:rPr/>
      </w:pPr>
      <w:r>
        <w:rPr/>
        <w:t>“</w:t>
      </w:r>
      <w:r>
        <w:rPr>
          <w:rFonts w:ascii="Times New Roman" w:hAnsi="Times New Roman"/>
          <w:sz w:val="20"/>
          <w:u w:val="single"/>
        </w:rPr>
        <w:t>Cure Amount</w:t>
      </w:r>
      <w:r>
        <w:rPr>
          <w:rFonts w:ascii="Times New Roman" w:hAnsi="Times New Roman"/>
          <w:sz w:val="20"/>
        </w:rPr>
        <w:t xml:space="preserve">” has the meaning assigned to such term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Cure Right</w:t>
      </w:r>
      <w:r>
        <w:rPr>
          <w:rFonts w:ascii="Times New Roman" w:hAnsi="Times New Roman"/>
          <w:sz w:val="20"/>
        </w:rPr>
        <w:t xml:space="preserve">” has the meaning assigned to such term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Customary Intercreditor Agreement</w:t>
      </w:r>
      <w:r>
        <w:rPr>
          <w:rFonts w:ascii="Times New Roman" w:hAnsi="Times New Roman"/>
          <w:sz w:val="20"/>
        </w:rPr>
        <w:t xml:space="preserve">” means (a) to the extent executed in connection with the incurrence of Indebtedness secured by Liens on the Collateral which are intended to rank equal in priority to the Liens on the Collateral securing the Secured Obligations, at the option of Bidco, either (i) an intercreditor agreement substantially in the form of the Pari Passu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Bidco, either (i) an intercreditor agreement substantially in the form of the Second Lien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junior to the Liens on the Collateral securing the Secured Obligations. With regard to any changes in light of prevailing market conditions as set forth above in clause (a)(i) or (b)(i) or with regard to clause (a)(ii) or (b)(ii), such changes or agreement, as applicable, shall be posted to the Lenders not less than five (5) Business Days before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left"/>
        <w:rPr>
          <w:rFonts w:ascii="Times New Roman" w:hAnsi="Times New Roman"/>
          <w:sz w:val="20"/>
        </w:rPr>
      </w:pPr>
      <w:r>
        <w:rPr>
          <w:rFonts w:ascii="Times New Roman" w:hAnsi="Times New Roman"/>
          <w:sz w:val="20"/>
        </w:rPr>
        <w:t xml:space="preserve">execution thereof and, if the Required Lenders shall not have objected to such changes within three (3) Business Days after posting, then the Required Lenders shall be deemed to have agreed that the Administrative Agent’s entry into such intercreditor agreement (including with such changes) is reasonable and to have consented to such intercreditor agreement (including with such changes) and to the Administrative Agent’s execution thereof.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Daily Simple RFR” shall mean, for any day (a “RFR Interest Day”), an interest rate per annum equal to (x) SONIA for the day that is five Business Days prior to (i) if such RFR Interest Day is a Business Day, such RFR Interest Day or (ii) if such RFR Interest Day is not a Business Day, the Business Day immediately preceding such RFR Interest Day (in each case of clauses (i) and (ii), such day being the “RFR Lookback Day” or (y) as otherwise determined pursuant to Section 2.13; provided that Daily Simple RFR (or any applicable successor rate) for any day shall not be (x) less than 1.00% per annum with respect to any Amendment No. 1 Refinancing Term Loans and (y) less than 0.00% per annum with respect to any Revolving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anything to the contrary contained in this Agreement or the other Loan Documents, the term “Daily Simple RFR” may be amended to refer to (x) a comparable successor rate that is the prevailing market standard for credit agreements of this type for the replacement of or successors to the SONIA rate in the U.S. syndicated loan market as reasonably determined by the Administrative Agent and the Borrower with the consent of (i) only the Administrative Agent (but not, for the avoidance of doubt, any other Lender) (such consent not to be unreasonably withheld or delayed) and Bidco (such consent not to be unreasonably withheld or delayed) or (ii) the Required Lenders and Bidco, and the Administrative Agent shall promptly notify each Lender of such amendment.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provided that Daily Simple SOFR (or any applicable successor rate) for any day shall not be less than (a) 1.00% per annum, with respect to any Amendment No. 1 Refinancing Term Loans and (b) 0.00% per annum, with respect to any Revolving Loans.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2.21(b)</w:t>
      </w:r>
      <w:r>
        <w:rPr>
          <w:rFonts w:ascii="Times New Roman" w:hAnsi="Times New Roman"/>
          <w:sz w:val="20"/>
        </w:rPr>
        <w:t xml:space="preserve">, any Lender that (a) has failed to perform any of its funding obligations hereunder, including in respect of its Loans or participations in respect of Letters of Credit or Swingline Loans, within two (2) Business Days of the date required to be funded by it hereunder, (b) has notified Bidco, the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(c) has failed, within three (3) Business Days after request by the Administrative Agent (whether acting on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left"/>
        <w:rPr>
          <w:rFonts w:ascii="Times New Roman" w:hAnsi="Times New Roman"/>
          <w:sz w:val="20"/>
        </w:rPr>
      </w:pPr>
      <w:r>
        <w:rPr>
          <w:rFonts w:ascii="Times New Roman" w:hAnsi="Times New Roman"/>
          <w:sz w:val="20"/>
        </w:rPr>
        <w:t>own behalf or at the reasonable request of Bidco (it being understood that the Administrative Agent shall comply with any such reasonable request)) or any Issuing Bank, to confirm in a manner satisfactory to the Administrative Agent, such Issuing Bank and Bidco that it will comply with its funding obligations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Bidco), or (d) has, or has a direct or indirect parent company that, other than via an Undisclosed Administration, (i) has become or is insolvent, (ii) has become the subject of a proceeding under any Debtor Relief Law, (iii) had a receiver, conservator, trustee, administrator, assignee for the benefit of creditors or similar Person charged with reorganization or liquidation of its business or a custodian appointed for it, (iv) has taken any action in furtherance of, or indicated its consent to, approval of or acquiescence in any such proceeding or appointment or (v) has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 </w:t>
      </w:r>
    </w:p>
    <w:p>
      <w:pPr>
        <w:pStyle w:val="TextBody"/>
        <w:bidi w:val="0"/>
        <w:spacing w:before="240" w:after="0"/>
        <w:jc w:val="left"/>
        <w:rPr/>
      </w:pPr>
      <w:r>
        <w:rPr/>
        <w:t>“</w:t>
      </w:r>
      <w:r>
        <w:rPr>
          <w:rFonts w:ascii="Times New Roman" w:hAnsi="Times New Roman"/>
          <w:sz w:val="20"/>
          <w:u w:val="single"/>
        </w:rPr>
        <w:t>Defaulting Lender Fronting Exposure</w:t>
      </w:r>
      <w:r>
        <w:rPr>
          <w:rFonts w:ascii="Times New Roman" w:hAnsi="Times New Roman"/>
          <w:sz w:val="20"/>
        </w:rPr>
        <w:t xml:space="preserve">” means, at any time there is a Revolving Lender that is a Defaulting Lender, (a) with respect to any Issuing Bank, such Defaulting Lender’s Applicable Percentage of the LC Exposure with respect to the Letters of Credit issued by such Issuing Bank, other than LC Exposure as to which such Defaulting Lender’s participation obligation has been reallocated to other Lenders or cash collateralized in accordance with the terms of this Agreement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of this Agreement. </w:t>
      </w:r>
    </w:p>
    <w:p>
      <w:pPr>
        <w:pStyle w:val="TextBody"/>
        <w:bidi w:val="0"/>
        <w:spacing w:before="240" w:after="0"/>
        <w:jc w:val="left"/>
        <w:rPr/>
      </w:pPr>
      <w:r>
        <w:rPr/>
        <w:t>“</w:t>
      </w:r>
      <w:r>
        <w:rPr>
          <w:rFonts w:ascii="Times New Roman" w:hAnsi="Times New Roman"/>
          <w:sz w:val="20"/>
          <w:u w:val="single"/>
        </w:rPr>
        <w:t>Designated Earlier Maturing Debt</w:t>
      </w:r>
      <w:r>
        <w:rPr>
          <w:rFonts w:ascii="Times New Roman" w:hAnsi="Times New Roman"/>
          <w:sz w:val="20"/>
        </w:rPr>
        <w:t xml:space="preserve">” means (x) any (i) Incremental Term Loans, (ii) Incremental Equivalent Debt, (iii) Credit Agreement Refinancing Indebtedness (other than Other Revolving Commitments) and/or (iv) other Indebtedness, in each case, incurred to consummate a Permitted Acquisition or other Investment not prohibited by this Agreement and (y) any (i) Incremental Term Loans, (ii) Incremental Equivalent Debt, (iii) Credit Agreement Refinancing Indebtedness (other than Other Revolving Commitments) and/or (iv) other Indebtedness designated by Bidco to the Administrative Agent that has a maturity date earlier than the Term Maturity Date and/or a shorter Weighted Average Life to Maturity than the remaining Amendment No. 1 Refinancing Term Loans; </w:t>
      </w:r>
      <w:r>
        <w:rPr>
          <w:rFonts w:ascii="Times New Roman" w:hAnsi="Times New Roman"/>
          <w:sz w:val="20"/>
          <w:u w:val="single"/>
        </w:rPr>
        <w:t>provided</w:t>
      </w:r>
      <w:r>
        <w:rPr>
          <w:rFonts w:ascii="Times New Roman" w:hAnsi="Times New Roman"/>
          <w:sz w:val="20"/>
        </w:rPr>
        <w:t xml:space="preserve"> that at the time of any incurrence of such Indebtedness pursuant to this clause (y), the aggregate principal amount of all such Indebtedness shall not exceed the greater of (x) $750,000,000 and (y) Consolidated EBITDA for the most recently ended Test Period as of such date, calculated on a Pro Forma Basis.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Bidco or a Restricted Subsidiary in connection with an Asset Sale that is so designated as Designated Non-cash Consideration pursuant to an officer’s certificate, setting forth the basis of such valuation, executed by a Financial Officer of Bidco or a Restricted Subsidiary, less the amount of cash or Cash Equivalents received in connection with a subsequent sale, redemption or repurchase of or collection or payment on such Designated Non-cash Consideration. </w:t>
      </w:r>
    </w:p>
    <w:p>
      <w:pPr>
        <w:pStyle w:val="TextBody"/>
        <w:bidi w:val="0"/>
        <w:spacing w:before="240" w:after="0"/>
        <w:jc w:val="left"/>
        <w:rPr/>
      </w:pPr>
      <w:r>
        <w:rPr/>
        <w:t>“</w:t>
      </w:r>
      <w:r>
        <w:rPr>
          <w:rFonts w:ascii="Times New Roman" w:hAnsi="Times New Roman"/>
          <w:sz w:val="20"/>
          <w:u w:val="single"/>
        </w:rPr>
        <w:t>Designated Alternative Security Debt</w:t>
      </w:r>
      <w:r>
        <w:rPr>
          <w:rFonts w:ascii="Times New Roman" w:hAnsi="Times New Roman"/>
          <w:sz w:val="20"/>
        </w:rPr>
        <w:t xml:space="preserve">” means any (i) Incremental Term Loans, (ii) Incremental Equivalent Debt, (iii) Credit Agreement Refinancing Indebtedness and/or (iv) other Indebtedness designated by Bidco to the Administrative Agent that is guaranteed by any entity that is not a Loan Party or secured by any assets other than Collateral; </w:t>
      </w:r>
      <w:r>
        <w:rPr>
          <w:rFonts w:ascii="Times New Roman" w:hAnsi="Times New Roman"/>
          <w:sz w:val="20"/>
          <w:u w:val="single"/>
        </w:rPr>
        <w:t>provided</w:t>
      </w:r>
      <w:r>
        <w:rPr>
          <w:rFonts w:ascii="Times New Roman" w:hAnsi="Times New Roman"/>
          <w:sz w:val="20"/>
        </w:rPr>
        <w:t xml:space="preserve"> that at the time of any incurrence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TextBody"/>
        <w:bidi w:val="0"/>
        <w:spacing w:before="0" w:after="0"/>
        <w:jc w:val="left"/>
        <w:rPr>
          <w:rFonts w:ascii="Times New Roman" w:hAnsi="Times New Roman"/>
          <w:sz w:val="20"/>
        </w:rPr>
      </w:pPr>
      <w:r>
        <w:rPr>
          <w:rFonts w:ascii="Times New Roman" w:hAnsi="Times New Roman"/>
          <w:sz w:val="20"/>
        </w:rPr>
        <w:t xml:space="preserve">such Indebtedness, the aggregate principal amount of all such Indebtedness shall not exceed the greater of (x) $375,000,000 and (y) 50% of Consolidated EBITDA for the most recently ended Test Period as of such date, calculated on a Pro Forma Basis. </w:t>
      </w:r>
    </w:p>
    <w:p>
      <w:pPr>
        <w:pStyle w:val="TextBody"/>
        <w:bidi w:val="0"/>
        <w:spacing w:before="240" w:after="0"/>
        <w:jc w:val="left"/>
        <w:rPr/>
      </w:pPr>
      <w:r>
        <w:rPr/>
        <w:t>“</w:t>
      </w:r>
      <w:r>
        <w:rPr>
          <w:rFonts w:ascii="Times New Roman" w:hAnsi="Times New Roman"/>
          <w:sz w:val="20"/>
          <w:u w:val="single"/>
        </w:rPr>
        <w:t>Designated Preferred Stock</w:t>
      </w:r>
      <w:r>
        <w:rPr>
          <w:rFonts w:ascii="Times New Roman" w:hAnsi="Times New Roman"/>
          <w:sz w:val="20"/>
        </w:rPr>
        <w:t xml:space="preserve">” means Preferred Stock of Bidco or any direct or indirect parent company thereof (in each case other than Disqualified Equity Interests) that is issued for cash (other than to a Restricted Subsidiary or an employee stock ownership plan or trust established by Bidco or any of its Subsidiaries) and is so designated as Designated Preferred Stock, pursuant to an officer’s certificate executed by a Financial Officer of Bidco, a Restricted Subsidiary or the applicable parent corporation thereof, as the case may be, on the issuance date thereof, the cash proceeds of which are excluded from the calculation set forth in clause (A) of </w:t>
      </w:r>
      <w:r>
        <w:rPr>
          <w:rFonts w:ascii="Times New Roman" w:hAnsi="Times New Roman"/>
          <w:sz w:val="20"/>
          <w:u w:val="single"/>
        </w:rPr>
        <w:t>Section 6.05(a)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Discount Prepayment Accepting Lender</w:t>
      </w:r>
      <w:r>
        <w:rPr>
          <w:rFonts w:ascii="Times New Roman" w:hAnsi="Times New Roman"/>
          <w:sz w:val="20"/>
        </w:rPr>
        <w:t xml:space="preserve">” has the meaning assigned to such term in </w:t>
      </w:r>
      <w:r>
        <w:rPr>
          <w:rFonts w:ascii="Times New Roman" w:hAnsi="Times New Roman"/>
          <w:sz w:val="20"/>
          <w:u w:val="single"/>
        </w:rPr>
        <w:t>Section 2.10(a)(ii)(B)(2)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w:t>
      </w:r>
      <w:r>
        <w:rPr>
          <w:rFonts w:ascii="Times New Roman" w:hAnsi="Times New Roman"/>
          <w:sz w:val="20"/>
          <w:u w:val="single"/>
        </w:rPr>
        <w:t>Discount Range Prepayment Amount</w:t>
      </w:r>
      <w:r>
        <w:rPr>
          <w:rFonts w:ascii="Times New Roman" w:hAnsi="Times New Roman"/>
          <w:sz w:val="20"/>
        </w:rPr>
        <w:t xml:space="preserve">” has the meaning assigned to such term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Notice</w:t>
      </w:r>
      <w:r>
        <w:rPr>
          <w:rFonts w:ascii="Times New Roman" w:hAnsi="Times New Roman"/>
          <w:sz w:val="20"/>
        </w:rPr>
        <w:t xml:space="preserve">” means a written notice of a Borrower Solicitation of Discount Range Prepayment Offers made pursuant to </w:t>
      </w:r>
      <w:r>
        <w:rPr>
          <w:rFonts w:ascii="Times New Roman" w:hAnsi="Times New Roman"/>
          <w:sz w:val="20"/>
          <w:u w:val="single"/>
        </w:rPr>
        <w:t>Section 2.10(a)(ii)(C)</w:t>
      </w:r>
      <w:r>
        <w:rPr>
          <w:rFonts w:ascii="Times New Roman" w:hAnsi="Times New Roman"/>
          <w:sz w:val="20"/>
        </w:rPr>
        <w:t xml:space="preserve"> substantially in the form of </w:t>
      </w:r>
      <w:r>
        <w:rPr>
          <w:rFonts w:ascii="Times New Roman" w:hAnsi="Times New Roman"/>
          <w:sz w:val="20"/>
          <w:u w:val="single"/>
        </w:rPr>
        <w:t>Exhibit 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Prepayment Offer</w:t>
      </w:r>
      <w:r>
        <w:rPr>
          <w:rFonts w:ascii="Times New Roman" w:hAnsi="Times New Roman"/>
          <w:sz w:val="20"/>
        </w:rPr>
        <w:t xml:space="preserve">” means the irrevocable written offer by a Term Lender, substantially in the form of </w:t>
      </w:r>
      <w:r>
        <w:rPr>
          <w:rFonts w:ascii="Times New Roman" w:hAnsi="Times New Roman"/>
          <w:sz w:val="20"/>
          <w:u w:val="single"/>
        </w:rPr>
        <w:t>Exhibit M</w:t>
      </w:r>
      <w:r>
        <w:rPr>
          <w:rFonts w:ascii="Times New Roman" w:hAnsi="Times New Roman"/>
          <w:sz w:val="20"/>
        </w:rPr>
        <w:t xml:space="preserve">, submitted in response to an invitation to submit offers following the Auction Agent’s receipt of a Discount Range Prepayment Notice. </w:t>
      </w:r>
    </w:p>
    <w:p>
      <w:pPr>
        <w:pStyle w:val="TextBody"/>
        <w:bidi w:val="0"/>
        <w:spacing w:before="240" w:after="0"/>
        <w:jc w:val="left"/>
        <w:rPr/>
      </w:pPr>
      <w:r>
        <w:rPr/>
        <w:t>“</w:t>
      </w:r>
      <w:r>
        <w:rPr>
          <w:rFonts w:ascii="Times New Roman" w:hAnsi="Times New Roman"/>
          <w:sz w:val="20"/>
          <w:u w:val="single"/>
        </w:rPr>
        <w:t>Discount Range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 Range Proration</w:t>
      </w:r>
      <w:r>
        <w:rPr>
          <w:rFonts w:ascii="Times New Roman" w:hAnsi="Times New Roman"/>
          <w:sz w:val="20"/>
        </w:rPr>
        <w:t xml:space="preserve">” has the meaning assigned to such term in </w:t>
      </w:r>
      <w:r>
        <w:rPr>
          <w:rFonts w:ascii="Times New Roman" w:hAnsi="Times New Roman"/>
          <w:sz w:val="20"/>
          <w:u w:val="single"/>
        </w:rPr>
        <w:t>Section 2.10(a)(ii)(C)(3)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Discounted Prepayment Determination Date</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Discounted Prepayment Effective Date</w:t>
      </w:r>
      <w:r>
        <w:rPr>
          <w:rFonts w:ascii="Times New Roman" w:hAnsi="Times New Roman"/>
          <w:sz w:val="20"/>
        </w:rPr>
        <w:t xml:space="preserve">” means in the case of a Borrower Offer of Specified Discount Prepayment or Borrower Solicitation of Discount Range Prepayment Offer, five (5) Business Days following the receipt by each relevant Term Lender of notice from the Auction Agent in accordance with </w:t>
      </w:r>
      <w:r>
        <w:rPr>
          <w:rFonts w:ascii="Times New Roman" w:hAnsi="Times New Roman"/>
          <w:sz w:val="20"/>
          <w:u w:val="single"/>
        </w:rPr>
        <w:t>Section 2.10(a)(ii)(B)</w:t>
      </w:r>
      <w:r>
        <w:rPr>
          <w:rFonts w:ascii="Times New Roman" w:hAnsi="Times New Roman"/>
          <w:sz w:val="20"/>
        </w:rPr>
        <w:t xml:space="preserve">, </w:t>
      </w:r>
      <w:r>
        <w:rPr>
          <w:rFonts w:ascii="Times New Roman" w:hAnsi="Times New Roman"/>
          <w:sz w:val="20"/>
          <w:u w:val="single"/>
        </w:rPr>
        <w:t>Section 2.10(a)(ii)(C)</w:t>
      </w:r>
      <w:r>
        <w:rPr>
          <w:rFonts w:ascii="Times New Roman" w:hAnsi="Times New Roman"/>
          <w:sz w:val="20"/>
        </w:rPr>
        <w:t xml:space="preserve"> or </w:t>
      </w:r>
      <w:r>
        <w:rPr>
          <w:rFonts w:ascii="Times New Roman" w:hAnsi="Times New Roman"/>
          <w:sz w:val="20"/>
          <w:u w:val="single"/>
        </w:rPr>
        <w:t>Section 2.10(a)(ii)(D)</w:t>
      </w:r>
      <w:r>
        <w:rPr>
          <w:rFonts w:ascii="Times New Roman" w:hAnsi="Times New Roman"/>
          <w:sz w:val="20"/>
        </w:rPr>
        <w:t xml:space="preserve">, as applicable unless a shorter period is agreed to between the Borrower and the Auction Agent. </w:t>
      </w:r>
    </w:p>
    <w:p>
      <w:pPr>
        <w:pStyle w:val="TextBody"/>
        <w:bidi w:val="0"/>
        <w:spacing w:before="240" w:after="0"/>
        <w:jc w:val="left"/>
        <w:rPr/>
      </w:pPr>
      <w:r>
        <w:rPr/>
        <w:t>“</w:t>
      </w:r>
      <w:r>
        <w:rPr>
          <w:rFonts w:ascii="Times New Roman" w:hAnsi="Times New Roman"/>
          <w:sz w:val="20"/>
          <w:u w:val="single"/>
        </w:rPr>
        <w:t>Discounted Term Loan Prepayment</w:t>
      </w:r>
      <w:r>
        <w:rPr>
          <w:rFonts w:ascii="Times New Roman" w:hAnsi="Times New Roman"/>
          <w:sz w:val="20"/>
        </w:rPr>
        <w:t xml:space="preserve">” has the meaning assigned to such term in </w:t>
      </w:r>
      <w:r>
        <w:rPr>
          <w:rFonts w:ascii="Times New Roman" w:hAnsi="Times New Roman"/>
          <w:sz w:val="20"/>
          <w:u w:val="single"/>
        </w:rPr>
        <w:t>Section 2.10(a)(ii)(A)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Disposed EBITDA</w:t>
      </w:r>
      <w:r>
        <w:rPr>
          <w:rFonts w:ascii="Times New Roman" w:hAnsi="Times New Roman"/>
          <w:sz w:val="20"/>
        </w:rPr>
        <w:t xml:space="preserve">”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Bidco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p>
    <w:p>
      <w:pPr>
        <w:pStyle w:val="TextBody"/>
        <w:bidi w:val="0"/>
        <w:spacing w:before="0" w:after="0"/>
        <w:jc w:val="left"/>
        <w:rPr/>
      </w:pPr>
      <w:r>
        <w:rPr/>
        <w:t>“</w:t>
      </w:r>
      <w:r>
        <w:rPr>
          <w:rFonts w:ascii="Times New Roman" w:hAnsi="Times New Roman"/>
          <w:sz w:val="20"/>
          <w:u w:val="single"/>
        </w:rPr>
        <w:t>disposition</w:t>
      </w:r>
      <w:r>
        <w:rPr>
          <w:rFonts w:ascii="Times New Roman" w:hAnsi="Times New Roman"/>
          <w:sz w:val="20"/>
        </w:rPr>
        <w:t xml:space="preserve">” has the meaning assigned to such term in clause (1) of the definition of “Asset Sale”. </w:t>
      </w:r>
    </w:p>
    <w:p>
      <w:pPr>
        <w:pStyle w:val="TextBody"/>
        <w:bidi w:val="0"/>
        <w:spacing w:before="240" w:after="0"/>
        <w:jc w:val="left"/>
        <w:rPr/>
      </w:pPr>
      <w:r>
        <w:rPr/>
        <w:t>“</w:t>
      </w:r>
      <w:r>
        <w:rPr>
          <w:rFonts w:ascii="Times New Roman" w:hAnsi="Times New Roman"/>
          <w:sz w:val="20"/>
          <w:u w:val="single"/>
        </w:rPr>
        <w:t>Disqualified Equity Interests</w:t>
      </w:r>
      <w:r>
        <w:rPr>
          <w:rFonts w:ascii="Times New Roman" w:hAnsi="Times New Roman"/>
          <w:sz w:val="20"/>
        </w:rPr>
        <w:t xml:space="preserve">” means, with respect to any Person, any Equity Interests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Loans or the date the Loans are no longer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Equity Interests held by any future, current or former employee, director, officer, manager or consultant (or their respective Controlled Investment Affiliates (excluding the Investors (but not excluding any future, current or former employee, director, officer, manager or consultant)) or Immediate Family Members), of Bidco, any of its Subsidiaries, any of its direct or indirect parent companies or any other entity in which Bidco or a Restricted Subsidiary has an Investment and is designated in good faith as an “affiliate” by the board of directors of Bidco or a Restricted Subsidiary (or the compensation committee thereof), in each case pursuant to any stock subscription or shareholders’ agreement, management equity plan or stock option plan or any other management or employee benefit plan or agreement shall not constitute Disqualified Equity Interests solely because it may be required to be repurchased by Bidco or its Subsidiaries or in order to satisfy applicable statutory or regulatory obligations. Notwithstanding the preceding sentence, any Equity Interests that would constitute Disqualified Equity Interests solely because the holders of the Equity Interests have the right to require Bidco or a Subsidiary to repurchase such Equity Interests upon the occurrence of a change of control or an asset sale shall not constitute Disqualified Equity Interests if the terms of such Equity Interests (and all such securities into which it is convertible or for which it is ratable or exchangeable) provide that Bidco or such Subsidiary may not repurchase or redeem any such Equity Interests (and all such securities into which it is convertible or for which it is ratable or exchangeable) pursuant to such provisions unless such repurchase or redemption complies with the terms of this Agreement. The amount of Disqualified Equity Interests deemed to be outstanding at any time for purposes of this Agreement shall be the maximum amount that Bidco and its Restricted Subsidiaries may become obligated to pay upon the maturity of, or pursuant to any mandatory redemption provisions of, such Disqualified Equity Interests, exclusive of accrued dividends. </w:t>
      </w:r>
    </w:p>
    <w:p>
      <w:pPr>
        <w:pStyle w:val="TextBody"/>
        <w:bidi w:val="0"/>
        <w:spacing w:before="240" w:after="0"/>
        <w:jc w:val="left"/>
        <w:rPr/>
      </w:pPr>
      <w:r>
        <w:rPr/>
        <w:t>“</w:t>
      </w:r>
      <w:r>
        <w:rPr>
          <w:rFonts w:ascii="Times New Roman" w:hAnsi="Times New Roman"/>
          <w:sz w:val="20"/>
          <w:u w:val="single"/>
        </w:rPr>
        <w:t>Disqualified Lenders</w:t>
      </w:r>
      <w:r>
        <w:rPr>
          <w:rFonts w:ascii="Times New Roman" w:hAnsi="Times New Roman"/>
          <w:sz w:val="20"/>
        </w:rPr>
        <w:t xml:space="preserve">” means (i) those Persons identified by Bidco or a Restricted Subsidiary to the Administrative Agent in writing prior to March 23, 2019 as being “Disqualified Lenders,” (ii) those Persons who are competitors of Bidco and its Subsidiaries (other than any bona fide diversified debt investment fund) identified by the Investors, Bidco or a Restricted Subsidiary to the Administrative Agent from time to time in writing (including by email) which designation shall become effective two (2) days after delivery of each such written designation to the Administrative Agent, but which shall not apply retroactively to disqualify any persons that have previously acquired an assignment or participation interest in any Loan, (iii) Excluded Affiliates and (iv) in the case of each Person identified pursuant to clause (ii) above, any of their Affiliates that are either (x) identified in writing by the Investors, Bidco or a Restricted Subsidiary to the Administrative Agent from time to time or (y) are known or reasonably identifiable as an Affiliate of such Person (other than Affiliates that are bona fide diversified debt investment funds).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TextBody"/>
        <w:bidi w:val="0"/>
        <w:spacing w:before="0" w:after="0"/>
        <w:jc w:val="left"/>
        <w:rPr/>
      </w:pPr>
      <w:r>
        <w:rPr/>
        <w:t>“</w:t>
      </w:r>
      <w:r>
        <w:rPr>
          <w:rFonts w:ascii="Times New Roman" w:hAnsi="Times New Roman"/>
          <w:sz w:val="20"/>
          <w:u w:val="single"/>
        </w:rPr>
        <w:t>Division</w:t>
      </w:r>
      <w:r>
        <w:rPr>
          <w:rFonts w:ascii="Times New Roman" w:hAnsi="Times New Roman"/>
          <w:sz w:val="20"/>
        </w:rPr>
        <w:t xml:space="preserve">” has the meaning assigned to such term in </w:t>
      </w:r>
      <w:r>
        <w:rPr>
          <w:rFonts w:ascii="Times New Roman" w:hAnsi="Times New Roman"/>
          <w:sz w:val="20"/>
          <w:u w:val="single"/>
        </w:rPr>
        <w:t>Section 1.10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on any date of determination, (a) with respect to any amount denominated in dollars, such amount, and (b) with respect to any amount in any Alternative Currency or any other currency, the equivalent in dollars of such amount, as determined by the Administrative Agent or the applicable Issuing Bank, as applicable, pursuant to </w:t>
      </w:r>
      <w:r>
        <w:rPr>
          <w:rFonts w:ascii="Times New Roman" w:hAnsi="Times New Roman"/>
          <w:sz w:val="20"/>
          <w:u w:val="single"/>
        </w:rPr>
        <w:t>Section 1.09</w:t>
      </w:r>
      <w:r>
        <w:rPr>
          <w:rFonts w:ascii="Times New Roman" w:hAnsi="Times New Roman"/>
          <w:sz w:val="20"/>
        </w:rPr>
        <w:t xml:space="preserve"> using the Spot Rate with respect to such currency at the time in effect under the provisions of such Section.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240" w:after="0"/>
        <w:jc w:val="left"/>
        <w:rPr/>
      </w:pPr>
      <w:r>
        <w:rPr/>
        <w:t>“</w:t>
      </w:r>
      <w:r>
        <w:rPr>
          <w:rFonts w:ascii="Times New Roman" w:hAnsi="Times New Roman"/>
          <w:sz w:val="20"/>
          <w:u w:val="single"/>
        </w:rPr>
        <w:t>Domestic Foreign Holdco</w:t>
      </w:r>
      <w:r>
        <w:rPr>
          <w:rFonts w:ascii="Times New Roman" w:hAnsi="Times New Roman"/>
          <w:sz w:val="20"/>
        </w:rPr>
        <w:t xml:space="preserve">” means any Subsidiary that is not a CFC, substantially all of whose assets (directly and/or indirectly through one or more Subsidiaries) are capital stock (and, if applicable, debt) of one or more Subsidiaries that are (1) CFCs that are direct or indirect Subsidiaries of a Domestic Subsidiary and/or (2) other Domestic Foreign Holdcos.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that is organized under the law of the United States, any state thereof or the District of Columbia.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Early Opt-in Election ” shall mean, with respect to any Relevant Rate, the occurrence 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(1)</w:t>
      </w:r>
      <w:r>
        <w:rPr>
          <w:rFonts w:ascii="Times New Roman" w:hAnsi="Times New Roman"/>
          <w:sz w:val="20"/>
        </w:rPr>
        <w:t xml:space="preserve">     </w:t>
      </w:r>
      <w:r>
        <w:rPr>
          <w:rFonts w:ascii="Times New Roman" w:hAnsi="Times New Roman"/>
          <w:color w:val="0000FF"/>
          <w:sz w:val="20"/>
          <w:u w:val="single"/>
          <w:bdr w:val="double" w:sz="2" w:space="1" w:color="000000"/>
        </w:rPr>
        <w:t>a notification by the Administrative Agent to (or the request by Bidco and the Borrower to the Administrative Agent to notify) each of the other parties hereto that U.S. syndicated credit facilities denominated in the applicable Agreed Currency being executed at such time, or that include language similar to that contained in Section 2.13 are being executed or amended, as applicable, to incorporate or adopt a new benchmark interest rate to replace such Relevant Rate,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(2)</w:t>
      </w:r>
      <w:r>
        <w:rPr>
          <w:rFonts w:ascii="Times New Roman" w:hAnsi="Times New Roman"/>
          <w:sz w:val="20"/>
        </w:rPr>
        <w:t xml:space="preserve">     </w:t>
      </w:r>
      <w:r>
        <w:rPr>
          <w:rFonts w:ascii="Times New Roman" w:hAnsi="Times New Roman"/>
          <w:color w:val="0000FF"/>
          <w:sz w:val="20"/>
          <w:u w:val="single"/>
          <w:bdr w:val="double" w:sz="2" w:space="1" w:color="000000"/>
        </w:rPr>
        <w:t>the joint election by the Administrative Agent, Bidco and the Borrower to declare that an Early Opt-in Election for such Relevant Rate has occurred and the provision, as applicable, by the Administrative Agent of written notice of such election to Bidco and the Borrower and the Lenders.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ECF Percentage</w:t>
      </w:r>
      <w:r>
        <w:rPr>
          <w:rFonts w:ascii="Times New Roman" w:hAnsi="Times New Roman"/>
          <w:sz w:val="20"/>
        </w:rPr>
        <w:t xml:space="preserve">” means, with respect to the prepayment required by </w:t>
      </w:r>
      <w:r>
        <w:rPr>
          <w:rFonts w:ascii="Times New Roman" w:hAnsi="Times New Roman"/>
          <w:sz w:val="20"/>
          <w:u w:val="single"/>
        </w:rPr>
        <w:t>Section 2.10(d)</w:t>
      </w:r>
      <w:r>
        <w:rPr>
          <w:rFonts w:ascii="Times New Roman" w:hAnsi="Times New Roman"/>
          <w:sz w:val="20"/>
        </w:rPr>
        <w:t xml:space="preserve"> with respect to any fiscal year of Bidco, if the Senior Secured First Lien Net Leverage Ratio (prior to giving effect to the applicable prepayment pursuant to </w:t>
      </w:r>
      <w:r>
        <w:rPr>
          <w:rFonts w:ascii="Times New Roman" w:hAnsi="Times New Roman"/>
          <w:sz w:val="20"/>
          <w:u w:val="single"/>
        </w:rPr>
        <w:t>Section 2.10(d)</w:t>
      </w:r>
      <w:r>
        <w:rPr>
          <w:rFonts w:ascii="Times New Roman" w:hAnsi="Times New Roman"/>
          <w:sz w:val="20"/>
        </w:rPr>
        <w:t xml:space="preserve">, but after giving effect to any voluntary prepayments made pursuant to </w:t>
      </w:r>
      <w:r>
        <w:rPr>
          <w:rFonts w:ascii="Times New Roman" w:hAnsi="Times New Roman"/>
          <w:sz w:val="20"/>
          <w:u w:val="single"/>
        </w:rPr>
        <w:t>Section 2.10(a)</w:t>
      </w:r>
      <w:r>
        <w:rPr>
          <w:rFonts w:ascii="Times New Roman" w:hAnsi="Times New Roman"/>
          <w:sz w:val="20"/>
        </w:rPr>
        <w:t xml:space="preserve"> or otherwise in a manner not prohibited by </w:t>
      </w:r>
      <w:r>
        <w:rPr>
          <w:rFonts w:ascii="Times New Roman" w:hAnsi="Times New Roman"/>
          <w:sz w:val="20"/>
          <w:u w:val="single"/>
        </w:rPr>
        <w:t>Section 9.04(g)</w:t>
      </w:r>
      <w:r>
        <w:rPr>
          <w:rFonts w:ascii="Times New Roman" w:hAnsi="Times New Roman"/>
          <w:sz w:val="20"/>
        </w:rPr>
        <w:t xml:space="preserve"> prior to the date of such prepayment) as of the end of such fiscal year is (a) greater than 4.60 to 1.00, 50% of Excess Cash Flow for such fiscal year, (b) greater than 4.10 to 1.00 but less than or equal to 4.60 to 1.00, 25% of Excess Cash Flow for such fiscal year and (c) less than or equal to 4.10 to 1.00, 0% of Excess Cash Flow for such fiscal year.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TextBody"/>
        <w:bidi w:val="0"/>
        <w:spacing w:before="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means December 12, 2019. </w:t>
      </w:r>
    </w:p>
    <w:p>
      <w:pPr>
        <w:pStyle w:val="TextBody"/>
        <w:bidi w:val="0"/>
        <w:spacing w:before="240" w:after="0"/>
        <w:jc w:val="left"/>
        <w:rPr/>
      </w:pPr>
      <w:r>
        <w:rPr/>
        <w:t>“</w:t>
      </w:r>
      <w:r>
        <w:rPr>
          <w:rFonts w:ascii="Times New Roman" w:hAnsi="Times New Roman"/>
          <w:sz w:val="20"/>
          <w:u w:val="single"/>
        </w:rPr>
        <w:t>Effective Yield</w:t>
      </w:r>
      <w:r>
        <w:rPr>
          <w:rFonts w:ascii="Times New Roman" w:hAnsi="Times New Roman"/>
          <w:sz w:val="20"/>
        </w:rPr>
        <w:t xml:space="preserve">” means, as to any Indebtedness, the effective yield on such Indebtedness in the reasonable determination of the Administrative Agent and Bidco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(and, with respect to the Amendment No. 1 Refinancing Term Loans, assuming that such Loans were issued with the same upfront fees and original issue discount as the Initial Term Loans)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w:t>
      </w:r>
      <w:r>
        <w:rPr>
          <w:rFonts w:ascii="Times New Roman" w:hAnsi="Times New Roman"/>
          <w:sz w:val="20"/>
          <w:u w:val="single"/>
        </w:rPr>
        <w:t>Section 2.10(a)(i)</w:t>
      </w:r>
      <w:r>
        <w:rPr>
          <w:rFonts w:ascii="Times New Roman" w:hAnsi="Times New Roman"/>
          <w:sz w:val="20"/>
        </w:rPr>
        <w:t xml:space="preserve">, any original issue discount or upfront fees payable in connection with the Initial Term Loans issued on the Effective Date); </w:t>
      </w:r>
      <w:r>
        <w:rPr>
          <w:rFonts w:ascii="Times New Roman" w:hAnsi="Times New Roman"/>
          <w:sz w:val="20"/>
          <w:u w:val="single"/>
        </w:rPr>
        <w:t>provided</w:t>
      </w:r>
      <w:r>
        <w:rPr>
          <w:rFonts w:ascii="Times New Roman" w:hAnsi="Times New Roman"/>
          <w:sz w:val="20"/>
        </w:rPr>
        <w:t xml:space="preserve"> that with respect to any Indebtedness that includes a “LIBOR floor”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“SOFR floor”</w:t>
      </w:r>
      <w:r>
        <w:rPr>
          <w:rFonts w:ascii="Times New Roman" w:hAnsi="Times New Roman"/>
          <w:sz w:val="20"/>
        </w:rPr>
        <w:t xml:space="preserve"> or “Base Rate floor</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 xml:space="preserve">or other benchmark floor </w:t>
      </w:r>
      <w:r>
        <w:rPr>
          <w:rFonts w:ascii="Times New Roman" w:hAnsi="Times New Roman"/>
          <w:sz w:val="20"/>
        </w:rPr>
        <w:t>(i) to the extent that the LIBO Rate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 Term SOFR,</w:t>
      </w:r>
      <w:r>
        <w:rPr>
          <w:rFonts w:ascii="Times New Roman" w:hAnsi="Times New Roman"/>
          <w:sz w:val="20"/>
        </w:rPr>
        <w:t xml:space="preserve"> Alternate Base Rate </w:t>
      </w:r>
      <w:r>
        <w:rPr>
          <w:rFonts w:ascii="Times New Roman" w:hAnsi="Times New Roman"/>
          <w:color w:val="0000FF"/>
          <w:sz w:val="20"/>
          <w:u w:val="single"/>
          <w:bdr w:val="double" w:sz="2" w:space="1" w:color="000000"/>
        </w:rPr>
        <w:t xml:space="preserve">or Daily Simple RFR </w:t>
      </w:r>
      <w:r>
        <w:rPr>
          <w:rFonts w:ascii="Times New Roman" w:hAnsi="Times New Roman"/>
          <w:sz w:val="20"/>
        </w:rPr>
        <w:t>(without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 Term SOFR,</w:t>
      </w:r>
      <w:r>
        <w:rPr>
          <w:rFonts w:ascii="Times New Roman" w:hAnsi="Times New Roman"/>
          <w:sz w:val="20"/>
        </w:rPr>
        <w:t xml:space="preserve"> Alternate Base Rate </w:t>
      </w:r>
      <w:r>
        <w:rPr>
          <w:rFonts w:ascii="Times New Roman" w:hAnsi="Times New Roman"/>
          <w:color w:val="0000FF"/>
          <w:sz w:val="20"/>
          <w:u w:val="single"/>
          <w:bdr w:val="double" w:sz="2" w:space="1" w:color="000000"/>
        </w:rPr>
        <w:t xml:space="preserve">or Daily Simple RFR </w:t>
      </w:r>
      <w:r>
        <w:rPr>
          <w:rFonts w:ascii="Times New Roman" w:hAnsi="Times New Roman"/>
          <w:sz w:val="20"/>
        </w:rPr>
        <w:t xml:space="preserve">(without giving effect to any floors in such definitions), as applicable, on the date that the Effective Yield is being calculated is greater than such floor, then the floor shall be disregarded in calculating the Effective Yield.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 a Lender, (b) an Affiliate of a Lender, (c) an Approved Fund and (d) any other Person (other than Holdings, any Intermediate Parent, Bidco or any of their respective Affiliates), other than, in each case, (i) a natural person, (ii) a Defaulting Lender or (iii) a Disqualified Lender. Notwithstanding the foregoing, each Loan Party and each Lender acknowledges and agrees that the Administrative Agent shall have no liability with respect to any assignment made to a Disqualified Lender unless (i) the Administrative Agent has acted with gross negligence, bad faith or willful misconduct (as determined by a court of competent jurisdiction in a final and non-appealable judgment) and (ii) Bidco has not consented to such assignment or is not deemed to have consented to such assignment to the extent required by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EMU Legislation</w:t>
      </w:r>
      <w:r>
        <w:rPr>
          <w:rFonts w:ascii="Times New Roman" w:hAnsi="Times New Roman"/>
          <w:sz w:val="20"/>
        </w:rPr>
        <w:t xml:space="preserve">” means the legislative measures of the European Council for the introduction of, changeover to or operation of a single or unified European currency.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shall mean ambient air, indoor air, surface water, groundwater, drinking water, land surface, sediments, and subsurface strata and natural resources such as wetlands, flora and fauna.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all applicable Requirements of Law relating to the protection of the environment, to preservation or reclamation of natural resources, to the Release or threatened Release of any Hazardous Material, or (to the extent relating to exposure to Hazardous Materials) to health or safety matters.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resulting from or based upon (a) any actual or alleged violation of any Environmental Law or permit, license or approval issued thereunder, (b) the generation, use, handling, transportation, storage, or treatment of any Hazardous Materials, (c) exposure to any Hazardous Materials or (d) the Release or threatened Release of any Hazardous Materials. </w:t>
      </w:r>
    </w:p>
    <w:p>
      <w:pPr>
        <w:pStyle w:val="TextBody"/>
        <w:bidi w:val="0"/>
        <w:spacing w:before="240" w:after="0"/>
        <w:jc w:val="left"/>
        <w:rPr/>
      </w:pPr>
      <w:r>
        <w:rPr/>
        <w:t>“</w:t>
      </w:r>
      <w:r>
        <w:rPr>
          <w:rFonts w:ascii="Times New Roman" w:hAnsi="Times New Roman"/>
          <w:sz w:val="20"/>
          <w:u w:val="single"/>
        </w:rPr>
        <w:t>Equity Contributions</w:t>
      </w:r>
      <w:r>
        <w:rPr>
          <w:rFonts w:ascii="Times New Roman" w:hAnsi="Times New Roman"/>
          <w:sz w:val="20"/>
        </w:rPr>
        <w:t xml:space="preserve">” means the aggregate amount of investments (made on or prior to the relevant date of determination) in cash or in kind in the form of equity interests (including share subscriptions, share premium and/or contribution to capital reserves) or Subordinated Shareholder Liabilities by the Investors and Holdings (or any of their parent entities) (directly or indirectly) to Bidco.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w:t>
      </w:r>
    </w:p>
    <w:p>
      <w:pPr>
        <w:pStyle w:val="TextBody"/>
        <w:bidi w:val="0"/>
        <w:spacing w:before="240" w:after="0"/>
        <w:jc w:val="left"/>
        <w:rPr/>
      </w:pPr>
      <w:r>
        <w:rPr/>
        <w:t>“</w:t>
      </w:r>
      <w:r>
        <w:rPr>
          <w:rFonts w:ascii="Times New Roman" w:hAnsi="Times New Roman"/>
          <w:sz w:val="20"/>
          <w:u w:val="single"/>
        </w:rPr>
        <w:t>Equity Offering</w:t>
      </w:r>
      <w:r>
        <w:rPr>
          <w:rFonts w:ascii="Times New Roman" w:hAnsi="Times New Roman"/>
          <w:sz w:val="20"/>
        </w:rPr>
        <w:t xml:space="preserve">” means any public or private sale of common stock or Preferred Stock of Bidco or any of its direct or indirect parent companies (excluding Disqualified Equity Interest), other than: </w:t>
      </w:r>
    </w:p>
    <w:p>
      <w:pPr>
        <w:pStyle w:val="TextBody"/>
        <w:bidi w:val="0"/>
        <w:spacing w:before="120" w:after="0"/>
        <w:jc w:val="left"/>
        <w:rPr>
          <w:rFonts w:ascii="Times New Roman" w:hAnsi="Times New Roman"/>
          <w:sz w:val="20"/>
        </w:rPr>
      </w:pPr>
      <w:r>
        <w:rPr>
          <w:rFonts w:ascii="Times New Roman" w:hAnsi="Times New Roman"/>
          <w:sz w:val="20"/>
        </w:rPr>
        <w:t xml:space="preserve">(1)    public offerings with respect to Bidco’s or any direct or indirect parent company’s common stock registered on Form S-8; </w:t>
      </w:r>
    </w:p>
    <w:p>
      <w:pPr>
        <w:pStyle w:val="TextBody"/>
        <w:bidi w:val="0"/>
        <w:spacing w:before="120" w:after="0"/>
        <w:jc w:val="left"/>
        <w:rPr>
          <w:rFonts w:ascii="Times New Roman" w:hAnsi="Times New Roman"/>
          <w:sz w:val="20"/>
        </w:rPr>
      </w:pPr>
      <w:r>
        <w:rPr>
          <w:rFonts w:ascii="Times New Roman" w:hAnsi="Times New Roman"/>
          <w:sz w:val="20"/>
        </w:rPr>
        <w:t xml:space="preserve">(2)    issuances to any Subsidiary of Bidco; and </w:t>
      </w:r>
    </w:p>
    <w:p>
      <w:pPr>
        <w:pStyle w:val="TextBody"/>
        <w:bidi w:val="0"/>
        <w:spacing w:before="120" w:after="0"/>
        <w:jc w:val="left"/>
        <w:rPr>
          <w:rFonts w:ascii="Times New Roman" w:hAnsi="Times New Roman"/>
          <w:sz w:val="20"/>
        </w:rPr>
      </w:pPr>
      <w:r>
        <w:rPr>
          <w:rFonts w:ascii="Times New Roman" w:hAnsi="Times New Roman"/>
          <w:sz w:val="20"/>
        </w:rPr>
        <w:t xml:space="preserve">(3)    any such public or private sale that constitutes an Excluded Contribution or a Contributed Holdings Investment.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TextBody"/>
        <w:bidi w:val="0"/>
        <w:spacing w:before="0" w:after="0"/>
        <w:jc w:val="left"/>
        <w:rPr>
          <w:rFonts w:ascii="Times New Roman" w:hAnsi="Times New Roman"/>
          <w:sz w:val="20"/>
        </w:rPr>
      </w:pPr>
      <w:r>
        <w:rPr>
          <w:rFonts w:ascii="Times New Roman" w:hAnsi="Times New Roman"/>
          <w:sz w:val="20"/>
        </w:rPr>
        <w:t xml:space="preserve">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its withdrawal or partial withdrawal from any Multiemployer Plan; (h) the receipt by a Loan Party or any ERISA Affiliate from a Multiemployer Plan of any notice concerning the imposition of Withdrawal Liability on a Loan Party or ERISA Affiliate; (i) the failure of a Loan Party or any ERISA Affiliate to pay when due, after the expiration of any applicable grace period, any installment payment with respect to any Withdrawal Liability; or (j)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Participating Member States introduced in accordance with the EMU Legislation. </w:t>
      </w:r>
    </w:p>
    <w:p>
      <w:pPr>
        <w:pStyle w:val="TextBody"/>
        <w:bidi w:val="0"/>
        <w:spacing w:before="240" w:after="0"/>
        <w:jc w:val="left"/>
        <w:rPr/>
      </w:pPr>
      <w:r>
        <w:rPr/>
        <w:t>“</w:t>
      </w:r>
      <w:r>
        <w:rPr>
          <w:rFonts w:ascii="Times New Roman" w:hAnsi="Times New Roman"/>
          <w:sz w:val="20"/>
          <w:u w:val="single"/>
        </w:rPr>
        <w:t>Eurodollar</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LIBO Rate.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means, for any period, an amount equal to the excess of: </w:t>
      </w:r>
    </w:p>
    <w:p>
      <w:pPr>
        <w:pStyle w:val="TextBody"/>
        <w:bidi w:val="0"/>
        <w:spacing w:before="120" w:after="0"/>
        <w:jc w:val="left"/>
        <w:rPr>
          <w:rFonts w:ascii="Times New Roman" w:hAnsi="Times New Roman"/>
          <w:sz w:val="20"/>
        </w:rPr>
      </w:pPr>
      <w:r>
        <w:rPr>
          <w:rFonts w:ascii="Times New Roman" w:hAnsi="Times New Roman"/>
          <w:sz w:val="20"/>
        </w:rPr>
        <w:t xml:space="preserve">(a)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(ii)    an amount equal to the amount of all non-cash charges to the extent deducted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(iii)    decreases in Consolidated Working Capital and long-term accounts receivable for such period (other than decreases relating to dispositions permitted pursuant to clause (k) of the definition of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loss on dispositions by Bidco and the Restricted Subsidiaries during such period (other than dispositions in the ordinary course of business) to the extent deducted in arriving at such Consolidated Net Income,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TextBody"/>
        <w:bidi w:val="0"/>
        <w:spacing w:before="0" w:after="0"/>
        <w:jc w:val="left"/>
        <w:rPr>
          <w:rFonts w:ascii="Times New Roman" w:hAnsi="Times New Roman"/>
          <w:sz w:val="20"/>
        </w:rPr>
      </w:pPr>
      <w:r>
        <w:rPr>
          <w:rFonts w:ascii="Times New Roman" w:hAnsi="Times New Roman"/>
          <w:sz w:val="20"/>
        </w:rPr>
        <w:t xml:space="preserve">Investment or any disposition of any asset permitted under this Agreement to the extent such amounts are due but not received during such period) and cash charges included in clauses (1), (2), (8), (10), (11), (12), (16) and (17) of the definition of “Consolidated Net Income” (other than cash charges in respect of Transaction Costs paid on or about the Effective Date to the extent financed with the proceeds of Indebtedness incurred on the Effective Date or an equity investment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without duplication of amounts deducted pursuant to clause (xii) below in prior fiscal years, the amount of capital expenditures made in cash or accrued during such period, except to the extent that such capital expenditures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and all prepayments of revolving loans and swingline loans (including Revolving Loans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Bidco or the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gain on dispositions by Bidco and the Restricted Subsidiaries during such period (other than dispositions in the ordinary course of business) to the extent included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(v)     increases in Consolidated Working Capital and long-term accounts receivable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(vi)     cash payments by Bidco and the Restricted Subsidiaries during such period in respect of long-term liabilities of Bidco and the Restricted Subsidiaries other than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(vii)     without duplication of amounts deducted pursuant to clause (xii) below in prior fiscal years, the amount of Investments (other than Investments in Cash Equivalents) and acquisitions not prohibited by this Agreement, except to the extent that such Investments and acquisitions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(viii)     the amount of dividends and other Restricted Payments (including the amount of Tax Distributions made by Bidco to the extent not deducted in arriving at Consolidated Net Income) paid in cash during such period, except to the extent that such dividends and Restricted Payments were financed with the proceeds of long-term Indebtedness of Bidco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(ix)     the aggregate amount of payments and expenditures actually made by Bidco and the Restricted Subsidiaries in cash during such period (including expenditures for the payment of financing fees) to the extent that such payments and expenditures are not expensed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p>
    <w:p>
      <w:pPr>
        <w:pStyle w:val="TextBody"/>
        <w:bidi w:val="0"/>
        <w:spacing w:before="0" w:after="0"/>
        <w:jc w:val="left"/>
        <w:rPr>
          <w:rFonts w:ascii="Times New Roman" w:hAnsi="Times New Roman"/>
          <w:sz w:val="20"/>
        </w:rPr>
      </w:pPr>
      <w:r>
        <w:rPr>
          <w:rFonts w:ascii="Times New Roman" w:hAnsi="Times New Roman"/>
          <w:sz w:val="20"/>
        </w:rPr>
        <w:t xml:space="preserve">(x)     cash payments by Bidco and the Restricted Subsidiaries during such period in respect of non-cash charges included in the calculation of Consolidated Net Income in any prior period; </w:t>
      </w:r>
    </w:p>
    <w:p>
      <w:pPr>
        <w:pStyle w:val="TextBody"/>
        <w:bidi w:val="0"/>
        <w:spacing w:before="120" w:after="0"/>
        <w:jc w:val="left"/>
        <w:rPr>
          <w:rFonts w:ascii="Times New Roman" w:hAnsi="Times New Roman"/>
          <w:sz w:val="20"/>
        </w:rPr>
      </w:pPr>
      <w:r>
        <w:rPr>
          <w:rFonts w:ascii="Times New Roman" w:hAnsi="Times New Roman"/>
          <w:sz w:val="20"/>
        </w:rPr>
        <w:t xml:space="preserve">(xi)     the aggregate amount of any premium, make-whole or penalty payments actually paid in cash by Bidco and the Restricted Subsidiaries during such period that are required to be made in connection with any prepayment of Indebtedness; </w:t>
      </w:r>
    </w:p>
    <w:p>
      <w:pPr>
        <w:pStyle w:val="TextBody"/>
        <w:bidi w:val="0"/>
        <w:spacing w:before="120" w:after="0"/>
        <w:jc w:val="left"/>
        <w:rPr>
          <w:rFonts w:ascii="Times New Roman" w:hAnsi="Times New Roman"/>
          <w:sz w:val="20"/>
        </w:rPr>
      </w:pPr>
      <w:r>
        <w:rPr>
          <w:rFonts w:ascii="Times New Roman" w:hAnsi="Times New Roman"/>
          <w:sz w:val="20"/>
        </w:rPr>
        <w:t>(xii)     at the option of Bidco, and without duplication of amounts deducted in prior periods, (A) the aggregate consideration required to be paid in cash by Bidco or any of the Restricted Subsidiaries pursuant to binding contracts, commitments, letters of intent or purchase orders (the “</w:t>
      </w:r>
      <w:r>
        <w:rPr>
          <w:rFonts w:ascii="Times New Roman" w:hAnsi="Times New Roman"/>
          <w:sz w:val="20"/>
          <w:u w:val="single"/>
        </w:rPr>
        <w:t>Contract Consideration</w:t>
      </w:r>
      <w:r>
        <w:rPr>
          <w:rFonts w:ascii="Times New Roman" w:hAnsi="Times New Roman"/>
          <w:sz w:val="20"/>
        </w:rPr>
        <w:t xml:space="preserve">”), in each case, entered into prior to or during such period and (B) to the extent set forth in a certificate of a Financial Officer delivered to the Administrative Agent at or before the time the Compliance Certificate for such period is required to be delivered pursuant to </w:t>
      </w:r>
      <w:r>
        <w:rPr>
          <w:rFonts w:ascii="Times New Roman" w:hAnsi="Times New Roman"/>
          <w:sz w:val="20"/>
          <w:u w:val="single"/>
        </w:rPr>
        <w:t>Section 5.01(d)</w:t>
      </w:r>
      <w:r>
        <w:rPr>
          <w:rFonts w:ascii="Times New Roman" w:hAnsi="Times New Roman"/>
          <w:sz w:val="20"/>
        </w:rPr>
        <w:t>, the aggregate amount of cash that is reasonably expected to be paid in respect of planned cash expenditures by Bidco or any of the Restricted Subsidiaries (the “</w:t>
      </w:r>
      <w:r>
        <w:rPr>
          <w:rFonts w:ascii="Times New Roman" w:hAnsi="Times New Roman"/>
          <w:sz w:val="20"/>
          <w:u w:val="single"/>
        </w:rPr>
        <w:t>Planned</w:t>
      </w:r>
      <w:r>
        <w:rPr>
          <w:rFonts w:ascii="Times New Roman" w:hAnsi="Times New Roman"/>
          <w:sz w:val="20"/>
        </w:rPr>
        <w:t xml:space="preserve"> </w:t>
      </w:r>
      <w:r>
        <w:rPr>
          <w:rFonts w:ascii="Times New Roman" w:hAnsi="Times New Roman"/>
          <w:sz w:val="20"/>
          <w:u w:val="single"/>
        </w:rPr>
        <w:t>Expenditures</w:t>
      </w:r>
      <w:r>
        <w:rPr>
          <w:rFonts w:ascii="Times New Roman" w:hAnsi="Times New Roman"/>
          <w:sz w:val="20"/>
        </w:rPr>
        <w:t xml:space="preserve">”), in the case of each of clauses (A) and (B), relating to Permitted Acquisitions, other Investments (other than Investments in Cash Equivalents), capital expenditures (including Capitalized Software Expenditures or other purchases of Intellectual Property) or Restricted Payments to be consummated or made during a subsequent period; </w:t>
      </w:r>
      <w:r>
        <w:rPr>
          <w:rFonts w:ascii="Times New Roman" w:hAnsi="Times New Roman"/>
          <w:sz w:val="20"/>
          <w:u w:val="single"/>
        </w:rPr>
        <w:t>provided</w:t>
      </w:r>
      <w:r>
        <w:rPr>
          <w:rFonts w:ascii="Times New Roman" w:hAnsi="Times New Roman"/>
          <w:sz w:val="20"/>
        </w:rPr>
        <w:t xml:space="preserve">, that to the extent the aggregate amount of cash actually utilized to finance such Permitted Acquisitions, Investments, capital expenditures or Restricted Payments during such subsequent period (excluding any cash from the proceeds of long-term Indebtedness of Bidco or the Restricted Subsidiaries (other than the Revolving Loans)) is less than the Contract Consideration and Planned Expenditures, the amount of such shortfall shall be added to the calculation of Excess Cash Flow at the end of such subsequent period; </w:t>
      </w:r>
    </w:p>
    <w:p>
      <w:pPr>
        <w:pStyle w:val="TextBody"/>
        <w:bidi w:val="0"/>
        <w:spacing w:before="120" w:after="0"/>
        <w:jc w:val="left"/>
        <w:rPr>
          <w:rFonts w:ascii="Times New Roman" w:hAnsi="Times New Roman"/>
          <w:sz w:val="20"/>
        </w:rPr>
      </w:pPr>
      <w:r>
        <w:rPr>
          <w:rFonts w:ascii="Times New Roman" w:hAnsi="Times New Roman"/>
          <w:sz w:val="20"/>
        </w:rPr>
        <w:t xml:space="preserve">(xiii)     the amount of cash payments made in such period to the extent they exceed the amount of rent payments deducted in determining Consolidated Net Income for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(xiv)     the amount of taxes (including penalties and interest) paid in cash and/or tax reserves set aside or payable (without duplication) in such period to the extent they exceed the amount of tax expense deducted in determining Consolidated Net Income for such period.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from time to time. </w:t>
      </w:r>
    </w:p>
    <w:p>
      <w:pPr>
        <w:pStyle w:val="TextBody"/>
        <w:bidi w:val="0"/>
        <w:spacing w:before="240" w:after="0"/>
        <w:jc w:val="left"/>
        <w:rPr/>
      </w:pPr>
      <w:r>
        <w:rPr/>
        <w:t>“</w:t>
      </w:r>
      <w:r>
        <w:rPr>
          <w:rFonts w:ascii="Times New Roman" w:hAnsi="Times New Roman"/>
          <w:sz w:val="20"/>
          <w:u w:val="single"/>
        </w:rPr>
        <w:t>Excluded Affiliates</w:t>
      </w:r>
      <w:r>
        <w:rPr>
          <w:rFonts w:ascii="Times New Roman" w:hAnsi="Times New Roman"/>
          <w:sz w:val="20"/>
        </w:rPr>
        <w:t xml:space="preserve">” means (a) Affiliates of the Joint Lead Arrangers that are engaged as principals primarily in private equity, mezzanine financing or venture capital and (b) employees of the Joint Lead Arrangers engaged directly or indirectly in the sale of the Company as representatives of the Company (other than, in each case, such Persons engaged by Bidco or its Affiliates as part of the Transactions and such senior employees who are required, in accordance with industry regulations or such Joint Lead Arranger’s (or its Affiliate’s) internal policies and procedures, to act in a supervisory capacity and such Joint Lead Arranger’s internal legal, compliance, risk management, credit or investment committee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left"/>
        <w:rPr/>
      </w:pPr>
      <w:r>
        <w:rPr/>
        <w:t>“</w:t>
      </w:r>
      <w:r>
        <w:rPr>
          <w:rFonts w:ascii="Times New Roman" w:hAnsi="Times New Roman"/>
          <w:sz w:val="20"/>
          <w:u w:val="single"/>
        </w:rPr>
        <w:t>Excluded Assets</w:t>
      </w:r>
      <w:r>
        <w:rPr>
          <w:rFonts w:ascii="Times New Roman" w:hAnsi="Times New Roman"/>
          <w:sz w:val="20"/>
        </w:rPr>
        <w:t xml:space="preserve">” means (a) in relation to a U.S. Loan Party, “Excluded Assets” as defined in the Collateral Agreement, (b) in relation to the relevant Loan Party, any other excluded assets defined or described in any other Security Documents, as reasonably agreed between the Administrative Agent and Bidco and (c) in relation to a Non-U.S. Loan Party, any assets of, held by or relating to, such Non-U.S. Loan Party, which, in each case, do not fall within the assets expressly contemplated under the definition of Overriding Principle (as defined in the Agreed Security Principles) or are otherwise excluded in accordance with the Agreed Security Principles. Notwithstanding anything to the contrary herein (but subject to the Agreed Security Principles in the case of any Non-U.S. Loan Party), the Collateral shall include all Satellite Collateral; </w:t>
      </w:r>
      <w:r>
        <w:rPr>
          <w:rFonts w:ascii="Times New Roman" w:hAnsi="Times New Roman"/>
          <w:sz w:val="20"/>
          <w:u w:val="single"/>
        </w:rPr>
        <w:t>provided</w:t>
      </w:r>
      <w:r>
        <w:rPr>
          <w:rFonts w:ascii="Times New Roman" w:hAnsi="Times New Roman"/>
          <w:sz w:val="20"/>
        </w:rPr>
        <w:t xml:space="preserve"> that the Collateral shall not include (and Excluded Assets shall include) any Satellite Collateral to the extent granting a security therein is contractually or legally prohibited, prevented by public policy or national security concern or requires governmental (including regulatory) consent, approval, license or authorization from any Governmental Authority. </w:t>
      </w:r>
    </w:p>
    <w:p>
      <w:pPr>
        <w:pStyle w:val="TextBody"/>
        <w:bidi w:val="0"/>
        <w:spacing w:before="240" w:after="0"/>
        <w:jc w:val="left"/>
        <w:rPr/>
      </w:pPr>
      <w:r>
        <w:rPr/>
        <w:t>“</w:t>
      </w:r>
      <w:r>
        <w:rPr>
          <w:rFonts w:ascii="Times New Roman" w:hAnsi="Times New Roman"/>
          <w:sz w:val="20"/>
          <w:u w:val="single"/>
        </w:rPr>
        <w:t>Excluded Contribution</w:t>
      </w:r>
      <w:r>
        <w:rPr>
          <w:rFonts w:ascii="Times New Roman" w:hAnsi="Times New Roman"/>
          <w:sz w:val="20"/>
        </w:rPr>
        <w:t xml:space="preserve">” means net cash proceeds, marketable securities or Qualified Proceeds received by Bidco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and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of Bidco or to any management equity plan or stock option plan or any other management or employee benefit plan or agreement of Bidco) of Equity Interests (other than Disqualified Equity Interests and Designated Preferred Stock) of Bidco,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by the principal financial officer of Bidco on the date such capital contributions are made or the date such Equity Interests are sold, as the case may be, which are excluded from the calculation set forth in clause (A) of </w:t>
      </w:r>
      <w:r>
        <w:rPr>
          <w:rFonts w:ascii="Times New Roman" w:hAnsi="Times New Roman"/>
          <w:sz w:val="20"/>
          <w:u w:val="single"/>
        </w:rPr>
        <w:t>Section 6.05(a)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has the meaning assigned to such term in </w:t>
      </w:r>
      <w:r>
        <w:rPr>
          <w:rFonts w:ascii="Times New Roman" w:hAnsi="Times New Roman"/>
          <w:sz w:val="20"/>
          <w:u w:val="single"/>
        </w:rPr>
        <w:t>Section 2.10(a)(ii)(A)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Jurisdiction</w:t>
      </w:r>
      <w:r>
        <w:rPr>
          <w:rFonts w:ascii="Times New Roman" w:hAnsi="Times New Roman"/>
          <w:sz w:val="20"/>
        </w:rPr>
        <w:t xml:space="preserve">” means each of Bosnia, Brazil, China, Columbia, Ecuador, Egypt, India, Indonesia, Japan, Macedonia, Panama, Peru, Qatar, Romania, Russia, Serbia, Saudi Arabia, South Africa, the United Arab Emirates and Vietnam.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means (i) with reference to any Domestic Subsidiary, (a) any Subsidiary that is a Non-Wholly Owned Subsidiary, including any joint ventures, (b) each Subsidiary listed on </w:t>
      </w:r>
      <w:r>
        <w:rPr>
          <w:rFonts w:ascii="Times New Roman" w:hAnsi="Times New Roman"/>
          <w:sz w:val="20"/>
          <w:u w:val="single"/>
        </w:rPr>
        <w:t>Schedule 1.01(b)</w:t>
      </w:r>
      <w:r>
        <w:rPr>
          <w:rFonts w:ascii="Times New Roman" w:hAnsi="Times New Roman"/>
          <w:sz w:val="20"/>
        </w:rPr>
        <w:t xml:space="preserve">, (c) any Subsidiary for which the Guarantee of or the grant of Liens to secure the Secured Obligations (i) is prohibited by any applicable contractual obligation existing on the Effective Date or on the date any such Subsidiary is acquired or organized or ceases to be an Excluded Subsidiary pursuant to any other clause of this definition (as long as such prohibition was not entered into in contemplation of such transaction) or (ii) is prohibited by any Requirement of Law or requires governmental consent, approval, license or authorization (unless such consent, approval, license or authorization has been obtained), (d) any Immaterial Subsidiary, (e)(i) any direct or indirect Subsidiary that is (or that is a direct or indirect Subsidiary of) a CFC that is a Subsidiary of a Domestic Subsidiary, (ii) any Domestic Foreign Holdco and (iii) any Subsidiary whose provision of a Guarantee would result in a material adverse Tax consequence to Bidco or any Borrower (or, if applicable, the common parent of Bidco’s consolidated group for applicable income Tax purposes) and its Subsidiaries as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TextBody"/>
        <w:bidi w:val="0"/>
        <w:spacing w:before="0" w:after="0"/>
        <w:jc w:val="left"/>
        <w:rPr>
          <w:rFonts w:ascii="Times New Roman" w:hAnsi="Times New Roman"/>
          <w:sz w:val="20"/>
        </w:rPr>
      </w:pPr>
      <w:r>
        <w:rPr>
          <w:rFonts w:ascii="Times New Roman" w:hAnsi="Times New Roman"/>
          <w:sz w:val="20"/>
        </w:rPr>
        <w:t xml:space="preserve">determined by Bidco in consultation with the Administrative Agent, (f) each Unrestricted Subsidiary, (g) any Subsidiary that is (or, if it were a Loan Party, would be) an “investment company” under the Investment Company Act of 1940, as amended, (h) any not-for profit Subsidiaries, captive insurance companies, captive risk retention subsidiaries, special purpose securitization vehicle (including any Receivables Subsidiary) or other special purpose subsidiaries, or any broker dealer or trust companies, (i) [reserved], (j) any Restricted Subsidiary acquired pursuant to a Permitted Acquisition (or other Investment not prohibited by this Agreement) that is financed with Indebtedness permitted under </w:t>
      </w:r>
      <w:r>
        <w:rPr>
          <w:rFonts w:ascii="Times New Roman" w:hAnsi="Times New Roman"/>
          <w:sz w:val="20"/>
          <w:u w:val="single"/>
        </w:rPr>
        <w:t>Section 6.01</w:t>
      </w:r>
      <w:r>
        <w:rPr>
          <w:rFonts w:ascii="Times New Roman" w:hAnsi="Times New Roman"/>
          <w:sz w:val="20"/>
        </w:rPr>
        <w:t xml:space="preserve"> hereof as assumed Indebtedness and any Restricted Subsidiary thereof that Guarantees such Indebtedness, in each case to the extent such Indebtedness prohibits such Restricted Subsidiary from becoming a Guarantor, (k) any Subsidiary whose capital requirements are subject to regulation by a Governmental Authority in respect of which the guaranteeing by such Subsidiary of the Loan Document Obligations would, as reasonably determined by Bidco, result in adverse regulatory consequences to such Subsidiary or impair the conduct of the business of such Subsidiary and any Subsidiary of such Subsidiary and (l) [reserved], (ii) with reference to any Foreign Subsidiary, any Foreign Subsidiary excluded pursuant to the Agreed Security Principles, and (iii) any other Subsidiary with respect to which, in the reasonable judgment of Bidco and the Administrative Agent, the cost, burden, difficulty or other consequences (including any adverse Tax consequences) of providing a Guarantee of the Secured Obligations shall be excessive in view of the benefits to be obtained by the Secured Parties therefrom; </w:t>
      </w:r>
      <w:r>
        <w:rPr>
          <w:rFonts w:ascii="Times New Roman" w:hAnsi="Times New Roman"/>
          <w:sz w:val="20"/>
          <w:u w:val="single"/>
        </w:rPr>
        <w:t>provided</w:t>
      </w:r>
      <w:r>
        <w:rPr>
          <w:rFonts w:ascii="Times New Roman" w:hAnsi="Times New Roman"/>
          <w:sz w:val="20"/>
        </w:rPr>
        <w:t xml:space="preserve"> that upon notice to the Administrative Agent, Bidco may at any time and in its sole discretion, deem that any Subsidiary shall not be an Excluded Subsidiary for purposes of this Agreement and the other Loan Documents.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Guarantor at any time, any Secured Swap Obligation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with respect to the Administrative Agent, any Lender, any Issuing Bank or any other recipient of any payment to be made by or on account of any obligation of any Loan Party hereunder or under any other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(ii) as a result of any other present or former connection between such recipient and the jurisdiction imposing such Tax (other than a connection arising solely from such recipient having executed, delivered, become a party to, performed its obligations or received payments under, received or perfected a security interest under or enforced any Loan Documents or engaged in any other transaction pursuant to any Loan Document, or having sold or assigned an interest in any Loan Documents), (b) any branch profits tax imposed under Section 884(a) of the Code, or any similar Tax, imposed by any jurisdiction described in clause (a) above, (c) any Tax imposed pursuant to FATCA, (d) any withholding Tax that is attributable to a Lender’s failure to comply with </w:t>
      </w:r>
      <w:r>
        <w:rPr>
          <w:rFonts w:ascii="Times New Roman" w:hAnsi="Times New Roman"/>
          <w:sz w:val="20"/>
          <w:u w:val="single"/>
        </w:rPr>
        <w:t>Section 2.16(e)</w:t>
      </w:r>
      <w:r>
        <w:rPr>
          <w:rFonts w:ascii="Times New Roman" w:hAnsi="Times New Roman"/>
          <w:sz w:val="20"/>
        </w:rPr>
        <w:t xml:space="preserve"> and (e) except in the case of an assignee pursuant to a request by Bidco under </w:t>
      </w:r>
      <w:r>
        <w:rPr>
          <w:rFonts w:ascii="Times New Roman" w:hAnsi="Times New Roman"/>
          <w:sz w:val="20"/>
          <w:u w:val="single"/>
        </w:rPr>
        <w:t>Section 2.18</w:t>
      </w:r>
      <w:r>
        <w:rPr>
          <w:rFonts w:ascii="Times New Roman" w:hAnsi="Times New Roman"/>
          <w:sz w:val="20"/>
        </w:rPr>
        <w:t xml:space="preserve"> hereto, any withholding Taxes that are imposed by a Borrower Tax Jurisdiction on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TextBody"/>
        <w:bidi w:val="0"/>
        <w:spacing w:before="0" w:after="0"/>
        <w:jc w:val="left"/>
        <w:rPr>
          <w:rFonts w:ascii="Times New Roman" w:hAnsi="Times New Roman"/>
          <w:sz w:val="20"/>
        </w:rPr>
      </w:pPr>
      <w:r>
        <w:rPr>
          <w:rFonts w:ascii="Times New Roman" w:hAnsi="Times New Roman"/>
          <w:sz w:val="20"/>
        </w:rPr>
        <w:t xml:space="preserve">payable by that Borrower to a Lender or on amounts payable by a Guarantor to a Lender in respect of amounts payable to the Lender by that Borrower and which arise pursuant to any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Times New Roman" w:hAnsi="Times New Roman"/>
          <w:sz w:val="20"/>
          <w:u w:val="single"/>
        </w:rPr>
        <w:t>Section 2.16(a)</w:t>
      </w:r>
      <w:r>
        <w:rPr>
          <w:rFonts w:ascii="Times New Roman" w:hAnsi="Times New Roman"/>
          <w:sz w:val="20"/>
        </w:rPr>
        <w:t xml:space="preserve">. For the purposes of clause (e) of this definition of Excluded Taxes, withholding tax imposed on amounts payable to or for the account of a Lender with respect to an interest in a Loan or Commitment as a result of, or in connection with, (i) any change that occurs pursuant to, or in connection with the adoption, ratification, approval or acceptance of, the MLI in or by any jurisdiction; or (ii) any change arising in consequence of, or in connection with, the United Kingdom ceasing to be a member state of the European Union, shall be considered in effect at the time the relevant Lender becomes a party to this Agreement.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shall mean each of the letters of credit described on Schedule 1.01(c) hereto. </w:t>
      </w:r>
    </w:p>
    <w:p>
      <w:pPr>
        <w:pStyle w:val="TextBody"/>
        <w:bidi w:val="0"/>
        <w:spacing w:before="240" w:after="0"/>
        <w:jc w:val="left"/>
        <w:rPr/>
      </w:pPr>
      <w:r>
        <w:rPr/>
        <w:t>“</w:t>
      </w:r>
      <w:r>
        <w:rPr>
          <w:rFonts w:ascii="Times New Roman" w:hAnsi="Times New Roman"/>
          <w:sz w:val="20"/>
          <w:u w:val="single"/>
        </w:rPr>
        <w:t>Existing Revolving Facility Agreement</w:t>
      </w:r>
      <w:r>
        <w:rPr>
          <w:rFonts w:ascii="Times New Roman" w:hAnsi="Times New Roman"/>
          <w:sz w:val="20"/>
        </w:rPr>
        <w:t xml:space="preserve">” means the $750,200,000 multicurrency revolving credit facility agreement originally dated June 30, 2011 (as amended, restated, amended and restated, supplemented or otherwise modified from time to time) between, amongst others, Inmarsat Investments Limited as company and National Westminster Bank Plc as agent and security agent.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or “</w:t>
      </w:r>
      <w:r>
        <w:rPr>
          <w:rFonts w:ascii="Times New Roman" w:hAnsi="Times New Roman"/>
          <w:sz w:val="20"/>
          <w:u w:val="single"/>
        </w:rPr>
        <w:t>fair market value</w:t>
      </w:r>
      <w:r>
        <w:rPr>
          <w:rFonts w:ascii="Times New Roman" w:hAnsi="Times New Roman"/>
          <w:sz w:val="20"/>
        </w:rPr>
        <w:t xml:space="preserv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as reasonably determined by Bidco in good faith (which determination shall be conclusive).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thereto), any current or future United States Department of Treasury regulations thereunder or other official administrative interpretations thereof, any agreements entered into pursuant to current Section 1471(b)(1) of the Code as of the date of this Agreement (or any amended or successor version described above) and any intergovernmental agreements implementing the foregoing.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w:t>
      </w:r>
      <w:r>
        <w:rPr>
          <w:rFonts w:ascii="Times New Roman" w:hAnsi="Times New Roman"/>
          <w:strike/>
          <w:color w:val="008000"/>
          <w:sz w:val="20"/>
        </w:rPr>
        <w:t>Federal</w:t>
      </w:r>
      <w:r>
        <w:rPr>
          <w:rFonts w:ascii="Times New Roman" w:hAnsi="Times New Roman"/>
          <w:sz w:val="20"/>
        </w:rPr>
        <w:t xml:space="preserve"> </w:t>
      </w:r>
      <w:r>
        <w:rPr>
          <w:rFonts w:ascii="Times New Roman" w:hAnsi="Times New Roman"/>
          <w:strike/>
          <w:color w:val="008000"/>
          <w:sz w:val="20"/>
        </w:rPr>
        <w:t>Reserve Bank of New York</w:t>
      </w:r>
      <w:r>
        <w:rPr>
          <w:rFonts w:ascii="Times New Roman" w:hAnsi="Times New Roman"/>
          <w:color w:val="0000FF"/>
          <w:sz w:val="20"/>
          <w:u w:val="single"/>
          <w:bdr w:val="double" w:sz="2" w:space="1" w:color="000000"/>
        </w:rPr>
        <w:t>NYFRB</w:t>
      </w:r>
      <w:r>
        <w:rPr>
          <w:rFonts w:ascii="Times New Roman" w:hAnsi="Times New Roman"/>
          <w:sz w:val="20"/>
        </w:rPr>
        <w:t xml:space="preserve"> based on such day’s federal funds transactions by </w:t>
      </w:r>
      <w:r>
        <w:rPr>
          <w:rFonts w:ascii="Times New Roman" w:hAnsi="Times New Roman"/>
          <w:strike/>
          <w:color w:val="FF0000"/>
          <w:sz w:val="20"/>
        </w:rPr>
        <w:t>depository</w:t>
      </w:r>
      <w:r>
        <w:rPr>
          <w:rFonts w:ascii="Times New Roman" w:hAnsi="Times New Roman"/>
          <w:color w:val="0000FF"/>
          <w:sz w:val="20"/>
          <w:u w:val="single"/>
          <w:bdr w:val="double" w:sz="2" w:space="1" w:color="000000"/>
        </w:rPr>
        <w:t xml:space="preserve">depositary </w:t>
      </w:r>
      <w:r>
        <w:rPr>
          <w:rFonts w:ascii="Times New Roman" w:hAnsi="Times New Roman"/>
          <w:sz w:val="20"/>
        </w:rPr>
        <w:t xml:space="preserve">institutions </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as determined in such manner as the </w:t>
      </w:r>
      <w:r>
        <w:rPr>
          <w:rFonts w:ascii="Times New Roman" w:hAnsi="Times New Roman"/>
          <w:strike/>
          <w:color w:val="FF0000"/>
          <w:sz w:val="20"/>
        </w:rPr>
        <w:t>Federal Reserve Bank of New York</w:t>
      </w:r>
      <w:r>
        <w:rPr>
          <w:rFonts w:ascii="Times New Roman" w:hAnsi="Times New Roman"/>
          <w:color w:val="0000FF"/>
          <w:sz w:val="20"/>
          <w:u w:val="single"/>
          <w:bdr w:val="double" w:sz="2" w:space="1" w:color="000000"/>
        </w:rPr>
        <w:t>NYFRB</w:t>
      </w:r>
      <w:r>
        <w:rPr>
          <w:rFonts w:ascii="Times New Roman" w:hAnsi="Times New Roman"/>
          <w:sz w:val="20"/>
        </w:rPr>
        <w:t xml:space="preserve"> shall set forth on its public website from time to time</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and published on the next succeeding Business Day by the </w:t>
      </w:r>
      <w:r>
        <w:rPr>
          <w:rFonts w:ascii="Times New Roman" w:hAnsi="Times New Roman"/>
          <w:strike/>
          <w:color w:val="FF0000"/>
          <w:sz w:val="20"/>
        </w:rPr>
        <w:t>Federal Reserve Bank of New York</w:t>
      </w:r>
      <w:r>
        <w:rPr>
          <w:rFonts w:ascii="Times New Roman" w:hAnsi="Times New Roman"/>
          <w:color w:val="0000FF"/>
          <w:sz w:val="20"/>
          <w:u w:val="single"/>
          <w:bdr w:val="double" w:sz="2" w:space="1" w:color="000000"/>
        </w:rPr>
        <w:t>NYFRB</w:t>
      </w:r>
      <w:r>
        <w:rPr>
          <w:rFonts w:ascii="Times New Roman" w:hAnsi="Times New Roman"/>
          <w:sz w:val="20"/>
        </w:rPr>
        <w:t xml:space="preserve"> as the federal funds effective rate</w:t>
      </w:r>
      <w:r>
        <w:rPr>
          <w:rFonts w:ascii="Times New Roman" w:hAnsi="Times New Roman"/>
          <w:color w:val="0000FF"/>
          <w:sz w:val="20"/>
          <w:u w:val="single"/>
          <w:bdr w:val="double" w:sz="2" w:space="1" w:color="000000"/>
        </w:rPr>
        <w:t>; provided that if the Federal Funds Effective Rate shall be less than zero, such rate shall be deemed to be zero for the purposes of calculating such rate.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the third amended and restated fee letter dated as of October 7,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corporate controller of Holdings, Bidco or a Restricted Subsidiary, as applicable. </w:t>
      </w:r>
    </w:p>
    <w:p>
      <w:pPr>
        <w:pStyle w:val="TextBody"/>
        <w:bidi w:val="0"/>
        <w:spacing w:before="240" w:after="0"/>
        <w:jc w:val="left"/>
        <w:rPr/>
      </w:pPr>
      <w:r>
        <w:rPr/>
        <w:t>“</w:t>
      </w:r>
      <w:r>
        <w:rPr>
          <w:rFonts w:ascii="Times New Roman" w:hAnsi="Times New Roman"/>
          <w:sz w:val="20"/>
          <w:u w:val="single"/>
        </w:rPr>
        <w:t>Financial Performance Covenant</w:t>
      </w:r>
      <w:r>
        <w:rPr>
          <w:rFonts w:ascii="Times New Roman" w:hAnsi="Times New Roman"/>
          <w:sz w:val="20"/>
        </w:rPr>
        <w:t xml:space="preserve">” means the covenant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 Transactions</w:t>
      </w:r>
      <w:r>
        <w:rPr>
          <w:rFonts w:ascii="Times New Roman" w:hAnsi="Times New Roman"/>
          <w:sz w:val="20"/>
        </w:rPr>
        <w:t xml:space="preserve">” means (a) the execution, delivery and performance by each Loan Party of the Loan Documents to which it is to be a party, (b) the borrowing of Loans hereunder and the use of the proceeds thereof and (c) the issuance, amendment or extension of Letters of Credit hereunder and the use of proceeds thereof. </w:t>
      </w:r>
    </w:p>
    <w:p>
      <w:pPr>
        <w:pStyle w:val="TextBody"/>
        <w:bidi w:val="0"/>
        <w:spacing w:before="240" w:after="0"/>
        <w:jc w:val="left"/>
        <w:rPr/>
      </w:pPr>
      <w:r>
        <w:rPr/>
        <w:t>“</w:t>
      </w:r>
      <w:r>
        <w:rPr>
          <w:rFonts w:ascii="Times New Roman" w:hAnsi="Times New Roman"/>
          <w:sz w:val="20"/>
          <w:u w:val="single"/>
        </w:rPr>
        <w:t>Finco 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Ratings Inc. and any successor to its rating agency business. </w:t>
      </w:r>
    </w:p>
    <w:p>
      <w:pPr>
        <w:pStyle w:val="TextBody"/>
        <w:bidi w:val="0"/>
        <w:spacing w:before="240" w:after="0"/>
        <w:jc w:val="left"/>
        <w:rPr/>
      </w:pPr>
      <w:r>
        <w:rPr/>
        <w:t>“</w:t>
      </w:r>
      <w:r>
        <w:rPr>
          <w:rFonts w:ascii="Times New Roman" w:hAnsi="Times New Roman"/>
          <w:sz w:val="20"/>
          <w:u w:val="single"/>
        </w:rPr>
        <w:t>Fixed Amounts</w:t>
      </w:r>
      <w:r>
        <w:rPr>
          <w:rFonts w:ascii="Times New Roman" w:hAnsi="Times New Roman"/>
          <w:sz w:val="20"/>
        </w:rPr>
        <w:t xml:space="preserve">” has the meaning assigned to such term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Fixed Charges</w:t>
      </w:r>
      <w:r>
        <w:rPr>
          <w:rFonts w:ascii="Times New Roman" w:hAnsi="Times New Roman"/>
          <w:sz w:val="20"/>
        </w:rPr>
        <w:t xml:space="preserve">” means, with respect to any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Consolidated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(2)     all cash dividends or other distributions paid (excluding items eliminated in consolidation) on any series of Preferred Stock of any Restricted Subsidiary during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(3)     all cash dividends or other distributions paid (excluding items eliminated in consolidation) on any series of Disqualified Equity Interests during such period.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Floor” means the benchmark rate floor, if any, provided in this Agreement initially (as of the execution of this Agreement, the modification, amendment or renewal of this</w:t>
      </w:r>
      <w:r>
        <w:rPr>
          <w:rFonts w:ascii="Times New Roman" w:hAnsi="Times New Roman"/>
          <w:sz w:val="20"/>
        </w:rPr>
        <w:t xml:space="preserve"> </w:t>
      </w:r>
      <w:r>
        <w:rPr>
          <w:rFonts w:ascii="Times New Roman" w:hAnsi="Times New Roman"/>
          <w:color w:val="0000FF"/>
          <w:sz w:val="20"/>
          <w:u w:val="single"/>
          <w:bdr w:val="double" w:sz="2" w:space="1" w:color="000000"/>
        </w:rPr>
        <w:t>Agreement or otherwise) with respect to Adjusted LIBO Rate, Term SOFR or Daily Simple RFR,</w:t>
      </w:r>
      <w:r>
        <w:rPr>
          <w:rFonts w:ascii="Times New Roman" w:hAnsi="Times New Roman"/>
          <w:sz w:val="20"/>
        </w:rPr>
        <w:t xml:space="preserve"> </w:t>
      </w:r>
      <w:r>
        <w:rPr>
          <w:rFonts w:ascii="Times New Roman" w:hAnsi="Times New Roman"/>
          <w:color w:val="0000FF"/>
          <w:sz w:val="20"/>
          <w:u w:val="single"/>
          <w:bdr w:val="double" w:sz="2" w:space="1" w:color="000000"/>
        </w:rPr>
        <w:t>as applicable.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 Lender that is not a United States Person (as defined in Section 7701(a)(30) of the Code). </w:t>
      </w:r>
    </w:p>
    <w:p>
      <w:pPr>
        <w:pStyle w:val="TextBody"/>
        <w:bidi w:val="0"/>
        <w:spacing w:before="240" w:after="0"/>
        <w:jc w:val="left"/>
        <w:rPr/>
      </w:pPr>
      <w:r>
        <w:rPr/>
        <w:t>“</w:t>
      </w:r>
      <w:r>
        <w:rPr>
          <w:rFonts w:ascii="Times New Roman" w:hAnsi="Times New Roman"/>
          <w:sz w:val="20"/>
          <w:u w:val="single"/>
        </w:rPr>
        <w:t>Foreign Prepayment Event</w:t>
      </w:r>
      <w:r>
        <w:rPr>
          <w:rFonts w:ascii="Times New Roman" w:hAnsi="Times New Roman"/>
          <w:sz w:val="20"/>
        </w:rPr>
        <w:t xml:space="preserve">” has the meaning assigned to such term in </w:t>
      </w:r>
      <w:r>
        <w:rPr>
          <w:rFonts w:ascii="Times New Roman" w:hAnsi="Times New Roman"/>
          <w:sz w:val="20"/>
          <w:u w:val="single"/>
        </w:rPr>
        <w:t>Section 2.10(g)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any Subsidiary that is organized under the laws of a jurisdiction other than the United States, any state thereof or the District of Columbia. </w:t>
      </w:r>
    </w:p>
    <w:p>
      <w:pPr>
        <w:pStyle w:val="TextBody"/>
        <w:bidi w:val="0"/>
        <w:spacing w:before="240" w:after="0"/>
        <w:jc w:val="left"/>
        <w:rPr/>
      </w:pPr>
      <w:r>
        <w:rPr/>
        <w:t>“</w:t>
      </w:r>
      <w:r>
        <w:rPr>
          <w:rFonts w:ascii="Times New Roman" w:hAnsi="Times New Roman"/>
          <w:sz w:val="20"/>
          <w:u w:val="single"/>
        </w:rPr>
        <w:t>Form Intercreditor Agreements</w:t>
      </w:r>
      <w:r>
        <w:rPr>
          <w:rFonts w:ascii="Times New Roman" w:hAnsi="Times New Roman"/>
          <w:sz w:val="20"/>
        </w:rPr>
        <w:t xml:space="preserve">” means (a) an intercreditor agreement substantially in the form of the Pari Passu Intercreditor Agreement and/or (b) an intercreditor agreement substantially in the form of the Second Lien Intercreditor Agreement, as applicable. </w:t>
      </w:r>
    </w:p>
    <w:p>
      <w:pPr>
        <w:pStyle w:val="TextBody"/>
        <w:bidi w:val="0"/>
        <w:spacing w:before="240" w:after="0"/>
        <w:jc w:val="left"/>
        <w:rPr/>
      </w:pPr>
      <w:r>
        <w:rPr/>
        <w:t>“</w:t>
      </w:r>
      <w:r>
        <w:rPr>
          <w:rFonts w:ascii="Times New Roman" w:hAnsi="Times New Roman"/>
          <w:sz w:val="20"/>
          <w:u w:val="single"/>
        </w:rPr>
        <w:t>Funded Debt</w:t>
      </w:r>
      <w:r>
        <w:rPr>
          <w:rFonts w:ascii="Times New Roman" w:hAnsi="Times New Roman"/>
          <w:sz w:val="20"/>
        </w:rPr>
        <w:t xml:space="preserve">” means all Indebtedness of Bidco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TextBody"/>
        <w:bidi w:val="0"/>
        <w:spacing w:before="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as in effect from time to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Bidco notifies the Administrative Agent that Bidco requests an amendment to any provision hereof to eliminate the effect of any change occurring after the Effective Date in GAAP or in the application thereof on the operation of such provision (or if the Administrative Agent notifies Bidco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(b) the amount of any Indebtedness under GAAP with respect to Capitalized Lease Obligations shall be determined providing that all obligations of any Person that are or would have been characterized as an operating lease as determined in accordance with GAAP as in effect prior to February 25, 2016 (whether or not such operating lease was in effect on such date) shall continue to be accounted for as an operating lease (and not as a Capitalized Lease or Capitalized Lease Obligation) for purposes of this Agreement regardless of any change in GAAP following such date that would otherwise require such obligation to be recharacterized as a Capitalized Lease Obligation, to the extent that financial reporting shall not be affected hereby and (c) at Bidco’s sole election from time to time, any adverse impact directly or indirectly relating to or resulting from the implementation of FASB Accounting Standards Codification 606-Revenue From Contracts With Customers and any successor standard thereto (or any equivalent measure under IFRS) shall be disregarded with respect to all ratios, calculations and determinations based upon GAAP to be calculated or made, as the case may be, pursuant to this Agreement. </w:t>
      </w:r>
    </w:p>
    <w:p>
      <w:pPr>
        <w:pStyle w:val="TextBody"/>
        <w:bidi w:val="0"/>
        <w:spacing w:before="240" w:after="0"/>
        <w:jc w:val="left"/>
        <w:rPr/>
      </w:pPr>
      <w:r>
        <w:rPr/>
        <w:t>“</w:t>
      </w:r>
      <w:r>
        <w:rPr>
          <w:rFonts w:ascii="Times New Roman" w:hAnsi="Times New Roman"/>
          <w:sz w:val="20"/>
          <w:u w:val="single"/>
        </w:rPr>
        <w:t>General Debt Basket Reallocated Amount</w:t>
      </w:r>
      <w:r>
        <w:rPr>
          <w:rFonts w:ascii="Times New Roman" w:hAnsi="Times New Roman"/>
          <w:sz w:val="20"/>
        </w:rPr>
        <w:t xml:space="preserve">” means any amount that, at the option of Holdings, Bidco or a Borrower, has been reallocated from </w:t>
      </w:r>
      <w:r>
        <w:rPr>
          <w:rFonts w:ascii="Times New Roman" w:hAnsi="Times New Roman"/>
          <w:sz w:val="20"/>
          <w:u w:val="single"/>
        </w:rPr>
        <w:t>Section 6.01(b)(xi)(b)(x)</w:t>
      </w:r>
      <w:r>
        <w:rPr>
          <w:rFonts w:ascii="Times New Roman" w:hAnsi="Times New Roman"/>
          <w:sz w:val="20"/>
        </w:rPr>
        <w:t xml:space="preserve"> to clause (I)(a)(ii) of the “Incremental Cap,” which shall be deemed to be a utilization of the basket set forth in </w:t>
      </w:r>
      <w:r>
        <w:rPr>
          <w:rFonts w:ascii="Times New Roman" w:hAnsi="Times New Roman"/>
          <w:sz w:val="20"/>
          <w:u w:val="single"/>
        </w:rPr>
        <w:t>Section 6.01(b)(xi)(b)(x)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means all authorizations, consents, approvals, permits, licenses and exemptions of, registrations and filings with, and reports to, Governmental Authorities.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means Bidco and its Restricted Subsidiaries from time to time.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TextBody"/>
        <w:bidi w:val="0"/>
        <w:spacing w:before="0" w:after="0"/>
        <w:jc w:val="left"/>
        <w:rPr>
          <w:rFonts w:ascii="Times New Roman" w:hAnsi="Times New Roman"/>
          <w:sz w:val="20"/>
        </w:rPr>
      </w:pPr>
      <w:r>
        <w:rPr>
          <w:rFonts w:ascii="Times New Roman" w:hAnsi="Times New Roman"/>
          <w:sz w:val="20"/>
        </w:rPr>
        <w:t xml:space="preserve">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 </w:t>
      </w:r>
    </w:p>
    <w:p>
      <w:pPr>
        <w:pStyle w:val="TextBody"/>
        <w:bidi w:val="0"/>
        <w:spacing w:before="240" w:after="0"/>
        <w:jc w:val="left"/>
        <w:rPr/>
      </w:pPr>
      <w:r>
        <w:rPr/>
        <w:t>“</w:t>
      </w:r>
      <w:r>
        <w:rPr>
          <w:rFonts w:ascii="Times New Roman" w:hAnsi="Times New Roman"/>
          <w:sz w:val="20"/>
          <w:u w:val="single"/>
        </w:rPr>
        <w:t>Guarantee Agreement</w:t>
      </w:r>
      <w:r>
        <w:rPr>
          <w:rFonts w:ascii="Times New Roman" w:hAnsi="Times New Roman"/>
          <w:sz w:val="20"/>
        </w:rPr>
        <w:t xml:space="preserve">” means the Guarantee Agreement among the Loan Parties and the Collateral Agent, substantially in the form of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Guarantee Limitations</w:t>
      </w:r>
      <w:r>
        <w:rPr>
          <w:rFonts w:ascii="Times New Roman" w:hAnsi="Times New Roman"/>
          <w:sz w:val="20"/>
        </w:rPr>
        <w:t xml:space="preserve">” has the meaning specified in the Guarantee Agreement, as may be supplemented from time to time in accordance with the terms thereof. </w:t>
      </w:r>
    </w:p>
    <w:p>
      <w:pPr>
        <w:pStyle w:val="TextBody"/>
        <w:bidi w:val="0"/>
        <w:spacing w:before="240" w:after="0"/>
        <w:jc w:val="left"/>
        <w:rPr/>
      </w:pPr>
      <w:r>
        <w:rPr/>
        <w:t>“</w:t>
      </w:r>
      <w:r>
        <w:rPr>
          <w:rFonts w:ascii="Times New Roman" w:hAnsi="Times New Roman"/>
          <w:sz w:val="20"/>
          <w:u w:val="single"/>
        </w:rPr>
        <w:t>Guarantor Coverage Material Subsidiary</w:t>
      </w:r>
      <w:r>
        <w:rPr>
          <w:rFonts w:ascii="Times New Roman" w:hAnsi="Times New Roman"/>
          <w:sz w:val="20"/>
        </w:rPr>
        <w:t xml:space="preserve">” means the Finco Borrower, (following the Acquisition) the Company and, at any time, each Non-U.S. Restricted Subsidiary that has earnings before interest, tax, depreciation and amortization (calculated (I) on an unconsolidated basis, (II) by excluding goodwill, intra-Group items and investments in Subsidiaries (in each case to the extent applicable) and (III) otherwise on the same basis as Consolidated EBITDA) representing 5% or more of Consolidated EBITDA of Bidco and its Restricted Subsidiaries, </w:t>
      </w:r>
      <w:r>
        <w:rPr>
          <w:rFonts w:ascii="Times New Roman" w:hAnsi="Times New Roman"/>
          <w:sz w:val="20"/>
          <w:u w:val="single"/>
        </w:rPr>
        <w:t>provided that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calculation shall be determined by reference to the most recent Compliance Certificate required to be delivered by Bidco in respect of the latest financial statements delivered under </w:t>
      </w:r>
      <w:r>
        <w:rPr>
          <w:rFonts w:ascii="Times New Roman" w:hAnsi="Times New Roman"/>
          <w:sz w:val="20"/>
          <w:u w:val="single"/>
        </w:rPr>
        <w:t>Section 5.01(a)</w:t>
      </w:r>
      <w:r>
        <w:rPr>
          <w:rFonts w:ascii="Times New Roman" w:hAnsi="Times New Roman"/>
          <w:sz w:val="20"/>
        </w:rPr>
        <w:t xml:space="preserv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any entity having negative earnings before interest, tax, depreciation and amortization shall be deemed to have zero earnings before interest, tax, depreciation and amortization; and </w:t>
      </w:r>
    </w:p>
    <w:p>
      <w:pPr>
        <w:pStyle w:val="TextBody"/>
        <w:bidi w:val="0"/>
        <w:spacing w:before="240" w:after="0"/>
        <w:jc w:val="left"/>
        <w:rPr>
          <w:rFonts w:ascii="Times New Roman" w:hAnsi="Times New Roman"/>
          <w:sz w:val="20"/>
        </w:rPr>
      </w:pPr>
      <w:r>
        <w:rPr>
          <w:rFonts w:ascii="Times New Roman" w:hAnsi="Times New Roman"/>
          <w:sz w:val="20"/>
        </w:rPr>
        <w:t xml:space="preserve">(c)    each Restricted Subsidiary that is incorporated in an Excluded Jurisdiction and/or is otherwise not required to (or is unable to) become a Guarantor in accordance with the Agreed Security Principles will not be considered a Guarantor Coverage Material Subsidiary. </w:t>
      </w:r>
    </w:p>
    <w:p>
      <w:pPr>
        <w:pStyle w:val="TextBody"/>
        <w:bidi w:val="0"/>
        <w:spacing w:before="240" w:after="0"/>
        <w:jc w:val="left"/>
        <w:rPr/>
      </w:pPr>
      <w:r>
        <w:rPr/>
        <w:t>“</w:t>
      </w:r>
      <w:r>
        <w:rPr>
          <w:rFonts w:ascii="Times New Roman" w:hAnsi="Times New Roman"/>
          <w:sz w:val="20"/>
          <w:u w:val="single"/>
        </w:rPr>
        <w:t>Guarantor Coverage Test</w:t>
      </w:r>
      <w:r>
        <w:rPr>
          <w:rFonts w:ascii="Times New Roman" w:hAnsi="Times New Roman"/>
          <w:sz w:val="20"/>
        </w:rPr>
        <w:t>” means confirmation that the aggregate (without double counting) earnings before interest, tax, depreciation and amortization (calculated on the same basis as Consolidated EBITDA but taking each entity on an unconsolidated basis and excluding goodwill, all intra Group items and investments in Subsidiaries of any member of the Group) (“</w:t>
      </w:r>
      <w:r>
        <w:rPr>
          <w:rFonts w:ascii="Times New Roman" w:hAnsi="Times New Roman"/>
          <w:sz w:val="20"/>
          <w:u w:val="single"/>
        </w:rPr>
        <w:t>EBITDA</w:t>
      </w:r>
      <w:r>
        <w:rPr>
          <w:rFonts w:ascii="Times New Roman" w:hAnsi="Times New Roman"/>
          <w:sz w:val="20"/>
        </w:rPr>
        <w:t xml:space="preserve">”) of Bidco and its Restricted Subsidiaries that are Guarantors equals or exceeds 80.0% of Consolidated EBITDA of Bidco and its Restricted Subsidiaries; </w:t>
      </w:r>
      <w:r>
        <w:rPr>
          <w:rFonts w:ascii="Times New Roman" w:hAnsi="Times New Roman"/>
          <w:sz w:val="20"/>
          <w:u w:val="single"/>
        </w:rPr>
        <w:t>provided that</w:t>
      </w:r>
      <w:r>
        <w:rPr>
          <w:rFonts w:ascii="Times New Roman" w:hAnsi="Times New Roman"/>
          <w:sz w:val="20"/>
        </w:rPr>
        <w:t xml:space="preserve">, for the purposes of calculating the Guarantor Coverage Test only: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any Guarantor generates negative EBITDA, such Guarantor shall be deemed to have zero EBITDA, for the purpose of calculating the numerator of the Guarantor Coverage Test;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p>
    <w:p>
      <w:pPr>
        <w:pStyle w:val="TextBody"/>
        <w:bidi w:val="0"/>
        <w:spacing w:before="0" w:after="0"/>
        <w:jc w:val="left"/>
        <w:rPr>
          <w:rFonts w:ascii="Times New Roman" w:hAnsi="Times New Roman"/>
          <w:sz w:val="20"/>
        </w:rPr>
      </w:pPr>
      <w:r>
        <w:rPr>
          <w:rFonts w:ascii="Times New Roman" w:hAnsi="Times New Roman"/>
          <w:sz w:val="20"/>
        </w:rPr>
        <w:t xml:space="preserve">(b)    unless otherwise elected by Bidco, to the extent that any member of the Group (i) is not a Guarantor and (ii) is incorporated in an Excluded Jurisdiction and/or is otherwise not required to (or is unable to) become a Guarantor in accordance with the Agreed Security Principles, then such member of the Group shall be deemed to have zero (0) EBITDA, for the purpose of calculating the denominator of the Guarantor Coverage Test. </w:t>
      </w:r>
    </w:p>
    <w:p>
      <w:pPr>
        <w:pStyle w:val="TextBody"/>
        <w:bidi w:val="0"/>
        <w:spacing w:before="240" w:after="0"/>
        <w:jc w:val="left"/>
        <w:rPr/>
      </w:pPr>
      <w:r>
        <w:rPr/>
        <w:t>“</w:t>
      </w:r>
      <w:r>
        <w:rPr>
          <w:rFonts w:ascii="Times New Roman" w:hAnsi="Times New Roman"/>
          <w:sz w:val="20"/>
          <w:u w:val="single"/>
        </w:rPr>
        <w:t>Guarantors</w:t>
      </w:r>
      <w:r>
        <w:rPr>
          <w:rFonts w:ascii="Times New Roman" w:hAnsi="Times New Roman"/>
          <w:sz w:val="20"/>
        </w:rPr>
        <w:t xml:space="preserve">” means Holdings, Bidco, any Intermediate Parent and the Subsidiary Loan Parties.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radioactive, hazardous or toxic substances, wastes or other pollutants, including petroleum or petroleum by-products or distillates, asbestos or asbestos-containing materials, polychlorinated biphenyls, radon gas, or infectious or medical wastes, in each case in any form regulated pursuant to any Environmental Law. </w:t>
      </w:r>
    </w:p>
    <w:p>
      <w:pPr>
        <w:pStyle w:val="TextBody"/>
        <w:bidi w:val="0"/>
        <w:spacing w:before="240" w:after="0"/>
        <w:jc w:val="left"/>
        <w:rPr/>
      </w:pPr>
      <w:r>
        <w:rPr/>
        <w:t>“</w:t>
      </w:r>
      <w:r>
        <w:rPr>
          <w:rFonts w:ascii="Times New Roman" w:hAnsi="Times New Roman"/>
          <w:sz w:val="20"/>
          <w:u w:val="single"/>
        </w:rPr>
        <w:t>Hedging Obligations</w:t>
      </w:r>
      <w:r>
        <w:rPr>
          <w:rFonts w:ascii="Times New Roman" w:hAnsi="Times New Roman"/>
          <w:sz w:val="20"/>
        </w:rPr>
        <w:t xml:space="preserve">” means, with respect to any Person, the obligations of such Person under any Swap Agreement.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means (a) prior to any IPO, Initial Holdings and (b) upon and after an IPO, (i) if the IPO Entity is Initial Holdings or any Person of which Initial Holdings is a Subsidiary, Initial Holdings or (ii) if the IPO Entity is an Intermediate Parent, the IPO Entity. </w:t>
      </w:r>
    </w:p>
    <w:p>
      <w:pPr>
        <w:pStyle w:val="TextBody"/>
        <w:bidi w:val="0"/>
        <w:spacing w:before="240" w:after="0"/>
        <w:jc w:val="left"/>
        <w:rPr/>
      </w:pPr>
      <w:r>
        <w:rPr/>
        <w:t>“</w:t>
      </w:r>
      <w:r>
        <w:rPr>
          <w:rFonts w:ascii="Times New Roman" w:hAnsi="Times New Roman"/>
          <w:sz w:val="20"/>
          <w:u w:val="single"/>
        </w:rPr>
        <w:t>ICE LIBOR</w:t>
      </w:r>
      <w:r>
        <w:rPr>
          <w:rFonts w:ascii="Times New Roman" w:hAnsi="Times New Roman"/>
          <w:sz w:val="20"/>
        </w:rPr>
        <w:t xml:space="preserve">” has the meaning assigned to such term in the definition of “Alternate Base Rate.” </w:t>
      </w:r>
    </w:p>
    <w:p>
      <w:pPr>
        <w:pStyle w:val="TextBody"/>
        <w:bidi w:val="0"/>
        <w:spacing w:before="240" w:after="0"/>
        <w:jc w:val="left"/>
        <w:rPr/>
      </w:pPr>
      <w:r>
        <w:rPr/>
        <w:t>“</w:t>
      </w:r>
      <w:r>
        <w:rPr>
          <w:rFonts w:ascii="Times New Roman" w:hAnsi="Times New Roman"/>
          <w:sz w:val="20"/>
          <w:u w:val="single"/>
        </w:rPr>
        <w:t>Identified Participating Lenders</w:t>
      </w:r>
      <w:r>
        <w:rPr>
          <w:rFonts w:ascii="Times New Roman" w:hAnsi="Times New Roman"/>
          <w:sz w:val="20"/>
        </w:rPr>
        <w:t xml:space="preserve">” has the meaning assigned to such term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2.10(a)(ii)(C)(3)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Identified Qualifying Lenders</w:t>
      </w:r>
      <w:r>
        <w:rPr>
          <w:rFonts w:ascii="Times New Roman" w:hAnsi="Times New Roman"/>
          <w:sz w:val="20"/>
        </w:rPr>
        <w:t xml:space="preserve">” has the meaning specified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means the International Financial Reporting Standards of the International Accounting Standards Board as adopted in the European Union;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Bidco notifies the Administrative Agent that Bidco requests an amendment to any provision hereof to eliminate the effect of any change occurring after the Effective Date in IFRS or in the application thereof on the operation of such provision (or if the Administrative Agent notifies Bidco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 the amount of any Indebtedness under IFRS with respect to Capitalized Lease Obligations shall be determined in accordance with the definition of Capitalized Lease Obligations and (b) at any time after the Effective Date, Bidco may elect, upon notice to the Administrative Agent, to apply GAAP accounting principles in lieu of IFRS and, upon any such election, references herein to IFRS shall thereafter be construed to mean GAAP (except as otherwise provided herein), including as to the ability of Bidco or the Required Lenders to make an election pursuant to </w:t>
      </w:r>
      <w:r>
        <w:rPr>
          <w:rFonts w:ascii="Times New Roman" w:hAnsi="Times New Roman"/>
          <w:sz w:val="20"/>
          <w:u w:val="single"/>
        </w:rPr>
        <w:t>clause (a)</w:t>
      </w:r>
      <w:r>
        <w:rPr>
          <w:rFonts w:ascii="Times New Roman" w:hAnsi="Times New Roman"/>
          <w:sz w:val="20"/>
        </w:rPr>
        <w:t xml:space="preserve"> above; provided that (x) any election made pursuant to this </w:t>
      </w:r>
      <w:r>
        <w:rPr>
          <w:rFonts w:ascii="Times New Roman" w:hAnsi="Times New Roman"/>
          <w:sz w:val="20"/>
          <w:u w:val="single"/>
        </w:rPr>
        <w:t>clause (b)</w:t>
      </w:r>
      <w:r>
        <w:rPr>
          <w:rFonts w:ascii="Times New Roman" w:hAnsi="Times New Roman"/>
          <w:sz w:val="20"/>
        </w:rPr>
        <w:t xml:space="preserve">, once made, shall be irrevocable, (y) any calculation or determination in this Agreement that requires the application of IFRS for periods that include fiscal quarters ended prior to Bidco’s election to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p>
      <w:pPr>
        <w:pStyle w:val="TextBody"/>
        <w:bidi w:val="0"/>
        <w:spacing w:before="0" w:after="0"/>
        <w:jc w:val="left"/>
        <w:rPr>
          <w:rFonts w:ascii="Times New Roman" w:hAnsi="Times New Roman"/>
          <w:sz w:val="20"/>
        </w:rPr>
      </w:pPr>
      <w:r>
        <w:rPr>
          <w:rFonts w:ascii="Times New Roman" w:hAnsi="Times New Roman"/>
          <w:sz w:val="20"/>
        </w:rPr>
        <w:t xml:space="preserve">GAAP shall remain as previously calculated or determined in accordance with IFRS and (z) Bidco may only make an election pursuant to this </w:t>
      </w:r>
      <w:r>
        <w:rPr>
          <w:rFonts w:ascii="Times New Roman" w:hAnsi="Times New Roman"/>
          <w:sz w:val="20"/>
          <w:u w:val="single"/>
        </w:rPr>
        <w:t>clause (b)</w:t>
      </w:r>
      <w:r>
        <w:rPr>
          <w:rFonts w:ascii="Times New Roman" w:hAnsi="Times New Roman"/>
          <w:sz w:val="20"/>
        </w:rPr>
        <w:t xml:space="preserve"> if it also elects to report any subsequent financial reports required to be made by Bidco, including pursuant to </w:t>
      </w:r>
      <w:r>
        <w:rPr>
          <w:rFonts w:ascii="Times New Roman" w:hAnsi="Times New Roman"/>
          <w:sz w:val="20"/>
          <w:u w:val="single"/>
        </w:rPr>
        <w:t>Section 5.01(a)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GAAP, and (c) at Bidco’s sole election from time to time, any adverse impact directly or indirectly relating to or resulting from the implementation of IFRS 15 and any successor standard thereto (or any equivalent measure under GAAP) shall be disregarded with respect to all ratios, calculations and determinations based upon IFRS to be calculated or made, as the case may be, pursuant to this Agreement.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means any Restricted Subsidiary other than a Material Subsidiary. </w:t>
      </w:r>
    </w:p>
    <w:p>
      <w:pPr>
        <w:pStyle w:val="TextBody"/>
        <w:bidi w:val="0"/>
        <w:spacing w:before="240" w:after="0"/>
        <w:jc w:val="left"/>
        <w:rPr/>
      </w:pPr>
      <w:r>
        <w:rPr/>
        <w:t>“</w:t>
      </w:r>
      <w:r>
        <w:rPr>
          <w:rFonts w:ascii="Times New Roman" w:hAnsi="Times New Roman"/>
          <w:sz w:val="20"/>
          <w:u w:val="single"/>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left"/>
        <w:rPr/>
      </w:pPr>
      <w:r>
        <w:rPr/>
        <w:t>“</w:t>
      </w:r>
      <w:r>
        <w:rPr>
          <w:rFonts w:ascii="Times New Roman" w:hAnsi="Times New Roman"/>
          <w:sz w:val="20"/>
          <w:u w:val="single"/>
        </w:rPr>
        <w:t>Impacted Loans</w:t>
      </w:r>
      <w:r>
        <w:rPr>
          <w:rFonts w:ascii="Times New Roman" w:hAnsi="Times New Roman"/>
          <w:sz w:val="20"/>
        </w:rPr>
        <w:t xml:space="preserve">” has the meaning assigned to such term in </w:t>
      </w:r>
      <w:r>
        <w:rPr>
          <w:rFonts w:ascii="Times New Roman" w:hAnsi="Times New Roman"/>
          <w:sz w:val="20"/>
          <w:u w:val="single"/>
        </w:rPr>
        <w:t>Section 2.13(a)(ii)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Increased Amount</w:t>
      </w:r>
      <w:r>
        <w:rPr>
          <w:rFonts w:ascii="Times New Roman" w:hAnsi="Times New Roman"/>
          <w:sz w:val="20"/>
        </w:rPr>
        <w:t xml:space="preserve">” shall have the meaning assigned to such term in </w:t>
      </w:r>
      <w:r>
        <w:rPr>
          <w:rFonts w:ascii="Times New Roman" w:hAnsi="Times New Roman"/>
          <w:sz w:val="20"/>
          <w:u w:val="single"/>
        </w:rPr>
        <w:t>Section 6.02(c)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Cap</w:t>
      </w:r>
      <w:r>
        <w:rPr>
          <w:rFonts w:ascii="Times New Roman" w:hAnsi="Times New Roman"/>
          <w:sz w:val="20"/>
        </w:rPr>
        <w:t xml:space="preserve">” means, as of any date of determination, the sum of: </w:t>
      </w:r>
    </w:p>
    <w:p>
      <w:pPr>
        <w:pStyle w:val="TextBody"/>
        <w:bidi w:val="0"/>
        <w:spacing w:before="120" w:after="0"/>
        <w:jc w:val="left"/>
        <w:rPr>
          <w:rFonts w:ascii="Times New Roman" w:hAnsi="Times New Roman"/>
          <w:sz w:val="20"/>
        </w:rPr>
      </w:pPr>
      <w:r>
        <w:rPr>
          <w:rFonts w:ascii="Times New Roman" w:hAnsi="Times New Roman"/>
          <w:sz w:val="20"/>
        </w:rPr>
        <w:t xml:space="preserve">(I)    (a) $750,000,000 </w:t>
      </w:r>
      <w:r>
        <w:rPr>
          <w:rFonts w:ascii="Times New Roman" w:hAnsi="Times New Roman"/>
          <w:sz w:val="20"/>
          <w:u w:val="single"/>
        </w:rPr>
        <w:t>plus</w:t>
      </w:r>
      <w:r>
        <w:rPr>
          <w:rFonts w:ascii="Times New Roman" w:hAnsi="Times New Roman"/>
          <w:sz w:val="20"/>
        </w:rPr>
        <w:t xml:space="preserve"> (ii) any General Debt Basket Reallocated Amount;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all voluntary prepayments of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(including purchases of the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by Bidco and its Subsidiaries at or below par, in which case the amount of voluntary prepayments of Loans shall be deemed to be the actual face amount the resulting reduction in Indebtedness of such Loans, Incremental Equivalent Debt and/or any other Indebtedness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or senior to, the Secured Obligations and the amount paid in cash in respect of any reduction in the outstanding amount of any loan resulting from the application of any “yank-a-bank” provisions) (and in the case of any revolving loans, a corresponding commitment reduction) (other than, in each case, prepayments, repurchases and commitment reductions with the proceeds of (x) Refinancing Indebtedness, (y) Indebtedness the proceeds of which are used to refinance the Term Loans and Revolving Loans and (z) other long-term Indebtedness (other than Revolving Loans));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aggregate principal amount of all Incremental Facilities and all Incremental Equivalent Debt outstanding at such time that was incurred in reliance on the foregoing clauses (a) and/or (b);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in the case of any Incremental Facilities or Incremental Equivalent Debt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the maximum aggregate principal amount that can be incurred without causing the Senior Secured First Lien Net Leverage Ratio to exceed 5.10 to 1.00 for the most recently ended Test Period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left"/>
        <w:rPr>
          <w:rFonts w:ascii="Times New Roman" w:hAnsi="Times New Roman"/>
          <w:sz w:val="20"/>
        </w:rPr>
      </w:pPr>
      <w:r>
        <w:rPr>
          <w:rFonts w:ascii="Times New Roman" w:hAnsi="Times New Roman"/>
          <w:sz w:val="20"/>
        </w:rPr>
        <w:t xml:space="preserve">(b)     in the case of any Incremental Facilities or Incremental Equivalent Debt secured by the Collateral on a junior basis with the Secured Obligations, the maximum aggregate principal amount that can be incurred without causing the Senior Secured Net Leverage Ratio to exceed 5.10 to 1.00 for the most recently ended Test Period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Incremental Facilities or Incremental Equivalent Debt that is unsecured or is secured by assets that are not Collateral, the maximum aggregate principal amount that can be incurred without causing, at Bidco’s option, either: </w:t>
      </w:r>
    </w:p>
    <w:p>
      <w:pPr>
        <w:pStyle w:val="TextBody"/>
        <w:bidi w:val="0"/>
        <w:spacing w:before="120" w:after="0"/>
        <w:jc w:val="left"/>
        <w:rPr>
          <w:rFonts w:ascii="Times New Roman" w:hAnsi="Times New Roman"/>
          <w:sz w:val="20"/>
        </w:rPr>
      </w:pPr>
      <w:r>
        <w:rPr>
          <w:rFonts w:ascii="Times New Roman" w:hAnsi="Times New Roman"/>
          <w:sz w:val="20"/>
        </w:rPr>
        <w:t xml:space="preserve">(i)    the Interest Coverage Ratio to be less than 2.00 to 1.00 for the most recently ended Test Period as of such date; or </w:t>
      </w:r>
    </w:p>
    <w:p>
      <w:pPr>
        <w:pStyle w:val="TextBody"/>
        <w:bidi w:val="0"/>
        <w:spacing w:before="120" w:after="0"/>
        <w:jc w:val="left"/>
        <w:rPr>
          <w:rFonts w:ascii="Times New Roman" w:hAnsi="Times New Roman"/>
          <w:sz w:val="20"/>
        </w:rPr>
      </w:pPr>
      <w:r>
        <w:rPr>
          <w:rFonts w:ascii="Times New Roman" w:hAnsi="Times New Roman"/>
          <w:sz w:val="20"/>
        </w:rPr>
        <w:t xml:space="preserve">(ii)    the Total Net Leverage Ratio to exceed 5.10 to 1.00 for the most recently ended Test Period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 Revolving Loans or (ii) Incremental Facility or Incremental Equivalent Debt made pursuant to clause (I) above) for the most recently ended Test Period as of such date and subject to </w:t>
      </w:r>
      <w:r>
        <w:rPr>
          <w:rFonts w:ascii="Times New Roman" w:hAnsi="Times New Roman"/>
          <w:sz w:val="20"/>
          <w:u w:val="single"/>
        </w:rPr>
        <w:t>Section 1.06</w:t>
      </w:r>
      <w:r>
        <w:rPr>
          <w:rFonts w:ascii="Times New Roman" w:hAnsi="Times New Roman"/>
          <w:sz w:val="20"/>
        </w:rPr>
        <w:t xml:space="preserve"> to the extent applicable. Indebtedness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Bidco does not make an election, Bidco will be deemed to have elected clause (II)); </w:t>
      </w:r>
      <w:r>
        <w:rPr>
          <w:rFonts w:ascii="Times New Roman" w:hAnsi="Times New Roman"/>
          <w:sz w:val="20"/>
          <w:u w:val="single"/>
        </w:rPr>
        <w:t>provided</w:t>
      </w:r>
      <w:r>
        <w:rPr>
          <w:rFonts w:ascii="Times New Roman" w:hAnsi="Times New Roman"/>
          <w:sz w:val="20"/>
        </w:rPr>
        <w:t xml:space="preserve"> that any such Indebtedness originally incurred pursuant to clause (I) above shall cease to be deemed outstanding under clause (I) and shall instead be deemed to be outstanding pursuant to clause (II) above from and after the first date on which Bidco could have incurred the aggregate principal amount of such Indebtedness pursuant to clause (II) above. </w:t>
      </w:r>
    </w:p>
    <w:p>
      <w:pPr>
        <w:pStyle w:val="TextBody"/>
        <w:bidi w:val="0"/>
        <w:spacing w:before="240" w:after="0"/>
        <w:jc w:val="left"/>
        <w:rPr/>
      </w:pPr>
      <w:r>
        <w:rPr/>
        <w:t>“</w:t>
      </w:r>
      <w:r>
        <w:rPr>
          <w:rFonts w:ascii="Times New Roman" w:hAnsi="Times New Roman"/>
          <w:sz w:val="20"/>
          <w:u w:val="single"/>
        </w:rPr>
        <w:t>Incremental Equivalent Debt</w:t>
      </w:r>
      <w:r>
        <w:rPr>
          <w:rFonts w:ascii="Times New Roman" w:hAnsi="Times New Roman"/>
          <w:sz w:val="20"/>
        </w:rPr>
        <w:t xml:space="preserve">” has the meaning assigned to such term in </w:t>
      </w:r>
      <w:r>
        <w:rPr>
          <w:rFonts w:ascii="Times New Roman" w:hAnsi="Times New Roman"/>
          <w:sz w:val="20"/>
          <w:u w:val="single"/>
        </w:rPr>
        <w:t>Section 6.01(b)(xxvi)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Facilities</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Facility Amendment</w:t>
      </w:r>
      <w:r>
        <w:rPr>
          <w:rFonts w:ascii="Times New Roman" w:hAnsi="Times New Roman"/>
          <w:sz w:val="20"/>
        </w:rPr>
        <w:t xml:space="preserve">” has the meaning assigned to such term in </w:t>
      </w:r>
      <w:r>
        <w:rPr>
          <w:rFonts w:ascii="Times New Roman" w:hAnsi="Times New Roman"/>
          <w:sz w:val="20"/>
          <w:u w:val="single"/>
        </w:rPr>
        <w:t>Section 2.19(c)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Revolving Commitment Increase</w:t>
      </w:r>
      <w:r>
        <w:rPr>
          <w:rFonts w:ascii="Times New Roman" w:hAnsi="Times New Roman"/>
          <w:sz w:val="20"/>
        </w:rPr>
        <w:t xml:space="preserve">” has the meaning assigned to such term is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Facility</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p>
    <w:p>
      <w:pPr>
        <w:pStyle w:val="TextBody"/>
        <w:bidi w:val="0"/>
        <w:spacing w:before="0" w:after="0"/>
        <w:jc w:val="left"/>
        <w:rPr/>
      </w:pPr>
      <w:r>
        <w:rPr/>
        <w:t>“</w:t>
      </w:r>
      <w:r>
        <w:rPr>
          <w:rFonts w:ascii="Times New Roman" w:hAnsi="Times New Roman"/>
          <w:sz w:val="20"/>
          <w:u w:val="single"/>
        </w:rPr>
        <w:t>Incremental Term Increase</w:t>
      </w:r>
      <w:r>
        <w:rPr>
          <w:rFonts w:ascii="Times New Roman" w:hAnsi="Times New Roman"/>
          <w:sz w:val="20"/>
        </w:rPr>
        <w:t xml:space="preserve">” has the meaning assigned to such term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means any Term Loan provided under any Incremental Facility. </w:t>
      </w:r>
    </w:p>
    <w:p>
      <w:pPr>
        <w:pStyle w:val="TextBody"/>
        <w:bidi w:val="0"/>
        <w:spacing w:before="240" w:after="0"/>
        <w:jc w:val="left"/>
        <w:rPr/>
      </w:pPr>
      <w:r>
        <w:rPr/>
        <w:t>“</w:t>
      </w:r>
      <w:r>
        <w:rPr>
          <w:rFonts w:ascii="Times New Roman" w:hAnsi="Times New Roman"/>
          <w:sz w:val="20"/>
          <w:u w:val="single"/>
        </w:rPr>
        <w:t>Incurrence Based Amounts</w:t>
      </w:r>
      <w:r>
        <w:rPr>
          <w:rFonts w:ascii="Times New Roman" w:hAnsi="Times New Roman"/>
          <w:sz w:val="20"/>
        </w:rPr>
        <w:t xml:space="preserve">” has the meaning assigned to such term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any indebtedness (including principal and premium) of such Person,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(a)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(b)     evidenced by bonds, notes, debentures or similar instruments or letters of credit or bankers’ acceptances (or, without duplication,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(c)     representing the balance deferred and unpaid of the purchase price of any property (including Capitalized Lease Obligations), except (i) 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IFRS and any purchase price holdbacks in respect of a portion of the purchase price of an asset to satisfy warranty or other unperformed obligations of the seller; or </w:t>
      </w:r>
    </w:p>
    <w:p>
      <w:pPr>
        <w:pStyle w:val="TextBody"/>
        <w:bidi w:val="0"/>
        <w:spacing w:before="120" w:after="0"/>
        <w:jc w:val="left"/>
        <w:rPr>
          <w:rFonts w:ascii="Times New Roman" w:hAnsi="Times New Roman"/>
          <w:sz w:val="20"/>
        </w:rPr>
      </w:pPr>
      <w:r>
        <w:rPr>
          <w:rFonts w:ascii="Times New Roman" w:hAnsi="Times New Roman"/>
          <w:sz w:val="20"/>
        </w:rPr>
        <w:t xml:space="preserve">(d)    representing any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of the foregoing Indebtedness (other than letters of credit and Hedging Obligations) would appear as a liability upon a balance sheet (excluding the footnotes thereto) of such Person prepared in accordance with IFRS;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w:t>
      </w:r>
      <w:r>
        <w:rPr>
          <w:rFonts w:ascii="Times New Roman" w:hAnsi="Times New Roman"/>
          <w:sz w:val="20"/>
          <w:u w:val="single"/>
        </w:rPr>
        <w:t>provided</w:t>
      </w:r>
      <w:r>
        <w:rPr>
          <w:rFonts w:ascii="Times New Roman" w:hAnsi="Times New Roman"/>
          <w:sz w:val="20"/>
        </w:rPr>
        <w:t xml:space="preserve"> that the amount of Indebtedness of any Person for purposes of this clause (2) shall be deemed to be equal to the lesser of (i) the aggregate unpaid amount of such Indebtedness and (ii) the fair market value of the property encumbered thereby as determined by such Person in good faith; and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not otherwise included, the obligations of the type referred to in clause (1) of a third Person secured by a Lien on any asset owned by such first Person, whether or not such Indebtedness is assumed by such first Person;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Indebtedness shall be deemed not to include (a) Contingent Obligations incurred in the ordinary course of business, (b) [reserved], (c) Indebtedness of any parent of Bidco appearing on the balance sheet of Bidco, or solely by reason of push down accounting under IFRS, (d) intercompany liabilities arising from their cash management, tax, and accounting operations, (e) intercompany loans, advances or Indebtedness having a term not exceeding 364 days (inclusive of any rollover or extensions of terms) and made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TextBody"/>
        <w:bidi w:val="0"/>
        <w:spacing w:before="0" w:after="0"/>
        <w:jc w:val="left"/>
        <w:rPr>
          <w:rFonts w:ascii="Times New Roman" w:hAnsi="Times New Roman"/>
          <w:sz w:val="20"/>
        </w:rPr>
      </w:pPr>
      <w:r>
        <w:rPr>
          <w:rFonts w:ascii="Times New Roman" w:hAnsi="Times New Roman"/>
          <w:sz w:val="20"/>
        </w:rPr>
        <w:t xml:space="preserve">(f) obligations under any satellite manufacturing contract or Satellite Purchase Agreement (including any contingent in-orbit incentive payments or other contingent deferred payments earned by a manufacturer during the life of a Satellite under such satellite manufacturing contract or Satellite Purchase Agreement and including any Guarantee for any such indebtedness), (g) obligations under satellite capacity or bandwidth arrangements (whether or not classified and accounted for as a capitalized lease for financial reporting purposes in accordance with IFRS), (h) obligations to make progress or incentive payments (including any in-orbit incentive payments) or other deferred payments earned during the life of a Satellite under any satellite manufacturing contract or obligations under any contract of launch services with respect to a Satellite or (i) obligations to make payments to one or more insurers under any policies of insurance with respect to a Satellite, including payments in respect of premiums and any requirement to remit to such insurer(s) a portion of the future revenues generated by a Satellite with respect to which a claim has been paid for a loss under such insurance or other salvage rights of such insurer(s), in each case in accordance with the terms of the insurance policies relating thereto.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all Taxes, other than (i) Excluded Taxes, (ii) VAT (which, if applicable, shall be dealt with in accordance with </w:t>
      </w:r>
      <w:r>
        <w:rPr>
          <w:rFonts w:ascii="Times New Roman" w:hAnsi="Times New Roman"/>
          <w:sz w:val="20"/>
          <w:u w:val="single"/>
        </w:rPr>
        <w:t>Section 2.16</w:t>
      </w:r>
      <w:r>
        <w:rPr>
          <w:rFonts w:ascii="Times New Roman" w:hAnsi="Times New Roman"/>
          <w:sz w:val="20"/>
        </w:rPr>
        <w:t xml:space="preserve">), and (iii)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assigned to such term in </w:t>
      </w:r>
      <w:r>
        <w:rPr>
          <w:rFonts w:ascii="Times New Roman" w:hAnsi="Times New Roman"/>
          <w:sz w:val="20"/>
          <w:u w:val="single"/>
        </w:rPr>
        <w:t>Section 9.12(a)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 Memorandum</w:t>
      </w:r>
      <w:r>
        <w:rPr>
          <w:rFonts w:ascii="Times New Roman" w:hAnsi="Times New Roman"/>
          <w:sz w:val="20"/>
        </w:rPr>
        <w:t xml:space="preserve">” means the Confidential Information Memorandum dated September 2019, relating to Bidco, the Borrowers and the Transactions. </w:t>
      </w:r>
    </w:p>
    <w:p>
      <w:pPr>
        <w:pStyle w:val="TextBody"/>
        <w:bidi w:val="0"/>
        <w:spacing w:before="240" w:after="0"/>
        <w:jc w:val="left"/>
        <w:rPr/>
      </w:pPr>
      <w:r>
        <w:rPr/>
        <w:t>“</w:t>
      </w:r>
      <w:r>
        <w:rPr>
          <w:rFonts w:ascii="Times New Roman" w:hAnsi="Times New Roman"/>
          <w:sz w:val="20"/>
          <w:u w:val="single"/>
        </w:rPr>
        <w:t>Initial Guernsey Collateral Agreement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 first ranking security agreement from Initial Holdings in favor of the Collateral Agent over its Equity Interests in Bidco; </w:t>
      </w:r>
    </w:p>
    <w:p>
      <w:pPr>
        <w:pStyle w:val="TextBody"/>
        <w:bidi w:val="0"/>
        <w:spacing w:before="240" w:after="0"/>
        <w:jc w:val="left"/>
        <w:rPr>
          <w:rFonts w:ascii="Times New Roman" w:hAnsi="Times New Roman"/>
          <w:sz w:val="20"/>
        </w:rPr>
      </w:pPr>
      <w:r>
        <w:rPr>
          <w:rFonts w:ascii="Times New Roman" w:hAnsi="Times New Roman"/>
          <w:sz w:val="20"/>
        </w:rPr>
        <w:t xml:space="preserve">(b)    a first ranking security agreement from the Finco Borrower in favor of the Collateral Agent over any structural intercompany receivables owed to it from Bidco; </w:t>
      </w:r>
    </w:p>
    <w:p>
      <w:pPr>
        <w:pStyle w:val="TextBody"/>
        <w:bidi w:val="0"/>
        <w:spacing w:before="240" w:after="0"/>
        <w:jc w:val="left"/>
        <w:rPr>
          <w:rFonts w:ascii="Times New Roman" w:hAnsi="Times New Roman"/>
          <w:sz w:val="20"/>
        </w:rPr>
      </w:pPr>
      <w:r>
        <w:rPr>
          <w:rFonts w:ascii="Times New Roman" w:hAnsi="Times New Roman"/>
          <w:sz w:val="20"/>
        </w:rPr>
        <w:t xml:space="preserve">(c)     a first ranking security agreement from Bidco in favor of the Finco Borrower over its material operating bank accounts (without control over use) as security for Bidco’s obligations under any structural intercompany loans made to it by the Finco Borrower; </w:t>
      </w:r>
    </w:p>
    <w:p>
      <w:pPr>
        <w:pStyle w:val="TextBody"/>
        <w:bidi w:val="0"/>
        <w:spacing w:before="240" w:after="0"/>
        <w:jc w:val="left"/>
        <w:rPr>
          <w:rFonts w:ascii="Times New Roman" w:hAnsi="Times New Roman"/>
          <w:sz w:val="20"/>
        </w:rPr>
      </w:pPr>
      <w:r>
        <w:rPr>
          <w:rFonts w:ascii="Times New Roman" w:hAnsi="Times New Roman"/>
          <w:sz w:val="20"/>
        </w:rPr>
        <w:t xml:space="preserve">(d)     a second ranking security agreement from Bidco in favor of the Collateral Agent over its material operating bank accounts (without control over use); and </w:t>
      </w:r>
    </w:p>
    <w:p>
      <w:pPr>
        <w:pStyle w:val="TextBody"/>
        <w:bidi w:val="0"/>
        <w:spacing w:before="240" w:after="0"/>
        <w:jc w:val="left"/>
        <w:rPr>
          <w:rFonts w:ascii="Times New Roman" w:hAnsi="Times New Roman"/>
          <w:sz w:val="20"/>
        </w:rPr>
      </w:pPr>
      <w:r>
        <w:rPr>
          <w:rFonts w:ascii="Times New Roman" w:hAnsi="Times New Roman"/>
          <w:sz w:val="20"/>
        </w:rPr>
        <w:t xml:space="preserve">(e)    a first ranking security agreement from the Finco Borrower in favor of the Collateral Agent over its rights in respect of the security referred to in paragraph (c) above. </w:t>
      </w:r>
    </w:p>
    <w:p>
      <w:pPr>
        <w:pStyle w:val="TextBody"/>
        <w:bidi w:val="0"/>
        <w:spacing w:before="240" w:after="0"/>
        <w:jc w:val="left"/>
        <w:rPr/>
      </w:pPr>
      <w:r>
        <w:rPr/>
        <w:t>“</w:t>
      </w:r>
      <w:r>
        <w:rPr>
          <w:rFonts w:ascii="Times New Roman" w:hAnsi="Times New Roman"/>
          <w:sz w:val="20"/>
          <w:u w:val="single"/>
        </w:rPr>
        <w:t>Initial Holdings</w:t>
      </w:r>
      <w:r>
        <w:rPr>
          <w:rFonts w:ascii="Times New Roman" w:hAnsi="Times New Roman"/>
          <w:sz w:val="20"/>
        </w:rPr>
        <w:t xml:space="preserve">” has the meaning given to such term in the preliminary statements hereto. </w:t>
      </w:r>
    </w:p>
    <w:p>
      <w:pPr>
        <w:pStyle w:val="TextBody"/>
        <w:bidi w:val="0"/>
        <w:spacing w:before="240" w:after="0"/>
        <w:jc w:val="left"/>
        <w:rPr/>
      </w:pPr>
      <w:r>
        <w:rPr/>
        <w:t>“</w:t>
      </w:r>
      <w:r>
        <w:rPr>
          <w:rFonts w:ascii="Times New Roman" w:hAnsi="Times New Roman"/>
          <w:sz w:val="20"/>
          <w:u w:val="single"/>
        </w:rPr>
        <w:t>Initial Luxembourg Collateral Agreement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 first ranking security agreement from Bidco in favor of the Collateral Agent over its Equity Interests in the Finco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TextBody"/>
        <w:bidi w:val="0"/>
        <w:spacing w:before="0" w:after="0"/>
        <w:jc w:val="left"/>
        <w:rPr>
          <w:rFonts w:ascii="Times New Roman" w:hAnsi="Times New Roman"/>
          <w:sz w:val="20"/>
        </w:rPr>
      </w:pPr>
      <w:r>
        <w:rPr>
          <w:rFonts w:ascii="Times New Roman" w:hAnsi="Times New Roman"/>
          <w:sz w:val="20"/>
        </w:rPr>
        <w:t xml:space="preserve">(b)    a first ranking security agreement from the Finco Borrower in favor of the Collateral Agent in respect of material operating bank accounts (without control over use); and </w:t>
      </w:r>
    </w:p>
    <w:p>
      <w:pPr>
        <w:pStyle w:val="TextBody"/>
        <w:bidi w:val="0"/>
        <w:spacing w:before="240" w:after="0"/>
        <w:jc w:val="left"/>
        <w:rPr>
          <w:rFonts w:ascii="Times New Roman" w:hAnsi="Times New Roman"/>
          <w:sz w:val="20"/>
        </w:rPr>
      </w:pPr>
      <w:r>
        <w:rPr>
          <w:rFonts w:ascii="Times New Roman" w:hAnsi="Times New Roman"/>
          <w:sz w:val="20"/>
        </w:rPr>
        <w:t xml:space="preserve">(c)    a first ranking security agreement from the Finco Borrower in favor of the Collateral Agent over any structural intercompany receivables owed to it from Bidco. </w:t>
      </w:r>
    </w:p>
    <w:p>
      <w:pPr>
        <w:pStyle w:val="TextBody"/>
        <w:bidi w:val="0"/>
        <w:spacing w:before="240" w:after="0"/>
        <w:jc w:val="left"/>
        <w:rPr/>
      </w:pPr>
      <w:r>
        <w:rPr/>
        <w:t>“</w:t>
      </w:r>
      <w:r>
        <w:rPr>
          <w:rFonts w:ascii="Times New Roman" w:hAnsi="Times New Roman"/>
          <w:sz w:val="20"/>
          <w:u w:val="single"/>
        </w:rPr>
        <w:t>Initial Term Commitment</w:t>
      </w:r>
      <w:r>
        <w:rPr>
          <w:rFonts w:ascii="Times New Roman" w:hAnsi="Times New Roman"/>
          <w:sz w:val="20"/>
        </w:rPr>
        <w:t xml:space="preserve">” means, with respect to each Lender, the commitment, if any, of such Lender to make an Initial Term Loan hereunder, expressed as an amount representing the maximum principal amount of the Initial Term Loan to be made by such Lender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assignments by or to such Lender pursuant to an Assignment and Assumption. The amount of each Lender’s Initial Term Commitment as of the Effective Date is set forth on Schedule 2.01 or in the Assignment and Assumption pursuant to which such Lender shall have assumed its Initial Term Commitment. As of the Effective Date, the total Initial Term Commitment is $1,750,000,000. </w:t>
      </w:r>
    </w:p>
    <w:p>
      <w:pPr>
        <w:pStyle w:val="TextBody"/>
        <w:bidi w:val="0"/>
        <w:spacing w:before="240" w:after="0"/>
        <w:jc w:val="left"/>
        <w:rPr/>
      </w:pPr>
      <w:r>
        <w:rPr/>
        <w:t>“</w:t>
      </w:r>
      <w:r>
        <w:rPr>
          <w:rFonts w:ascii="Times New Roman" w:hAnsi="Times New Roman"/>
          <w:sz w:val="20"/>
          <w:u w:val="single"/>
        </w:rPr>
        <w:t>Initial Term Commitment Expiration Date</w:t>
      </w:r>
      <w:r>
        <w:rPr>
          <w:rFonts w:ascii="Times New Roman" w:hAnsi="Times New Roman"/>
          <w:sz w:val="20"/>
        </w:rPr>
        <w:t xml:space="preserve">” means the earlier to occur of (x) the last day of the Certain Funds Period and (y) the date on which the Initial Term Commitments are reduced to zero. </w:t>
      </w:r>
    </w:p>
    <w:p>
      <w:pPr>
        <w:pStyle w:val="TextBody"/>
        <w:bidi w:val="0"/>
        <w:spacing w:before="240" w:after="0"/>
        <w:jc w:val="left"/>
        <w:rPr/>
      </w:pPr>
      <w:r>
        <w:rPr/>
        <w:t>“</w:t>
      </w:r>
      <w:r>
        <w:rPr>
          <w:rFonts w:ascii="Times New Roman" w:hAnsi="Times New Roman"/>
          <w:sz w:val="20"/>
          <w:u w:val="single"/>
        </w:rPr>
        <w:t>Initial Term Loans</w:t>
      </w:r>
      <w:r>
        <w:rPr>
          <w:rFonts w:ascii="Times New Roman" w:hAnsi="Times New Roman"/>
          <w:sz w:val="20"/>
        </w:rPr>
        <w:t xml:space="preserve">” means the Loans made pursuant to </w:t>
      </w:r>
      <w:r>
        <w:rPr>
          <w:rFonts w:ascii="Times New Roman" w:hAnsi="Times New Roman"/>
          <w:sz w:val="20"/>
          <w:u w:val="single"/>
        </w:rPr>
        <w:t>Section 2.01(a)</w:t>
      </w:r>
      <w:r>
        <w:rPr>
          <w:rFonts w:ascii="Times New Roman" w:hAnsi="Times New Roman"/>
          <w:sz w:val="20"/>
        </w:rPr>
        <w:t xml:space="preserve">. On the Amendment No. 1 Effective Date, the Initial Term Loans were repaid in full with the proceeds of the Amendment No. 1 Refinancing Term Loans. For the avoidance of doubt, the Amendment No. 1 Refinancing Terms Loans shall not constitute Initial Term Loans.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assigned to such term in the Collateral Agreement. </w:t>
      </w:r>
    </w:p>
    <w:p>
      <w:pPr>
        <w:pStyle w:val="TextBody"/>
        <w:bidi w:val="0"/>
        <w:spacing w:before="240" w:after="0"/>
        <w:jc w:val="left"/>
        <w:rPr/>
      </w:pPr>
      <w:r>
        <w:rPr/>
        <w:t>“</w:t>
      </w:r>
      <w:r>
        <w:rPr>
          <w:rFonts w:ascii="Times New Roman" w:hAnsi="Times New Roman"/>
          <w:sz w:val="20"/>
          <w:u w:val="single"/>
        </w:rPr>
        <w:t>Intellectual Property Security Agreements</w:t>
      </w:r>
      <w:r>
        <w:rPr>
          <w:rFonts w:ascii="Times New Roman" w:hAnsi="Times New Roman"/>
          <w:sz w:val="20"/>
        </w:rPr>
        <w:t xml:space="preserve">” means, collectively, the Trademark Security Agreement, the Patent Security Agreement and the Copyright Security Agreement, in each case which has the meaning assigned to such term in the Collateral Agreement. </w:t>
      </w:r>
    </w:p>
    <w:p>
      <w:pPr>
        <w:pStyle w:val="TextBody"/>
        <w:bidi w:val="0"/>
        <w:spacing w:before="240" w:after="0"/>
        <w:jc w:val="left"/>
        <w:rPr/>
      </w:pPr>
      <w:r>
        <w:rPr/>
        <w:t>“</w:t>
      </w:r>
      <w:r>
        <w:rPr>
          <w:rFonts w:ascii="Times New Roman" w:hAnsi="Times New Roman"/>
          <w:sz w:val="20"/>
          <w:u w:val="single"/>
        </w:rPr>
        <w:t>Interest Coverage Ratio</w:t>
      </w:r>
      <w:r>
        <w:rPr>
          <w:rFonts w:ascii="Times New Roman" w:hAnsi="Times New Roman"/>
          <w:sz w:val="20"/>
        </w:rPr>
        <w:t xml:space="preserve">” means, as of any date of determination, the ratio, on a Pro Forma Basis, of (a) Consolidated EBITDA for the most recently ended Test Period as of such date to (b) Consolidated Cash Interest Expense for the most recently ended Test Period as of such date.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any Borrower to convert or continue a Revolving Borrowing or Term Borrowing in accordance with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(including a Swingline Loan), the last Business Day of each March, June, September and December and (b) with respect to any Eurodollar Loan, </w:t>
      </w:r>
      <w:r>
        <w:rPr>
          <w:rFonts w:ascii="Times New Roman" w:hAnsi="Times New Roman"/>
          <w:color w:val="0000FF"/>
          <w:sz w:val="20"/>
          <w:u w:val="single"/>
          <w:bdr w:val="double" w:sz="2" w:space="1" w:color="000000"/>
        </w:rPr>
        <w:t xml:space="preserve">Term Benchmark Loan or RFR Loan, </w:t>
      </w:r>
      <w:r>
        <w:rPr>
          <w:rFonts w:ascii="Times New Roman" w:hAnsi="Times New Roman"/>
          <w:sz w:val="20"/>
        </w:rPr>
        <w:t>the last Business Day of the Interest Period applicable to the Borrowing of which such Loan is a part and, in the case of a Eurodollar Borrowing</w:t>
      </w:r>
      <w:r>
        <w:rPr>
          <w:rFonts w:ascii="Times New Roman" w:hAnsi="Times New Roman"/>
          <w:color w:val="0000FF"/>
          <w:sz w:val="20"/>
          <w:u w:val="single"/>
          <w:bdr w:val="double" w:sz="2" w:space="1" w:color="000000"/>
        </w:rPr>
        <w:t>, Term Benchmark Borrowing or RFR Borrowing</w:t>
      </w:r>
      <w:r>
        <w:rPr>
          <w:rFonts w:ascii="Times New Roman" w:hAnsi="Times New Roman"/>
          <w:sz w:val="20"/>
        </w:rPr>
        <w:t xml:space="preserve"> with an Interest Period of more than three months’ duration, each day prior to the last day of such Interest Period that occurs at intervals of three months’ duration after the first day of such Interest Period.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any Eurodollar </w:t>
      </w:r>
      <w:r>
        <w:rPr>
          <w:rFonts w:ascii="Times New Roman" w:hAnsi="Times New Roman"/>
          <w:color w:val="0000FF"/>
          <w:sz w:val="20"/>
          <w:u w:val="single"/>
          <w:bdr w:val="double" w:sz="2" w:space="1" w:color="000000"/>
        </w:rPr>
        <w:t xml:space="preserve">Borrowing, Term Benchmark Borrowing or RFR </w:t>
      </w:r>
      <w:r>
        <w:rPr>
          <w:rFonts w:ascii="Times New Roman" w:hAnsi="Times New Roman"/>
          <w:sz w:val="20"/>
        </w:rPr>
        <w:t>Borrowing, the period commencing on the date such Borrowing is disbursed or converted to or continued as a Eurodollar Borrowing</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Term Benchmark Borrowing or an RFR Borrowing </w:t>
      </w:r>
      <w:r>
        <w:rPr>
          <w:rFonts w:ascii="Times New Roman" w:hAnsi="Times New Roman"/>
          <w:sz w:val="20"/>
        </w:rPr>
        <w:t>and ending on the date that is one, two</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(if available in the applicable currency)</w:t>
      </w:r>
      <w:r>
        <w:rPr>
          <w:rFonts w:ascii="Times New Roman" w:hAnsi="Times New Roman"/>
          <w:sz w:val="20"/>
        </w:rPr>
        <w:t xml:space="preserve">, three or six months thereafter as selected by any Borrower in its Borrowing Request (or, if consented to by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TextBody"/>
        <w:bidi w:val="0"/>
        <w:spacing w:before="0" w:after="0"/>
        <w:jc w:val="left"/>
        <w:rPr>
          <w:rFonts w:ascii="Times New Roman" w:hAnsi="Times New Roman"/>
          <w:sz w:val="20"/>
        </w:rPr>
      </w:pPr>
      <w:r>
        <w:rPr>
          <w:rFonts w:ascii="Times New Roman" w:hAnsi="Times New Roman"/>
          <w:sz w:val="20"/>
        </w:rPr>
        <w:t xml:space="preserve">Lender participating therein, twelve months or such shorter period as such Borrower may elect); </w:t>
      </w:r>
      <w:r>
        <w:rPr>
          <w:rFonts w:ascii="Times New Roman" w:hAnsi="Times New Roman"/>
          <w:sz w:val="20"/>
          <w:u w:val="single"/>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immediately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(c) no Interest Period shall extend beyond (i) in the case of Amendment No. 1 Refinancing Term Loans, the Term Maturity Date, </w:t>
      </w:r>
      <w:r>
        <w:rPr>
          <w:rFonts w:ascii="Times New Roman" w:hAnsi="Times New Roman"/>
          <w:strike/>
          <w:color w:val="FF0000"/>
          <w:sz w:val="20"/>
        </w:rPr>
        <w:t xml:space="preserve">and </w:t>
      </w:r>
      <w:r>
        <w:rPr>
          <w:rFonts w:ascii="Times New Roman" w:hAnsi="Times New Roman"/>
          <w:sz w:val="20"/>
        </w:rPr>
        <w:t xml:space="preserve">(ii) in the case of Revolving Loans, the Revolving Maturity </w:t>
      </w:r>
      <w:r>
        <w:rPr>
          <w:rFonts w:ascii="Times New Roman" w:hAnsi="Times New Roman"/>
          <w:color w:val="0000FF"/>
          <w:sz w:val="20"/>
          <w:u w:val="single"/>
          <w:bdr w:val="double" w:sz="2" w:space="1" w:color="000000"/>
        </w:rPr>
        <w:t>Date and (iii) in the case of Eurodollar Loans denominated in U.S. Dollars, the Amendment No. 3 Transition</w:t>
      </w:r>
      <w:r>
        <w:rPr>
          <w:rFonts w:ascii="Times New Roman" w:hAnsi="Times New Roman"/>
          <w:sz w:val="20"/>
        </w:rPr>
        <w:t xml:space="preserve"> Date and (d) to the extent a Borrower has elected to make a Eurodollar Borrowing on the Effective Date, the Interest Period may, at the election of such Borrower and with the consent of the Administrative Agent (not to be unreasonably withheld, conditioned or delayed), have a different duration (it being understood that any such Interest Period will be calculated based on the next longest Interest Period referred to above) such that the Interest Period will end on January 31, 2020.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sz w:val="20"/>
          <w:u w:val="single"/>
        </w:rPr>
        <w:t>Interim Facilities Agreement</w:t>
      </w:r>
      <w:r>
        <w:rPr>
          <w:rFonts w:ascii="Times New Roman" w:hAnsi="Times New Roman"/>
          <w:sz w:val="20"/>
        </w:rPr>
        <w:t xml:space="preserve">” means the interim facilities agreement originally dated 24 March 2019, as amended and restated on 13 April 2019, between, among others, Bidco as Obligors’ Agent (as defined therein) and Barclays Bank PLC as Interim Facility Agent (as defined therein). </w:t>
      </w:r>
    </w:p>
    <w:p>
      <w:pPr>
        <w:pStyle w:val="TextBody"/>
        <w:bidi w:val="0"/>
        <w:spacing w:before="240" w:after="0"/>
        <w:jc w:val="left"/>
        <w:rPr/>
      </w:pPr>
      <w:r>
        <w:rPr/>
        <w:t>“</w:t>
      </w:r>
      <w:r>
        <w:rPr>
          <w:rFonts w:ascii="Times New Roman" w:hAnsi="Times New Roman"/>
          <w:sz w:val="20"/>
          <w:u w:val="single"/>
        </w:rPr>
        <w:t>Intermediate Parent</w:t>
      </w:r>
      <w:r>
        <w:rPr>
          <w:rFonts w:ascii="Times New Roman" w:hAnsi="Times New Roman"/>
          <w:sz w:val="20"/>
        </w:rPr>
        <w:t xml:space="preserve">” means any Wholly Owned Subsidiary of Holdings that is organized under the laws of (i) Luxembourg, (ii) Guernsey or (iii) England and Wales, in each case and of which Bidco is a subsidiary. </w:t>
      </w:r>
    </w:p>
    <w:p>
      <w:pPr>
        <w:pStyle w:val="TextBody"/>
        <w:bidi w:val="0"/>
        <w:spacing w:before="240" w:after="0"/>
        <w:jc w:val="left"/>
        <w:rPr/>
      </w:pPr>
      <w:r>
        <w:rPr/>
        <w:t>“</w:t>
      </w:r>
      <w:r>
        <w:rPr>
          <w:rFonts w:ascii="Times New Roman" w:hAnsi="Times New Roman"/>
          <w:sz w:val="20"/>
          <w:u w:val="single"/>
        </w:rPr>
        <w:t>Interpolated Rate</w:t>
      </w:r>
      <w:r>
        <w:rPr>
          <w:rFonts w:ascii="Times New Roman" w:hAnsi="Times New Roman"/>
          <w:sz w:val="20"/>
        </w:rPr>
        <w:t xml:space="preserve">” means, in relation to the “LIBO Rate” for any Loan, the rate which results from interpolating on a linear basis between: (i) the rate appearing on Reuters Screen LIBOR01 Page (or on any successor or substitute page of such service) for the longest period (for which that rate is available) which is less than the Interest Period and (ii) the rate appearing on Reuters Screen LIBOR01 Page (or on any successor or substitute page of such service) for the shortest period (for which that rate is available) which exceeds the Interest Period, each as of approximately 11:00 A.M., London, England time, two Business Days prior to the commencement of such Interest Period.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Bidco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IFRS to be classified on the balance sheet (excluding the footnotes) of Bidco in the same manner as the other investments included in this definition to the extent such transactions involve the transfer of cash or other property; </w:t>
      </w:r>
      <w:r>
        <w:rPr>
          <w:rFonts w:ascii="Times New Roman" w:hAnsi="Times New Roman"/>
          <w:sz w:val="20"/>
          <w:u w:val="single"/>
        </w:rPr>
        <w:t>provided</w:t>
      </w:r>
      <w:r>
        <w:rPr>
          <w:rFonts w:ascii="Times New Roman" w:hAnsi="Times New Roman"/>
          <w:sz w:val="20"/>
        </w:rPr>
        <w:t xml:space="preserve"> that endorsements of negotiable instruments and documents in the ordinary course of business will not be deemed to be an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definition of “Unrestricted Subsidiary” and </w:t>
      </w:r>
      <w:r>
        <w:rPr>
          <w:rFonts w:ascii="Times New Roman" w:hAnsi="Times New Roman"/>
          <w:sz w:val="20"/>
          <w:u w:val="single"/>
        </w:rPr>
        <w:t>Section 6.05</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(1)     “Investments” shall include the portion (proportionate to Bidco’s direct or indirect equity interest in such Subsidiary) of the fair market value of the net assets of a Subsidiary of Bidco at the time that such Subsidiary is designated an Unrestricted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a redesignation of such Subsidiary as a Restricted Subsidiary, Bidco or the applicable Restricted Subsidiary shall be deemed to continue to have a permanent “Investment” in an Unrestricted Subsidiary in an amount (if positive) equal to: </w:t>
      </w:r>
    </w:p>
    <w:p>
      <w:pPr>
        <w:pStyle w:val="TextBody"/>
        <w:bidi w:val="0"/>
        <w:spacing w:before="120" w:after="0"/>
        <w:jc w:val="left"/>
        <w:rPr>
          <w:rFonts w:ascii="Times New Roman" w:hAnsi="Times New Roman"/>
          <w:sz w:val="20"/>
        </w:rPr>
      </w:pPr>
      <w:r>
        <w:rPr>
          <w:rFonts w:ascii="Times New Roman" w:hAnsi="Times New Roman"/>
          <w:sz w:val="20"/>
        </w:rPr>
        <w:t xml:space="preserve">(a)     Bidco’s “Investment” in such Subsidiary at the time of such redesignation; less </w:t>
      </w:r>
    </w:p>
    <w:p>
      <w:pPr>
        <w:pStyle w:val="TextBody"/>
        <w:bidi w:val="0"/>
        <w:spacing w:before="120" w:after="0"/>
        <w:jc w:val="left"/>
        <w:rPr>
          <w:rFonts w:ascii="Times New Roman" w:hAnsi="Times New Roman"/>
          <w:sz w:val="20"/>
        </w:rPr>
      </w:pPr>
      <w:r>
        <w:rPr>
          <w:rFonts w:ascii="Times New Roman" w:hAnsi="Times New Roman"/>
          <w:sz w:val="20"/>
        </w:rPr>
        <w:t xml:space="preserve">(b)     the portion (proportionate to Bidco’s equity interest in such Subsidiary) of the fair market value of the net assets of such Subsidiary at the time of such redesignation; and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shall be valued at its fair market value at the time of such transfer, in each case as determined in good faith by a Responsible Officer of Bidco or any Borrower.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outstanding at any time shall be the original cost of such Investment, reduced by any dividend, distribution, interest payment, return of capital, repayment or other amount received in cash or other property by Bidco or a Restricted Subsidiary in respect of such Investment. </w:t>
      </w:r>
    </w:p>
    <w:p>
      <w:pPr>
        <w:pStyle w:val="TextBody"/>
        <w:bidi w:val="0"/>
        <w:spacing w:before="240" w:after="0"/>
        <w:jc w:val="left"/>
        <w:rPr/>
      </w:pPr>
      <w:r>
        <w:rPr/>
        <w:t>“</w:t>
      </w:r>
      <w:r>
        <w:rPr>
          <w:rFonts w:ascii="Times New Roman" w:hAnsi="Times New Roman"/>
          <w:sz w:val="20"/>
          <w:u w:val="single"/>
        </w:rPr>
        <w:t>Investment Grade Rating</w:t>
      </w:r>
      <w:r>
        <w:rPr>
          <w:rFonts w:ascii="Times New Roman" w:hAnsi="Times New Roman"/>
          <w:sz w:val="20"/>
        </w:rPr>
        <w:t xml:space="preserve">” means a rating equal to or higher than (x) Baa3 (or the equivalent) by Moody’s, (y) BBB- (or the equivalent) by S&amp;P or (z) a rating of BBB- (or the equivalent) by Fitch, as applicable, or if such obligations are not then rated by Moody’s, S&amp;P or Fitch, an equivalent rating by any other rating agency. </w:t>
      </w:r>
    </w:p>
    <w:p>
      <w:pPr>
        <w:pStyle w:val="TextBody"/>
        <w:bidi w:val="0"/>
        <w:spacing w:before="240" w:after="0"/>
        <w:jc w:val="left"/>
        <w:rPr/>
      </w:pPr>
      <w:r>
        <w:rPr/>
        <w:t>“</w:t>
      </w:r>
      <w:r>
        <w:rPr>
          <w:rFonts w:ascii="Times New Roman" w:hAnsi="Times New Roman"/>
          <w:sz w:val="20"/>
          <w:u w:val="single"/>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United States government or any agency or instrumentality thereof (other than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(2)     debt securities or debt instruments with an Investment Grade Rating, but excluding any debt securities or instruments constituting loans or advances among Bidco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any fund that invests exclusively in investments of the type described in clauses (1) and (2) which fund may also hold immaterial amounts of cash pending investment 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(4)     corresponding instruments in countries other than the United States of America customarily utilized for high quality investments. </w:t>
      </w:r>
    </w:p>
    <w:p>
      <w:pPr>
        <w:pStyle w:val="TextBody"/>
        <w:bidi w:val="0"/>
        <w:spacing w:before="240" w:after="0"/>
        <w:jc w:val="left"/>
        <w:rPr/>
      </w:pPr>
      <w:r>
        <w:rPr/>
        <w:t>“</w:t>
      </w:r>
      <w:r>
        <w:rPr>
          <w:rFonts w:ascii="Times New Roman" w:hAnsi="Times New Roman"/>
          <w:sz w:val="20"/>
          <w:u w:val="single"/>
        </w:rPr>
        <w:t>Investors</w:t>
      </w:r>
      <w:r>
        <w:rPr>
          <w:rFonts w:ascii="Times New Roman" w:hAnsi="Times New Roman"/>
          <w:sz w:val="20"/>
        </w:rPr>
        <w:t xml:space="preserve">” means Warburg Pincus LLC, Apax Partners LLP, Ontario Teachers’ Pension Plan Board, Canada Pension Plan Investment Board and their respective Affiliates and any funds, partnerships or other investment vehicles managed or directly or indirectly controlled by them, but not including, however, any portfolio companies of the foregoing.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means the initial underwritten public offering (other than a public offering pursuant to a registration statement on Form S-8) of common Equity Interests of Initial Holdings, a parent entity of Initial Holdings or an Intermediate Parent. For the avoidance of doubt, an IPO shall not be deemed to have occurred hereunder on or after the consummation of the Viasat Acquisition due to Viasat being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p>
    <w:p>
      <w:pPr>
        <w:pStyle w:val="TextBody"/>
        <w:bidi w:val="0"/>
        <w:spacing w:before="0" w:after="0"/>
        <w:jc w:val="left"/>
        <w:rPr/>
      </w:pPr>
      <w:r>
        <w:rPr/>
        <w:t>“</w:t>
      </w:r>
      <w:r>
        <w:rPr>
          <w:rFonts w:ascii="Times New Roman" w:hAnsi="Times New Roman"/>
          <w:sz w:val="20"/>
          <w:u w:val="single"/>
        </w:rPr>
        <w:t>IPO Entity</w:t>
      </w:r>
      <w:r>
        <w:rPr>
          <w:rFonts w:ascii="Times New Roman" w:hAnsi="Times New Roman"/>
          <w:sz w:val="20"/>
        </w:rPr>
        <w:t xml:space="preserve">” means, at any time upon and after an IPO, either Initial Holdings, a parent entity of Initial Holdings or an Intermediate Parent, as the case may be, the Equity Interests of which were issued or otherwise sold in a transaction described in the definition of “IPO”; </w:t>
      </w:r>
      <w:r>
        <w:rPr>
          <w:rFonts w:ascii="Times New Roman" w:hAnsi="Times New Roman"/>
          <w:sz w:val="20"/>
          <w:u w:val="single"/>
        </w:rPr>
        <w:t>provided</w:t>
      </w:r>
      <w:r>
        <w:rPr>
          <w:rFonts w:ascii="Times New Roman" w:hAnsi="Times New Roman"/>
          <w:sz w:val="20"/>
        </w:rPr>
        <w:t xml:space="preserve"> that, immediately following the IPO, Bidco is a direct or indirect Wholly Owned Subsidiary of such IPO Entity and such IPO Entity owns, directly or through its subsidiaries, substantially all the businesses and assets owned or conducted, directly or indirectly, by Bidco immediately prior to the IPO.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means (a) each of Bank of America, N.A., Barclays, UBS AG, Stamford Branch, BNP Paribas Fortis S.A./N.V., HSBC Bank PLC, ING Bank N.V., National Westminster Bank PLC, Sumitomo Mitsui Banking Corporation, Intesa Sanpaolo S.p.A., MUFG Bank, Ltd., Natixis, New York Branch, DNB (UK) Limited, The Bank of Nova Scotia, London Branch, J.P. Morgan AG and Mizuho Bank, Ltd. (</w:t>
      </w:r>
      <w:r>
        <w:rPr>
          <w:rFonts w:ascii="Times New Roman" w:hAnsi="Times New Roman"/>
          <w:sz w:val="20"/>
          <w:u w:val="single"/>
        </w:rPr>
        <w:t>provided</w:t>
      </w:r>
      <w:r>
        <w:rPr>
          <w:rFonts w:ascii="Times New Roman" w:hAnsi="Times New Roman"/>
          <w:sz w:val="20"/>
        </w:rPr>
        <w:t xml:space="preserve"> that Barclays and UBS AG, Stamford Branch and their respective Affiliates shall each only be required to issue standby Letters of Credit) and (b) each Revolving Lender that shall have become an Issuing Bank hereunder as provided in </w:t>
      </w:r>
      <w:r>
        <w:rPr>
          <w:rFonts w:ascii="Times New Roman" w:hAnsi="Times New Roman"/>
          <w:sz w:val="20"/>
          <w:u w:val="single"/>
        </w:rPr>
        <w:t>Section 2.04(k)</w:t>
      </w:r>
      <w:r>
        <w:rPr>
          <w:rFonts w:ascii="Times New Roman" w:hAnsi="Times New Roman"/>
          <w:sz w:val="20"/>
        </w:rPr>
        <w:t xml:space="preserve"> (other than any Person that shall have ceased to be an Issuing Bank as provided in </w:t>
      </w:r>
      <w:r>
        <w:rPr>
          <w:rFonts w:ascii="Times New Roman" w:hAnsi="Times New Roman"/>
          <w:sz w:val="20"/>
          <w:u w:val="single"/>
        </w:rPr>
        <w:t>Section 2.04(l)</w:t>
      </w:r>
      <w:r>
        <w:rPr>
          <w:rFonts w:ascii="Times New Roman" w:hAnsi="Times New Roman"/>
          <w:sz w:val="20"/>
        </w:rPr>
        <w:t xml:space="preserve">),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 </w:t>
      </w:r>
    </w:p>
    <w:p>
      <w:pPr>
        <w:pStyle w:val="TextBody"/>
        <w:bidi w:val="0"/>
        <w:spacing w:before="240" w:after="0"/>
        <w:jc w:val="left"/>
        <w:rPr/>
      </w:pPr>
      <w:r>
        <w:rPr/>
        <w:t>“</w:t>
      </w:r>
      <w:r>
        <w:rPr>
          <w:rFonts w:ascii="Times New Roman" w:hAnsi="Times New Roman"/>
          <w:sz w:val="20"/>
          <w:u w:val="single"/>
        </w:rPr>
        <w:t>Joint Lead Arrangers</w:t>
      </w:r>
      <w:r>
        <w:rPr>
          <w:rFonts w:ascii="Times New Roman" w:hAnsi="Times New Roman"/>
          <w:sz w:val="20"/>
        </w:rPr>
        <w:t xml:space="preserve">” means (1)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hereunder and (ii) Barclays Bank PLC, BofA Securities, Inc. (f/k/a Merrill Lynch, Pierce, Fenner &amp; Smith Incorporated), UBS Securities LLC, BNP Paribas Fortis S.A./N.V., HSBC Bank PLC, ING Bank N.V., Natixis, New York Branch, NatWest Markets plc, Sumitomo Mitsui Banking Corporation, Banca IMI S.p.A., London Branch, MUFG Bank, Ltd., DNB (UK) Limited, The Bank of Nova Scotia, London Branch and Mizuho Bank, Ltd. each in their capacity as joint bookrunners, and any permitted successors and assigns thereof, in their respective capacities as joint bookrunners hereunder and (2) each of (i) Barclays Bank PLC, BofA Securities, Inc. (f/k/a Merrill Lynch, Pierce, Fenner &amp; Smith Incorporated) and UBS Securities LLC, each in their capacity as joint global coordinators and joint lead arrangers, and any permitted successors and assigns thereof, in their respective capacities as joint global coordinators and joint lead arrangers under the Amendment No. 1 and (ii) Barclays Bank PLC, BofA Securities, Inc. (f/k/a Merrill Lynch, Pierce, Fenner &amp; Smith Incorporated), UBS Securities LLC, BNP Paribas Fortis S.A./N.V., HSBC Bank PLC, ING Bank N.V., Natixis, New York Branch, NatWest Markets plc, Sumitomo Mitsui Banking Corporation, Intesa Sanpaolo S.p.A., J.P. Morgan AG, MUFG Bank, Ltd., DNB (UK) Limited, The Bank of Nova Scotia, London Branch and Mizuho Bank, Ltd. each in their capacity as joint bookrunners, and any permitted successors and assigns thereof, in their respective capacities as joint bookrunners under the Amendment No. 1. </w:t>
      </w:r>
    </w:p>
    <w:p>
      <w:pPr>
        <w:pStyle w:val="TextBody"/>
        <w:bidi w:val="0"/>
        <w:spacing w:before="240" w:after="0"/>
        <w:jc w:val="left"/>
        <w:rPr/>
      </w:pPr>
      <w:r>
        <w:rPr/>
        <w:t>“</w:t>
      </w:r>
      <w:r>
        <w:rPr>
          <w:rFonts w:ascii="Times New Roman" w:hAnsi="Times New Roman"/>
          <w:sz w:val="20"/>
          <w:u w:val="single"/>
        </w:rPr>
        <w:t>Judgment Currency</w:t>
      </w:r>
      <w:r>
        <w:rPr>
          <w:rFonts w:ascii="Times New Roman" w:hAnsi="Times New Roman"/>
          <w:sz w:val="20"/>
        </w:rPr>
        <w:t xml:space="preserve">” has the meaning specified in </w:t>
      </w:r>
      <w:r>
        <w:rPr>
          <w:rFonts w:ascii="Times New Roman" w:hAnsi="Times New Roman"/>
          <w:sz w:val="20"/>
          <w:u w:val="single"/>
        </w:rPr>
        <w:t>Section 9.22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TextBody"/>
        <w:bidi w:val="0"/>
        <w:spacing w:before="0" w:after="0"/>
        <w:jc w:val="left"/>
        <w:rPr/>
      </w:pPr>
      <w:r>
        <w:rPr/>
        <w:t>“</w:t>
      </w:r>
      <w:r>
        <w:rPr>
          <w:rFonts w:ascii="Times New Roman" w:hAnsi="Times New Roman"/>
          <w:sz w:val="20"/>
          <w:u w:val="single"/>
        </w:rPr>
        <w:t>Latest Maturity Date</w:t>
      </w:r>
      <w:r>
        <w:rPr>
          <w:rFonts w:ascii="Times New Roman" w:hAnsi="Times New Roman"/>
          <w:sz w:val="20"/>
        </w:rPr>
        <w:t xml:space="preserve">”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 </w:t>
      </w:r>
    </w:p>
    <w:p>
      <w:pPr>
        <w:pStyle w:val="TextBody"/>
        <w:bidi w:val="0"/>
        <w:spacing w:before="240" w:after="0"/>
        <w:jc w:val="left"/>
        <w:rPr/>
      </w:pPr>
      <w:r>
        <w:rPr/>
        <w:t>“</w:t>
      </w:r>
      <w:r>
        <w:rPr>
          <w:rFonts w:ascii="Times New Roman" w:hAnsi="Times New Roman"/>
          <w:sz w:val="20"/>
          <w:u w:val="single"/>
        </w:rPr>
        <w:t>LC Commitment</w:t>
      </w:r>
      <w:r>
        <w:rPr>
          <w:rFonts w:ascii="Times New Roman" w:hAnsi="Times New Roman"/>
          <w:sz w:val="20"/>
        </w:rPr>
        <w:t xml:space="preserve">” shall mean, in the case of each Issuing Bank, such amounts as set forth in </w:t>
      </w:r>
      <w:r>
        <w:rPr>
          <w:rFonts w:ascii="Times New Roman" w:hAnsi="Times New Roman"/>
          <w:sz w:val="20"/>
          <w:u w:val="single"/>
        </w:rPr>
        <w:t>Schedule 2.01</w:t>
      </w:r>
      <w:r>
        <w:rPr>
          <w:rFonts w:ascii="Times New Roman" w:hAnsi="Times New Roman"/>
          <w:sz w:val="20"/>
        </w:rPr>
        <w:t xml:space="preserve"> hereto; </w:t>
      </w:r>
      <w:r>
        <w:rPr>
          <w:rFonts w:ascii="Times New Roman" w:hAnsi="Times New Roman"/>
          <w:sz w:val="20"/>
          <w:u w:val="single"/>
        </w:rPr>
        <w:t>provided</w:t>
      </w:r>
      <w:r>
        <w:rPr>
          <w:rFonts w:ascii="Times New Roman" w:hAnsi="Times New Roman"/>
          <w:sz w:val="20"/>
        </w:rPr>
        <w:t xml:space="preserve"> that upon the request of Bidco or any Borrower, any Issuing Bank may agree, in its sole discretion, to increase its LC Commitments under this definition, subject to the aggregate LC Commitments not exceeding the Letter of Credit Sublimit; </w:t>
      </w:r>
      <w:r>
        <w:rPr>
          <w:rFonts w:ascii="Times New Roman" w:hAnsi="Times New Roman"/>
          <w:sz w:val="20"/>
          <w:u w:val="single"/>
        </w:rPr>
        <w:t>provided</w:t>
      </w:r>
      <w:r>
        <w:rPr>
          <w:rFonts w:ascii="Times New Roman" w:hAnsi="Times New Roman"/>
          <w:sz w:val="20"/>
        </w:rPr>
        <w:t xml:space="preserve"> that each Issuing Bank’s individual portion of the Letter of Credit Sublimit as set forth in this definition may be increased or decreased by Bidco or such Borrower subject only to the consent of such Issuing Bank.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an honoring of a drawing by an Issuing Bank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amount of all Letters of Credit that remains available for drawing at such time and (b) the aggregate amount of all LC Disbursements that have not yet been reimbursed by or on behalf of the applicable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hAnsi="Times New Roman"/>
          <w:sz w:val="20"/>
          <w:u w:val="single"/>
        </w:rPr>
        <w:t>provided</w:t>
      </w:r>
      <w:r>
        <w:rPr>
          <w:rFonts w:ascii="Times New Roman" w:hAnsi="Times New Roman"/>
          <w:sz w:val="20"/>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left"/>
        <w:rPr/>
      </w:pPr>
      <w:r>
        <w:rPr/>
        <w:t>“</w:t>
      </w:r>
      <w:r>
        <w:rPr>
          <w:rFonts w:ascii="Times New Roman" w:hAnsi="Times New Roman"/>
          <w:sz w:val="20"/>
          <w:u w:val="single"/>
        </w:rPr>
        <w:t>LC Reimbursement Date</w:t>
      </w:r>
      <w:r>
        <w:rPr>
          <w:rFonts w:ascii="Times New Roman" w:hAnsi="Times New Roman"/>
          <w:sz w:val="20"/>
        </w:rPr>
        <w:t xml:space="preserve">” has the meaning assigned to such term in </w:t>
      </w:r>
      <w:r>
        <w:rPr>
          <w:rFonts w:ascii="Times New Roman" w:hAnsi="Times New Roman"/>
          <w:sz w:val="20"/>
          <w:u w:val="single"/>
        </w:rPr>
        <w:t>Section 2.04(f)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LCT Election</w:t>
      </w:r>
      <w:r>
        <w:rPr>
          <w:rFonts w:ascii="Times New Roman" w:hAnsi="Times New Roman"/>
          <w:sz w:val="20"/>
        </w:rPr>
        <w:t xml:space="preserve">” has the meaning assigned to such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LCT Test Date</w:t>
      </w:r>
      <w:r>
        <w:rPr>
          <w:rFonts w:ascii="Times New Roman" w:hAnsi="Times New Roman"/>
          <w:sz w:val="20"/>
        </w:rPr>
        <w:t xml:space="preserve">” has the meaning assigned to such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Legal Reservations</w:t>
      </w:r>
      <w:r>
        <w:rPr>
          <w:rFonts w:ascii="Times New Roman" w:hAnsi="Times New Roman"/>
          <w:sz w:val="20"/>
        </w:rPr>
        <w:t xml:space="preserve">” means (a) the principle that equitable remedies are remedies which may be granted or refused at the discretion of the court and principles of good faith and fair dealing, (b) applicable Debtor Relief Laws, (c) the existence of timing limitations with respect to the bringing of claims under applicable limitation laws and the defenses of acquiescence, set-off or counterclaim and the possibility that an undertaking to assume liability for, or to indemnify a Person against, non-payment of stamp duty may be void, (d) the principle that in certain jurisdictions and under certain circumstances a Lien granted by way of fixed charge may be re-characterized as a floating charge or that security purported to be constituted as an assignment may be re-characterized as a charge, (e) the principle that additional interest imposed pursuant to any relevant agreement may be held to be unenforceable on the grounds that it is a penalty and thus void, (f) the principle that a court may not give effect to an indemnity for legal costs incurred by an unsuccessful litigant, (g) the principle that the creation or purported creation of collateral over any claim, other right, contract or agreement which is subject to a prohibition on transfer, assignment or charging may be void, ineffective or invalid and may give rise to a breach of the contract or agreement (or contract or agreement relating to or governing the claim or other right)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TextBody"/>
        <w:bidi w:val="0"/>
        <w:spacing w:before="0" w:after="0"/>
        <w:jc w:val="left"/>
        <w:rPr>
          <w:rFonts w:ascii="Times New Roman" w:hAnsi="Times New Roman"/>
          <w:sz w:val="20"/>
        </w:rPr>
      </w:pPr>
      <w:r>
        <w:rPr>
          <w:rFonts w:ascii="Times New Roman" w:hAnsi="Times New Roman"/>
          <w:sz w:val="20"/>
        </w:rPr>
        <w:t xml:space="preserve">which security has purportedly been created, (h) the principle that a court may not give effect to any parallel debt provisions, covenants to pay or other similar provisions, (i) the principle that certain remedies in relation to regulated entities may require further approval from government or regulatory bodies or pursuant to agreements with such bodies, (j) the principles of private and procedural laws which affect the enforcement of a foreign court judgment, (k) similar principles, rights and defenses under the laws of any relevant jurisdiction and (l) any other matters which are set out as qualifications or reservations (however described) in any legal opinion delivered pursuant to the Loan Documents.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the Persons listed on </w:t>
      </w:r>
      <w:r>
        <w:rPr>
          <w:rFonts w:ascii="Times New Roman" w:hAnsi="Times New Roman"/>
          <w:sz w:val="20"/>
          <w:u w:val="single"/>
        </w:rPr>
        <w:t>Schedule 2.01</w:t>
      </w:r>
      <w:r>
        <w:rPr>
          <w:rFonts w:ascii="Times New Roman" w:hAnsi="Times New Roman"/>
          <w:sz w:val="20"/>
        </w:rPr>
        <w:t xml:space="preserve">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letter of credit or bank guarantee by an Issuing Bank issued pursuant to this Agreement or deemed outstanding under this Agreement (other than any such letter of credit or bank guarantee that shall have ceased to be a “Letter of Credit” outstanding hereunder pursuant to </w:t>
      </w:r>
      <w:r>
        <w:rPr>
          <w:rFonts w:ascii="Times New Roman" w:hAnsi="Times New Roman"/>
          <w:sz w:val="20"/>
          <w:u w:val="single"/>
        </w:rPr>
        <w:t>Section 9.05)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xml:space="preserve">” has the meaning assigned to such term in </w:t>
      </w:r>
      <w:r>
        <w:rPr>
          <w:rFonts w:ascii="Times New Roman" w:hAnsi="Times New Roman"/>
          <w:sz w:val="20"/>
          <w:u w:val="single"/>
        </w:rPr>
        <w:t>Section 2.04(b)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an amount equal to $100,000,000. The Letter of Credit Sublimit is part of and not in addition to the aggregate Revolving Commitments. </w:t>
      </w:r>
    </w:p>
    <w:p>
      <w:pPr>
        <w:pStyle w:val="TextBody"/>
        <w:bidi w:val="0"/>
        <w:spacing w:before="240" w:after="0"/>
        <w:jc w:val="left"/>
        <w:rPr/>
      </w:pPr>
      <w:r>
        <w:rPr/>
        <w:t>“</w:t>
      </w:r>
      <w:r>
        <w:rPr>
          <w:rFonts w:ascii="Times New Roman" w:hAnsi="Times New Roman"/>
          <w:sz w:val="20"/>
          <w:u w:val="single"/>
        </w:rPr>
        <w:t>LIBO Rate</w:t>
      </w:r>
      <w:r>
        <w:rPr>
          <w:rFonts w:ascii="Times New Roman" w:hAnsi="Times New Roman"/>
          <w:sz w:val="20"/>
        </w:rPr>
        <w:t xml:space="preserve">” means for any Interest Period, (a) with respect to any Eurodollar Borrowing in dollars, </w:t>
      </w:r>
      <w:r>
        <w:rPr>
          <w:rFonts w:ascii="Times New Roman" w:hAnsi="Times New Roman"/>
          <w:strike/>
          <w:color w:val="FF0000"/>
          <w:sz w:val="20"/>
        </w:rPr>
        <w:t xml:space="preserve">Sterling, </w:t>
      </w:r>
      <w:r>
        <w:rPr>
          <w:rFonts w:ascii="Times New Roman" w:hAnsi="Times New Roman"/>
          <w:sz w:val="20"/>
        </w:rPr>
        <w:t xml:space="preserve">Swiss Francs, or Yen (as the case may be), the rate per annum equal to (i) the ICE Benchmark Administration LIBOR Rate or the successor thereto if the ICE Benchmark Administration is no longer making a LIBOR rate available, as published by Reuters (or such other commercially available source providing quotations of ICE LIBOR as may be designated by the Administrative Agent from time to time) at approximately 11:00 a.m., London time, two (2) London Banking Days prior to the commencement of such Interest Period, for dollar deposits (for delivery on the first day of such Interest Period) with a term equivalent to such Interest Period or (ii) if such published rate is not available at such time for any reason, then the “LIBO Rate” for such Interest Period shall be the Interpolated Rate, (b) with respect to any Eurodollar Borrowing in Canadian Dollars, the rate for Canadian Dollar denominated bankers’ acceptances on the Reuters Page CDOR (or on any successor or substitute page of such page or such other commercially available source providing quotations of CDOR as may be designated by the Administrative Agent from time to time) at approximately 10:00 a.m., Toronto time, two (2) Business Days prior to the commencement of such Interest Period, for Canadian Dollar denominated bankers’ acceptances (for delivery on the first day of such Interest Period) with a term equivalent to such Interest Period, (c) with respect to any Eurodollar Borrowing in Euros, the euro interbank offered rate administered by the Banking Federation of the European Union or the successor thereto if the Banking Federation of the European Union is no longer making a EURIBOR rate available, as published by Reuters (or such other commercially available source providing quotations of EURIBOR as may be designated by the Administrative Agent from time to time) at approximately 11:00 a.m., Brussels time, two (2) Business Days prior to the commencement of such Interest Period, for Euro deposits (for delivery on the first day of such Interest Period) with a term equivalent to such Interest Period and (d) with respect to any Eurodollar Borrowing in an Alternative Currency other than Euros, </w:t>
      </w:r>
      <w:r>
        <w:rPr>
          <w:rFonts w:ascii="Times New Roman" w:hAnsi="Times New Roman"/>
          <w:strike/>
          <w:color w:val="FF0000"/>
          <w:sz w:val="20"/>
        </w:rPr>
        <w:t xml:space="preserve">Sterling, </w:t>
      </w:r>
      <w:r>
        <w:rPr>
          <w:rFonts w:ascii="Times New Roman" w:hAnsi="Times New Roman"/>
          <w:sz w:val="20"/>
        </w:rPr>
        <w:t xml:space="preserve">Swiss Francs, Yen or Canadian Dollars, such reference rate for loans or deposits in such currency for such Interest Period as the Administrative Agent, Bidco and all Revolving Lenders shall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Agreement or the other Loan Documents, the term “LIBO Rate” may be amended to refer to (x) a comparable successor rate, with the consent of (i) only the Administrative Agent (but not, for the avoidance of doubt, any other Lender) (such consent not to be unreasonably withheld or delayed) and Bidco (such consent not to be unreasonably withheld or delayed) (provided that such amendment shall be effective only to the extent the Required Lenders do not object to such proposed amendment within five business days after the Administrative Agent has posted such amendment to all Lenders) or (ii) the Required Lenders and Bidco, or (y) to the extent the Administrative Agent determines in good faith that the consents referenced in the preceding clause (x)(i) are not attainable following commercially reasonable efforts to obtain such consents, a comparable successor rate that is the prevailing market standard for credit agreements of this type for the replacement of, or successors to, the eurodollar rate in the U.S. syndicated loan market as reasonably determined by the Administrative Agent (in consultation with Bidco), and the Administrative Agent shall promptly notify each Lender of such amendment; </w:t>
      </w:r>
      <w:r>
        <w:rPr>
          <w:rFonts w:ascii="Times New Roman" w:hAnsi="Times New Roman"/>
          <w:sz w:val="20"/>
          <w:u w:val="single"/>
        </w:rPr>
        <w:t>provided</w:t>
      </w:r>
      <w:r>
        <w:rPr>
          <w:rFonts w:ascii="Times New Roman" w:hAnsi="Times New Roman"/>
          <w:sz w:val="20"/>
        </w:rPr>
        <w:t xml:space="preserve"> that such amendment shall be effective to the extent the Required Lenders do not object to such proposed amendment within five business days after the Administrative Agent has posted such amendment to all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successor rate under clause (x) or (y) above shall not be less than (a) 1.00% per annum, with respect to any Amendment No. 1 Refinancing Term Loans and (b) 0.00% per annum, with respect to any Revolving Loans</w:t>
      </w:r>
      <w:r>
        <w:rPr>
          <w:rFonts w:ascii="Times New Roman" w:hAnsi="Times New Roman"/>
          <w:color w:val="0000FF"/>
          <w:sz w:val="20"/>
          <w:u w:val="single"/>
          <w:bdr w:val="double" w:sz="2" w:space="1" w:color="000000"/>
        </w:rPr>
        <w:t>; provided further that, following the Amendment No. 3 Transition Date, Loans denominated in U.S. Dollars shall not be available for Eurodollar Borrowings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Times New Roman" w:hAnsi="Times New Roman"/>
          <w:sz w:val="20"/>
          <w:u w:val="single"/>
        </w:rPr>
        <w:t>provided</w:t>
      </w:r>
      <w:r>
        <w:rPr>
          <w:rFonts w:ascii="Times New Roman" w:hAnsi="Times New Roman"/>
          <w:sz w:val="20"/>
        </w:rPr>
        <w:t xml:space="preserve"> that in no event shall an operating lease be deemed to constitute a Lien.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means (a) any acquisition (including by way of merger), Investment, Asset Sale, Restricted Payment requiring declaration (as determined by Bidco) in advance thereof or other transaction by Bidco or one or more of the Restricted Subsidiaries permitted pursuant to this Agreement whose consummation is not conditioned upon the availability of, or on obtaining, third party financing (or, if such a condition does exist, Bidco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 </w:t>
      </w:r>
    </w:p>
    <w:p>
      <w:pPr>
        <w:pStyle w:val="TextBody"/>
        <w:bidi w:val="0"/>
        <w:spacing w:before="240" w:after="0"/>
        <w:jc w:val="left"/>
        <w:rPr/>
      </w:pPr>
      <w:r>
        <w:rPr/>
        <w:t>“</w:t>
      </w:r>
      <w:r>
        <w:rPr>
          <w:rFonts w:ascii="Times New Roman" w:hAnsi="Times New Roman"/>
          <w:sz w:val="20"/>
          <w:u w:val="single"/>
        </w:rPr>
        <w:t>Loan Document Obligations</w:t>
      </w:r>
      <w:r>
        <w:rPr>
          <w:rFonts w:ascii="Times New Roman" w:hAnsi="Times New Roman"/>
          <w:sz w:val="20"/>
        </w:rPr>
        <w:t xml:space="preserve">” means (a) the due and punctual payment by the Borrowers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Borrowers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Borrowers under or pursuant to each of the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TextBody"/>
        <w:bidi w:val="0"/>
        <w:spacing w:before="0" w:after="0"/>
        <w:jc w:val="left"/>
        <w:rPr/>
      </w:pPr>
      <w:r>
        <w:rPr/>
        <w:t>“</w:t>
      </w:r>
      <w:r>
        <w:rPr>
          <w:rFonts w:ascii="Times New Roman" w:hAnsi="Times New Roman"/>
          <w:sz w:val="20"/>
          <w:u w:val="single"/>
        </w:rPr>
        <w:t>Loan Documents</w:t>
      </w:r>
      <w:r>
        <w:rPr>
          <w:rFonts w:ascii="Times New Roman" w:hAnsi="Times New Roman"/>
          <w:sz w:val="20"/>
        </w:rPr>
        <w:t xml:space="preserve">” means this Agreement, the Amendment No. 1, any Refinancing Amendment, any Loan Modification Agreement, any Incremental Facility Amendment, the Guarantee Agreement, the Collateral Agreement, the other Security Documents, any Customary Intercreditor Agreement, any Additional Borrower Agreement and, except for purposes of </w:t>
      </w:r>
      <w:r>
        <w:rPr>
          <w:rFonts w:ascii="Times New Roman" w:hAnsi="Times New Roman"/>
          <w:sz w:val="20"/>
          <w:u w:val="single"/>
        </w:rPr>
        <w:t>Section 9.02</w:t>
      </w:r>
      <w:r>
        <w:rPr>
          <w:rFonts w:ascii="Times New Roman" w:hAnsi="Times New Roman"/>
          <w:sz w:val="20"/>
        </w:rPr>
        <w:t xml:space="preserve">, the Fee Letter and any Note delivered pursuant to </w:t>
      </w:r>
      <w:r>
        <w:rPr>
          <w:rFonts w:ascii="Times New Roman" w:hAnsi="Times New Roman"/>
          <w:sz w:val="20"/>
          <w:u w:val="single"/>
        </w:rPr>
        <w:t>Section 2.08(e)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Modification Agreement</w:t>
      </w:r>
      <w:r>
        <w:rPr>
          <w:rFonts w:ascii="Times New Roman" w:hAnsi="Times New Roman"/>
          <w:sz w:val="20"/>
        </w:rPr>
        <w:t xml:space="preserve">” means a Loan Modification Agreement, in form reasonably satisfactory to the Administrative Agent, among the Borrowers, the Administrative Agent and one or more Accepting Lenders, effecting one or more Permitted Amendments and such other amendments hereto and to the other Loan Documents as are contemplated by </w:t>
      </w:r>
      <w:r>
        <w:rPr>
          <w:rFonts w:ascii="Times New Roman" w:hAnsi="Times New Roman"/>
          <w:sz w:val="20"/>
          <w:u w:val="single"/>
        </w:rPr>
        <w:t>Section 2.23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Modification Offer</w:t>
      </w:r>
      <w:r>
        <w:rPr>
          <w:rFonts w:ascii="Times New Roman" w:hAnsi="Times New Roman"/>
          <w:sz w:val="20"/>
        </w:rPr>
        <w:t xml:space="preserve">” has the meaning specified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Holdings, any Intermediate Parent, Bidco, the Borrowers and the Subsidiary Loan Parties.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the loans made by the Lenders to the Borrowers pursuant to this Agreement. </w:t>
      </w:r>
    </w:p>
    <w:p>
      <w:pPr>
        <w:pStyle w:val="TextBody"/>
        <w:bidi w:val="0"/>
        <w:spacing w:before="240" w:after="0"/>
        <w:jc w:val="left"/>
        <w:rPr/>
      </w:pPr>
      <w:r>
        <w:rPr/>
        <w:t>“</w:t>
      </w:r>
      <w:r>
        <w:rPr>
          <w:rFonts w:ascii="Times New Roman" w:hAnsi="Times New Roman"/>
          <w:sz w:val="20"/>
          <w:u w:val="single"/>
        </w:rPr>
        <w:t>London Banking Day</w:t>
      </w:r>
      <w:r>
        <w:rPr>
          <w:rFonts w:ascii="Times New Roman" w:hAnsi="Times New Roman"/>
          <w:sz w:val="20"/>
        </w:rPr>
        <w:t xml:space="preserve">” means any day on which dealings in dollar deposits are conducted by and between banks in the London interbank eurodollar market. </w:t>
      </w:r>
    </w:p>
    <w:p>
      <w:pPr>
        <w:pStyle w:val="TextBody"/>
        <w:bidi w:val="0"/>
        <w:spacing w:before="240" w:after="0"/>
        <w:jc w:val="left"/>
        <w:rPr/>
      </w:pPr>
      <w:r>
        <w:rPr/>
        <w:t>“</w:t>
      </w:r>
      <w:r>
        <w:rPr>
          <w:rFonts w:ascii="Times New Roman" w:hAnsi="Times New Roman"/>
          <w:sz w:val="20"/>
          <w:u w:val="single"/>
        </w:rPr>
        <w:t>Luxembourg</w:t>
      </w:r>
      <w:r>
        <w:rPr>
          <w:rFonts w:ascii="Times New Roman" w:hAnsi="Times New Roman"/>
          <w:sz w:val="20"/>
        </w:rPr>
        <w:t xml:space="preserve">” means the Grand Duchy of Luxembourg. </w:t>
      </w:r>
    </w:p>
    <w:p>
      <w:pPr>
        <w:pStyle w:val="TextBody"/>
        <w:bidi w:val="0"/>
        <w:spacing w:before="240" w:after="0"/>
        <w:jc w:val="left"/>
        <w:rPr/>
      </w:pPr>
      <w:r>
        <w:rPr/>
        <w:t>“</w:t>
      </w:r>
      <w:r>
        <w:rPr>
          <w:rFonts w:ascii="Times New Roman" w:hAnsi="Times New Roman"/>
          <w:sz w:val="20"/>
          <w:u w:val="single"/>
        </w:rPr>
        <w:t>Luxembourg Companies Register</w:t>
      </w:r>
      <w:r>
        <w:rPr>
          <w:rFonts w:ascii="Times New Roman" w:hAnsi="Times New Roman"/>
          <w:sz w:val="20"/>
        </w:rPr>
        <w:t xml:space="preserve">” means the Luxembourg Register of Commerce and Companies (R.C.S. Luxembourg). </w:t>
      </w:r>
    </w:p>
    <w:p>
      <w:pPr>
        <w:pStyle w:val="TextBody"/>
        <w:bidi w:val="0"/>
        <w:spacing w:before="240" w:after="0"/>
        <w:jc w:val="left"/>
        <w:rPr/>
      </w:pPr>
      <w:r>
        <w:rPr/>
        <w:t>“</w:t>
      </w:r>
      <w:r>
        <w:rPr>
          <w:rFonts w:ascii="Times New Roman" w:hAnsi="Times New Roman"/>
          <w:sz w:val="20"/>
          <w:u w:val="single"/>
        </w:rPr>
        <w:t>Luxembourg Loan Party</w:t>
      </w:r>
      <w:r>
        <w:rPr>
          <w:rFonts w:ascii="Times New Roman" w:hAnsi="Times New Roman"/>
          <w:sz w:val="20"/>
        </w:rPr>
        <w:t xml:space="preserve">” means any Loan Party having its registered office or central administration in Luxembourg, including as of the date of this Agreement, the Finco Borrower. </w:t>
      </w:r>
    </w:p>
    <w:p>
      <w:pPr>
        <w:pStyle w:val="TextBody"/>
        <w:bidi w:val="0"/>
        <w:spacing w:before="240" w:after="0"/>
        <w:jc w:val="left"/>
        <w:rPr/>
      </w:pPr>
      <w:r>
        <w:rPr/>
        <w:t>“</w:t>
      </w:r>
      <w:r>
        <w:rPr>
          <w:rFonts w:ascii="Times New Roman" w:hAnsi="Times New Roman"/>
          <w:sz w:val="20"/>
          <w:u w:val="single"/>
        </w:rPr>
        <w:t>MLI</w:t>
      </w:r>
      <w:r>
        <w:rPr>
          <w:rFonts w:ascii="Times New Roman" w:hAnsi="Times New Roman"/>
          <w:sz w:val="20"/>
        </w:rPr>
        <w:t xml:space="preserve">” means the Multilateral Convention to Implement Tax Treaty Related Measures to Prevent Base Erosion and Profit Shifting of November 24, 2016. </w:t>
      </w:r>
    </w:p>
    <w:p>
      <w:pPr>
        <w:pStyle w:val="TextBody"/>
        <w:bidi w:val="0"/>
        <w:spacing w:before="240" w:after="0"/>
        <w:jc w:val="left"/>
        <w:rPr/>
      </w:pPr>
      <w:r>
        <w:rPr/>
        <w:t>“</w:t>
      </w:r>
      <w:r>
        <w:rPr>
          <w:rFonts w:ascii="Times New Roman" w:hAnsi="Times New Roman"/>
          <w:sz w:val="20"/>
          <w:u w:val="single"/>
        </w:rPr>
        <w:t>Major Events of Default</w:t>
      </w:r>
      <w:r>
        <w:rPr>
          <w:rFonts w:ascii="Times New Roman" w:hAnsi="Times New Roman"/>
          <w:sz w:val="20"/>
        </w:rPr>
        <w:t xml:space="preserve">” means those Events of Default set forth in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7.01(b)</w:t>
      </w:r>
      <w:r>
        <w:rPr>
          <w:rFonts w:ascii="Times New Roman" w:hAnsi="Times New Roman"/>
          <w:sz w:val="20"/>
        </w:rPr>
        <w:t xml:space="preserve"> (in the case of </w:t>
      </w:r>
      <w:r>
        <w:rPr>
          <w:rFonts w:ascii="Times New Roman" w:hAnsi="Times New Roman"/>
          <w:sz w:val="20"/>
          <w:u w:val="single"/>
        </w:rPr>
        <w:t>Sections 7.01(a)</w:t>
      </w:r>
      <w:r>
        <w:rPr>
          <w:rFonts w:ascii="Times New Roman" w:hAnsi="Times New Roman"/>
          <w:sz w:val="20"/>
        </w:rPr>
        <w:t xml:space="preserve"> and </w:t>
      </w:r>
      <w:r>
        <w:rPr>
          <w:rFonts w:ascii="Times New Roman" w:hAnsi="Times New Roman"/>
          <w:sz w:val="20"/>
          <w:u w:val="single"/>
        </w:rPr>
        <w:t>7.01(b)</w:t>
      </w:r>
      <w:r>
        <w:rPr>
          <w:rFonts w:ascii="Times New Roman" w:hAnsi="Times New Roman"/>
          <w:sz w:val="20"/>
        </w:rPr>
        <w:t xml:space="preserve">, with respect to the failure to pay any amount of principal, interest or fees (but not other amounts) (in each case other than where failure to pay is caused by administrative error or delay or technical error or delay in the transmission of funds or a market disruption event and payment is made within five Business Days after such administrative error, delay, technical error, delay in the transmission of funds or market disruption event is cured)), </w:t>
      </w:r>
      <w:r>
        <w:rPr>
          <w:rFonts w:ascii="Times New Roman" w:hAnsi="Times New Roman"/>
          <w:sz w:val="20"/>
          <w:u w:val="single"/>
        </w:rPr>
        <w:t>7.01(c)</w:t>
      </w:r>
      <w:r>
        <w:rPr>
          <w:rFonts w:ascii="Times New Roman" w:hAnsi="Times New Roman"/>
          <w:sz w:val="20"/>
        </w:rPr>
        <w:t xml:space="preserve"> (solely as it relates to any Major Representation), </w:t>
      </w:r>
      <w:r>
        <w:rPr>
          <w:rFonts w:ascii="Times New Roman" w:hAnsi="Times New Roman"/>
          <w:sz w:val="20"/>
          <w:u w:val="single"/>
        </w:rPr>
        <w:t>7.01(d)(i)</w:t>
      </w:r>
      <w:r>
        <w:rPr>
          <w:rFonts w:ascii="Times New Roman" w:hAnsi="Times New Roman"/>
          <w:sz w:val="20"/>
        </w:rPr>
        <w:t xml:space="preserve"> (solely as it relates to any Major Undertaking), </w:t>
      </w:r>
      <w:r>
        <w:rPr>
          <w:rFonts w:ascii="Times New Roman" w:hAnsi="Times New Roman"/>
          <w:sz w:val="20"/>
          <w:u w:val="single"/>
        </w:rPr>
        <w:t>7.01(h)</w:t>
      </w:r>
      <w:r>
        <w:rPr>
          <w:rFonts w:ascii="Times New Roman" w:hAnsi="Times New Roman"/>
          <w:sz w:val="20"/>
        </w:rPr>
        <w:t xml:space="preserve">, </w:t>
      </w:r>
      <w:r>
        <w:rPr>
          <w:rFonts w:ascii="Times New Roman" w:hAnsi="Times New Roman"/>
          <w:sz w:val="20"/>
          <w:u w:val="single"/>
        </w:rPr>
        <w:t>7.01(i)</w:t>
      </w:r>
      <w:r>
        <w:rPr>
          <w:rFonts w:ascii="Times New Roman" w:hAnsi="Times New Roman"/>
          <w:sz w:val="20"/>
        </w:rPr>
        <w:t xml:space="preserve">, </w:t>
      </w:r>
      <w:r>
        <w:rPr>
          <w:rFonts w:ascii="Times New Roman" w:hAnsi="Times New Roman"/>
          <w:sz w:val="20"/>
          <w:u w:val="single"/>
        </w:rPr>
        <w:t>7.01(l)</w:t>
      </w:r>
      <w:r>
        <w:rPr>
          <w:rFonts w:ascii="Times New Roman" w:hAnsi="Times New Roman"/>
          <w:sz w:val="20"/>
        </w:rPr>
        <w:t xml:space="preserve">, </w:t>
      </w:r>
      <w:r>
        <w:rPr>
          <w:rFonts w:ascii="Times New Roman" w:hAnsi="Times New Roman"/>
          <w:sz w:val="20"/>
          <w:u w:val="single"/>
        </w:rPr>
        <w:t>7.01(m)</w:t>
      </w:r>
      <w:r>
        <w:rPr>
          <w:rFonts w:ascii="Times New Roman" w:hAnsi="Times New Roman"/>
          <w:sz w:val="20"/>
        </w:rPr>
        <w:t xml:space="preserve">, </w:t>
      </w:r>
      <w:r>
        <w:rPr>
          <w:rFonts w:ascii="Times New Roman" w:hAnsi="Times New Roman"/>
          <w:sz w:val="20"/>
          <w:u w:val="single"/>
        </w:rPr>
        <w:t>7.01(n)</w:t>
      </w:r>
      <w:r>
        <w:rPr>
          <w:rFonts w:ascii="Times New Roman" w:hAnsi="Times New Roman"/>
          <w:sz w:val="20"/>
        </w:rPr>
        <w:t xml:space="preserve"> and </w:t>
      </w:r>
      <w:r>
        <w:rPr>
          <w:rFonts w:ascii="Times New Roman" w:hAnsi="Times New Roman"/>
          <w:sz w:val="20"/>
          <w:u w:val="single"/>
        </w:rPr>
        <w:t>7.01(o)</w:t>
      </w:r>
      <w:r>
        <w:rPr>
          <w:rFonts w:ascii="Times New Roman" w:hAnsi="Times New Roman"/>
          <w:sz w:val="20"/>
        </w:rPr>
        <w:t xml:space="preserve">, in each case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shall not apply in respect of or relate to the Company or any of its subsidiaries, or any of the assets of the Company or any of its subsidiaries, or a breach of a procuring obligation with respect to the Company or any of its subsidiaries. </w:t>
      </w:r>
    </w:p>
    <w:p>
      <w:pPr>
        <w:pStyle w:val="TextBody"/>
        <w:bidi w:val="0"/>
        <w:spacing w:before="240" w:after="0"/>
        <w:jc w:val="left"/>
        <w:rPr/>
      </w:pPr>
      <w:r>
        <w:rPr/>
        <w:t>“</w:t>
      </w:r>
      <w:r>
        <w:rPr>
          <w:rFonts w:ascii="Times New Roman" w:hAnsi="Times New Roman"/>
          <w:sz w:val="20"/>
          <w:u w:val="single"/>
        </w:rPr>
        <w:t>Major Representations</w:t>
      </w:r>
      <w:r>
        <w:rPr>
          <w:rFonts w:ascii="Times New Roman" w:hAnsi="Times New Roman"/>
          <w:sz w:val="20"/>
        </w:rPr>
        <w:t xml:space="preserve">” means those representations and warranties set forth in </w:t>
      </w:r>
      <w:r>
        <w:rPr>
          <w:rFonts w:ascii="Times New Roman" w:hAnsi="Times New Roman"/>
          <w:sz w:val="20"/>
          <w:u w:val="single"/>
        </w:rPr>
        <w:t>Sections 3.01(a)</w:t>
      </w:r>
      <w:r>
        <w:rPr>
          <w:rFonts w:ascii="Times New Roman" w:hAnsi="Times New Roman"/>
          <w:sz w:val="20"/>
        </w:rPr>
        <w:t xml:space="preserve">, </w:t>
      </w:r>
      <w:r>
        <w:rPr>
          <w:rFonts w:ascii="Times New Roman" w:hAnsi="Times New Roman"/>
          <w:sz w:val="20"/>
          <w:u w:val="single"/>
        </w:rPr>
        <w:t>3.01(b)</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and </w:t>
      </w:r>
      <w:r>
        <w:rPr>
          <w:rFonts w:ascii="Times New Roman" w:hAnsi="Times New Roman"/>
          <w:sz w:val="20"/>
          <w:u w:val="single"/>
        </w:rPr>
        <w:t>3.03(b)</w:t>
      </w:r>
      <w:r>
        <w:rPr>
          <w:rFonts w:ascii="Times New Roman" w:hAnsi="Times New Roman"/>
          <w:sz w:val="20"/>
        </w:rPr>
        <w:t xml:space="preserve">, in each case,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as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p>
    <w:p>
      <w:pPr>
        <w:pStyle w:val="TextBody"/>
        <w:bidi w:val="0"/>
        <w:spacing w:before="0" w:after="0"/>
        <w:jc w:val="left"/>
        <w:rPr>
          <w:rFonts w:ascii="Times New Roman" w:hAnsi="Times New Roman"/>
          <w:sz w:val="20"/>
        </w:rPr>
      </w:pPr>
      <w:r>
        <w:rPr>
          <w:rFonts w:ascii="Times New Roman" w:hAnsi="Times New Roman"/>
          <w:sz w:val="20"/>
        </w:rPr>
        <w:t xml:space="preserve">relates to a Major Representation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240" w:after="0"/>
        <w:jc w:val="left"/>
        <w:rPr/>
      </w:pPr>
      <w:r>
        <w:rPr/>
        <w:t>“</w:t>
      </w:r>
      <w:r>
        <w:rPr>
          <w:rFonts w:ascii="Times New Roman" w:hAnsi="Times New Roman"/>
          <w:sz w:val="20"/>
          <w:u w:val="single"/>
        </w:rPr>
        <w:t>Major Undertakings</w:t>
      </w:r>
      <w:r>
        <w:rPr>
          <w:rFonts w:ascii="Times New Roman" w:hAnsi="Times New Roman"/>
          <w:sz w:val="20"/>
        </w:rPr>
        <w:t xml:space="preserve">” means those undertakings set forth in </w:t>
      </w:r>
      <w:r>
        <w:rPr>
          <w:rFonts w:ascii="Times New Roman" w:hAnsi="Times New Roman"/>
          <w:sz w:val="20"/>
          <w:u w:val="single"/>
        </w:rPr>
        <w:t>Sections 5.19</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and </w:t>
      </w:r>
      <w:r>
        <w:rPr>
          <w:rFonts w:ascii="Times New Roman" w:hAnsi="Times New Roman"/>
          <w:sz w:val="20"/>
          <w:u w:val="single"/>
        </w:rPr>
        <w:t>6.05</w:t>
      </w:r>
      <w:r>
        <w:rPr>
          <w:rFonts w:ascii="Times New Roman" w:hAnsi="Times New Roman"/>
          <w:sz w:val="20"/>
        </w:rPr>
        <w:t xml:space="preserve">, solely to the extent that they relate to any Certain Funds Loan Party; </w:t>
      </w:r>
      <w:r>
        <w:rPr>
          <w:rFonts w:ascii="Times New Roman" w:hAnsi="Times New Roman"/>
          <w:sz w:val="20"/>
          <w:u w:val="single"/>
        </w:rPr>
        <w:t>provided</w:t>
      </w:r>
      <w:r>
        <w:rPr>
          <w:rFonts w:ascii="Times New Roman" w:hAnsi="Times New Roman"/>
          <w:sz w:val="20"/>
        </w:rPr>
        <w:t xml:space="preserve">, that, for the avoidance of doubt, a Major Event of Default as it relates to a Major Undertaking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240" w:after="0"/>
        <w:jc w:val="left"/>
        <w:rPr/>
      </w:pPr>
      <w:r>
        <w:rPr/>
        <w:t>“</w:t>
      </w:r>
      <w:r>
        <w:rPr>
          <w:rFonts w:ascii="Times New Roman" w:hAnsi="Times New Roman"/>
          <w:sz w:val="20"/>
          <w:u w:val="single"/>
        </w:rPr>
        <w:t>Majority in Interest</w:t>
      </w:r>
      <w:r>
        <w:rPr>
          <w:rFonts w:ascii="Times New Roman" w:hAnsi="Times New Roman"/>
          <w:sz w:val="20"/>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hAnsi="Times New Roman"/>
          <w:sz w:val="20"/>
          <w:u w:val="single"/>
        </w:rPr>
        <w:t>provided</w:t>
      </w:r>
      <w:r>
        <w:rPr>
          <w:rFonts w:ascii="Times New Roman" w:hAnsi="Times New Roman"/>
          <w:sz w:val="20"/>
        </w:rPr>
        <w:t xml:space="preserve"> that whenever there are one or more Defaulting Lenders, the total outstanding Term Loans and Revolving Exposures of, and the unused Revolving Commitments and unused Term Commitments of, each Defaulting Lender shall be excluded for purposes of making a determination of the Majority in Interest. </w:t>
      </w:r>
    </w:p>
    <w:p>
      <w:pPr>
        <w:pStyle w:val="TextBody"/>
        <w:bidi w:val="0"/>
        <w:spacing w:before="240" w:after="0"/>
        <w:jc w:val="left"/>
        <w:rPr/>
      </w:pPr>
      <w:r>
        <w:rPr/>
        <w:t>“</w:t>
      </w:r>
      <w:r>
        <w:rPr>
          <w:rFonts w:ascii="Times New Roman" w:hAnsi="Times New Roman"/>
          <w:sz w:val="20"/>
          <w:u w:val="single"/>
        </w:rPr>
        <w:t>Management Investors</w:t>
      </w:r>
      <w:r>
        <w:rPr>
          <w:rFonts w:ascii="Times New Roman" w:hAnsi="Times New Roman"/>
          <w:sz w:val="20"/>
        </w:rPr>
        <w:t xml:space="preserve">” means the members of the Board of Directors, officers and employees of Holdings, Bidco and/or its Subsidiaries who are (directly or indirectly through one or more investment vehicles) investors in Holdings (or any direct or indirect parent thereof). </w:t>
      </w:r>
    </w:p>
    <w:p>
      <w:pPr>
        <w:pStyle w:val="TextBody"/>
        <w:bidi w:val="0"/>
        <w:spacing w:before="240" w:after="0"/>
        <w:jc w:val="left"/>
        <w:rPr/>
      </w:pPr>
      <w:r>
        <w:rPr/>
        <w:t>“</w:t>
      </w:r>
      <w:r>
        <w:rPr>
          <w:rFonts w:ascii="Times New Roman" w:hAnsi="Times New Roman"/>
          <w:sz w:val="20"/>
          <w:u w:val="single"/>
        </w:rPr>
        <w:t>Master Agreement</w:t>
      </w:r>
      <w:r>
        <w:rPr>
          <w:rFonts w:ascii="Times New Roman" w:hAnsi="Times New Roman"/>
          <w:sz w:val="20"/>
        </w:rPr>
        <w:t xml:space="preserve">” has the meaning assigned to such term in the definition of “Swap Agreement.”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circumstance or condition affecting the business, financial condition, or results of operations of Bidco and its Subsidiaries, taken as a whole, that would reasonably be expected to have a materially adverse effect on (a) the ability of Bidco and the other Loan Parties, taken as a whole, to perform their payment obligations under the Loan Documents or (b) the material rights and remedies of the Administrative Agent, the Issuing Banks and the Lenders under the Loan Documents.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for borrowed money (other than the Loan Document Obligations), Capitalized Lease Obligations, unreimbursed obligations for letter of credit drawings and financial guarantees (other than ordinary course of business contingent reimbursement obligations) or obligations in respect of one or more Swap Agreements, of any one or more of Bidco and the Restricted Subsidiaries in an aggregate principal amount exceeding the greater of (x) $250,000,000 and (y) 33.33% of Consolidated EBITDA for the most recently ended Test Period as of such date, calculated on a Pro Forma Basis. For purposes of determining Material Indebtedness, the “principal amount” of the obligations in respect of any Swap Agreement at any time shall be the maximum aggregate amount (giving effect to any netting agreements) that Bidco or such Restricted Subsidiary would be required to pay if such Swap Agreement were terminated at such time. </w:t>
      </w:r>
    </w:p>
    <w:p>
      <w:pPr>
        <w:pStyle w:val="TextBody"/>
        <w:bidi w:val="0"/>
        <w:spacing w:before="240" w:after="0"/>
        <w:jc w:val="left"/>
        <w:rPr/>
      </w:pPr>
      <w:r>
        <w:rPr/>
        <w:t>“</w:t>
      </w:r>
      <w:r>
        <w:rPr>
          <w:rFonts w:ascii="Times New Roman" w:hAnsi="Times New Roman"/>
          <w:sz w:val="20"/>
          <w:u w:val="single"/>
        </w:rPr>
        <w:t>Material Non-Public Information</w:t>
      </w:r>
      <w:r>
        <w:rPr>
          <w:rFonts w:ascii="Times New Roman" w:hAnsi="Times New Roman"/>
          <w:sz w:val="20"/>
        </w:rPr>
        <w:t xml:space="preserve">” means (a) if Holdings is a public reporting company, material non-public information with respect to Holdings or its subsidiaries, or the respective securities of any of the foregoing for purposes of United States Federal and state securities laws, and (b) if Holdings is not a public reporting company, information that is (i) of the type that would be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p>
    <w:p>
      <w:pPr>
        <w:pStyle w:val="TextBody"/>
        <w:bidi w:val="0"/>
        <w:spacing w:before="0" w:after="0"/>
        <w:jc w:val="left"/>
        <w:rPr>
          <w:rFonts w:ascii="Times New Roman" w:hAnsi="Times New Roman"/>
          <w:sz w:val="20"/>
        </w:rPr>
      </w:pPr>
      <w:r>
        <w:rPr>
          <w:rFonts w:ascii="Times New Roman" w:hAnsi="Times New Roman"/>
          <w:sz w:val="20"/>
        </w:rPr>
        <w:t xml:space="preserve">be made publicly available if Holdings or any of its subsidiaries were a public reporting company and (ii) material with respect to Holdings and its subsidiaries or any of their respective securities for purposes of United States Federal or state securities laws.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means each Wholly Owned Restricted Subsidiary that, as of the last day of the fiscal quarter of Bidco most recently ended, had net revenues or total assets for such quarter in excess of 5.0% of the consolidated net revenues or total assets, as applicable, of Bidco and the Restricted Subsidiaries for such quarter; </w:t>
      </w:r>
      <w:r>
        <w:rPr>
          <w:rFonts w:ascii="Times New Roman" w:hAnsi="Times New Roman"/>
          <w:sz w:val="20"/>
          <w:u w:val="single"/>
        </w:rPr>
        <w:t>provided</w:t>
      </w:r>
      <w:r>
        <w:rPr>
          <w:rFonts w:ascii="Times New Roman" w:hAnsi="Times New Roman"/>
          <w:sz w:val="20"/>
        </w:rPr>
        <w:t xml:space="preserve"> that in the event that the Immaterial Subsidiaries, taken together, had as of the last day of the fiscal quarter of Bidco most recently ended net revenues or total assets in excess of 10.0% of the consolidated revenues or total assets, as applicable, of Bidco and the Restricted Subsidiaries for such quarter, Bidco shall designate at its sole discretion one or more Immaterial Subsidiaries to be a Material Subsidiary as may be necessary such that the foregoing 10.0% limit shall not be exceeded, and any such Subsidiary shall thereafter be deemed to be an Material Subsidiary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may re-designate Material Subsidiaries as Immaterial Subsidiaries so long as Bidco is in compliance with the foregoing.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to such term in </w:t>
      </w:r>
      <w:r>
        <w:rPr>
          <w:rFonts w:ascii="Times New Roman" w:hAnsi="Times New Roman"/>
          <w:sz w:val="20"/>
          <w:u w:val="single"/>
        </w:rPr>
        <w:t>Section 9.16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Equity Requirement</w:t>
      </w:r>
      <w:r>
        <w:rPr>
          <w:rFonts w:ascii="Times New Roman" w:hAnsi="Times New Roman"/>
          <w:sz w:val="20"/>
        </w:rPr>
        <w:t xml:space="preserve">” means, as at the relevant date of calculation, that the Equity Contributions are not less than 35% of the Capitalized Amount. </w:t>
      </w:r>
    </w:p>
    <w:p>
      <w:pPr>
        <w:pStyle w:val="TextBody"/>
        <w:bidi w:val="0"/>
        <w:spacing w:before="240" w:after="0"/>
        <w:jc w:val="left"/>
        <w:rPr/>
      </w:pPr>
      <w:r>
        <w:rPr/>
        <w:t>“</w:t>
      </w:r>
      <w:r>
        <w:rPr>
          <w:rFonts w:ascii="Times New Roman" w:hAnsi="Times New Roman"/>
          <w:sz w:val="20"/>
          <w:u w:val="single"/>
        </w:rPr>
        <w:t>Model</w:t>
      </w:r>
      <w:r>
        <w:rPr>
          <w:rFonts w:ascii="Times New Roman" w:hAnsi="Times New Roman"/>
          <w:sz w:val="20"/>
        </w:rPr>
        <w:t xml:space="preserve">” means that certain financial model delivered to the Joint Lead Arrangers on March 2, 2019 (together with any updates or modifications thereto reasonably agreed between Bidco and the Administrative Agent).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240" w:after="0"/>
        <w:jc w:val="left"/>
        <w:rPr/>
      </w:pPr>
      <w:r>
        <w:rPr/>
        <w:t>“</w:t>
      </w:r>
      <w:r>
        <w:rPr>
          <w:rFonts w:ascii="Times New Roman" w:hAnsi="Times New Roman"/>
          <w:sz w:val="20"/>
          <w:u w:val="single"/>
        </w:rPr>
        <w:t>Net Income</w:t>
      </w:r>
      <w:r>
        <w:rPr>
          <w:rFonts w:ascii="Times New Roman" w:hAnsi="Times New Roman"/>
          <w:sz w:val="20"/>
        </w:rPr>
        <w:t xml:space="preserve">” means, with respect to any Person, the net income (loss) of such Person, determined in accordance with IFRS and before any reduction in respect of Preferred Stock dividends. </w:t>
      </w:r>
    </w:p>
    <w:p>
      <w:pPr>
        <w:pStyle w:val="TextBody"/>
        <w:bidi w:val="0"/>
        <w:spacing w:before="240" w:after="0"/>
        <w:jc w:val="left"/>
        <w:rPr/>
      </w:pPr>
      <w:r>
        <w:rPr/>
        <w:t>“</w:t>
      </w:r>
      <w:r>
        <w:rPr>
          <w:rFonts w:ascii="Times New Roman" w:hAnsi="Times New Roman"/>
          <w:sz w:val="20"/>
          <w:u w:val="single"/>
        </w:rPr>
        <w:t>Net Proceeds</w:t>
      </w:r>
      <w:r>
        <w:rPr>
          <w:rFonts w:ascii="Times New Roman" w:hAnsi="Times New Roman"/>
          <w:sz w:val="20"/>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hAnsi="Times New Roman"/>
          <w:sz w:val="20"/>
          <w:u w:val="single"/>
        </w:rPr>
        <w:t>minus</w:t>
      </w:r>
      <w:r>
        <w:rPr>
          <w:rFonts w:ascii="Times New Roman" w:hAnsi="Times New Roman"/>
          <w:sz w:val="20"/>
        </w:rPr>
        <w:t xml:space="preserve"> (b) without duplication the sum of (i) all fees and out-of-pocket expenses paid by Bidco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Bidco and the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p>
    <w:p>
      <w:pPr>
        <w:pStyle w:val="TextBody"/>
        <w:bidi w:val="0"/>
        <w:spacing w:before="0" w:after="0"/>
        <w:jc w:val="left"/>
        <w:rPr>
          <w:rFonts w:ascii="Times New Roman" w:hAnsi="Times New Roman"/>
          <w:sz w:val="20"/>
        </w:rPr>
      </w:pPr>
      <w:r>
        <w:rPr>
          <w:rFonts w:ascii="Times New Roman" w:hAnsi="Times New Roman"/>
          <w:sz w:val="20"/>
        </w:rPr>
        <w:t xml:space="preserve">distribution to or for the account of Bidco or the Restricted Subsidiaries as a result thereof and (z) the amount of any liabilities directly associated with such asset and retained by Bidco or any Restricted Subsidiary and (iii) the amount of all taxes paid (or reasonably estimated to be payable), the amount of Tax Distributions, dividends and other Restricted Payments that Bidco and/or the Restricted Subsidiaries may make pursuant to </w:t>
      </w:r>
      <w:r>
        <w:rPr>
          <w:rFonts w:ascii="Times New Roman" w:hAnsi="Times New Roman"/>
          <w:sz w:val="20"/>
          <w:u w:val="single"/>
        </w:rPr>
        <w:t>Section 6.05(b)(xv)(B)</w:t>
      </w:r>
      <w:r>
        <w:rPr>
          <w:rFonts w:ascii="Times New Roman" w:hAnsi="Times New Roman"/>
          <w:sz w:val="20"/>
        </w:rPr>
        <w:t xml:space="preserve"> as a result of such event, and the amount of any reserves established by Holdings, any Intermediate Parent, Bidco and the Restricted Subsidiaries to fund contingent liabilities reasonably estimated to be payable, that are directly attributable to such event, </w:t>
      </w:r>
      <w:r>
        <w:rPr>
          <w:rFonts w:ascii="Times New Roman" w:hAnsi="Times New Roman"/>
          <w:sz w:val="20"/>
          <w:u w:val="single"/>
        </w:rPr>
        <w:t>provided</w:t>
      </w:r>
      <w:r>
        <w:rPr>
          <w:rFonts w:ascii="Times New Roman" w:hAnsi="Times New Roman"/>
          <w:sz w:val="20"/>
        </w:rPr>
        <w:t xml:space="preserve"> that any reduction at any time in the amount of any such reserves (other than as a result of payments made in respect thereof) shall be deemed to constitute the receipt by Bidco at such time of Net Proceeds in the amount of such reduction. </w:t>
      </w:r>
    </w:p>
    <w:p>
      <w:pPr>
        <w:pStyle w:val="TextBody"/>
        <w:bidi w:val="0"/>
        <w:spacing w:before="240" w:after="0"/>
        <w:jc w:val="left"/>
        <w:rPr/>
      </w:pPr>
      <w:r>
        <w:rPr/>
        <w:t>“</w:t>
      </w:r>
      <w:r>
        <w:rPr>
          <w:rFonts w:ascii="Times New Roman" w:hAnsi="Times New Roman"/>
          <w:sz w:val="20"/>
          <w:u w:val="single"/>
        </w:rPr>
        <w:t>New Contracts</w:t>
      </w:r>
      <w:r>
        <w:rPr>
          <w:rFonts w:ascii="Times New Roman" w:hAnsi="Times New Roman"/>
          <w:sz w:val="20"/>
        </w:rPr>
        <w:t xml:space="preserve">” means executed agreements with new customers that have contracted with Bidco and its Subsidiaries, for which pricing, volumes and margins from the covered product categories are readily identified. </w:t>
      </w:r>
    </w:p>
    <w:p>
      <w:pPr>
        <w:pStyle w:val="TextBody"/>
        <w:bidi w:val="0"/>
        <w:spacing w:before="240" w:after="0"/>
        <w:jc w:val="left"/>
        <w:rPr/>
      </w:pPr>
      <w:r>
        <w:rPr/>
        <w:t>“</w:t>
      </w:r>
      <w:r>
        <w:rPr>
          <w:rFonts w:ascii="Times New Roman" w:hAnsi="Times New Roman"/>
          <w:sz w:val="20"/>
          <w:u w:val="single"/>
        </w:rPr>
        <w:t>Non-Accepting Lender</w:t>
      </w:r>
      <w:r>
        <w:rPr>
          <w:rFonts w:ascii="Times New Roman" w:hAnsi="Times New Roman"/>
          <w:sz w:val="20"/>
        </w:rPr>
        <w:t xml:space="preserve">” has the meaning assigned to such term in </w:t>
      </w:r>
      <w:r>
        <w:rPr>
          <w:rFonts w:ascii="Times New Roman" w:hAnsi="Times New Roman"/>
          <w:sz w:val="20"/>
          <w:u w:val="single"/>
        </w:rPr>
        <w:t>Section 2.23(c)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Non-Cash Compensation Expense</w:t>
      </w:r>
      <w:r>
        <w:rPr>
          <w:rFonts w:ascii="Times New Roman" w:hAnsi="Times New Roman"/>
          <w:sz w:val="20"/>
        </w:rPr>
        <w:t xml:space="preserve">” means any non-cash expenses and costs that result from the issuance of stock-based awards, partnership interest-based awards and similar incentive based compensation awards or arrangements.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Non-U.S. Loan Party</w:t>
      </w:r>
      <w:r>
        <w:rPr>
          <w:rFonts w:ascii="Times New Roman" w:hAnsi="Times New Roman"/>
          <w:sz w:val="20"/>
        </w:rPr>
        <w:t xml:space="preserve">” means any Loan Party organized in any jurisdiction other than the United States, any state thereof or the District of Columbia. </w:t>
      </w:r>
    </w:p>
    <w:p>
      <w:pPr>
        <w:pStyle w:val="TextBody"/>
        <w:bidi w:val="0"/>
        <w:spacing w:before="240" w:after="0"/>
        <w:jc w:val="left"/>
        <w:rPr/>
      </w:pPr>
      <w:r>
        <w:rPr/>
        <w:t>“</w:t>
      </w:r>
      <w:r>
        <w:rPr>
          <w:rFonts w:ascii="Times New Roman" w:hAnsi="Times New Roman"/>
          <w:sz w:val="20"/>
          <w:u w:val="single"/>
        </w:rPr>
        <w:t>Non-U.S. Restricted Subsidiary</w:t>
      </w:r>
      <w:r>
        <w:rPr>
          <w:rFonts w:ascii="Times New Roman" w:hAnsi="Times New Roman"/>
          <w:sz w:val="20"/>
        </w:rPr>
        <w:t xml:space="preserve">” means any Subsidiary of Bidco organized in any jurisdiction other than the United States, any state thereof or the District of Columbia that is not an Unrestricted Subsidiary. </w:t>
      </w:r>
    </w:p>
    <w:p>
      <w:pPr>
        <w:pStyle w:val="TextBody"/>
        <w:bidi w:val="0"/>
        <w:spacing w:before="240" w:after="0"/>
        <w:jc w:val="left"/>
        <w:rPr/>
      </w:pPr>
      <w:r>
        <w:rPr/>
        <w:t>“</w:t>
      </w:r>
      <w:r>
        <w:rPr>
          <w:rFonts w:ascii="Times New Roman" w:hAnsi="Times New Roman"/>
          <w:sz w:val="20"/>
          <w:u w:val="single"/>
        </w:rPr>
        <w:t>Non-U.S. Security Agreement</w:t>
      </w:r>
      <w:r>
        <w:rPr>
          <w:rFonts w:ascii="Times New Roman" w:hAnsi="Times New Roman"/>
          <w:sz w:val="20"/>
        </w:rPr>
        <w:t xml:space="preserve">” means (a) each security agreement executed by a Non-U.S. Restricted Subsidiary and listed on </w:t>
      </w:r>
      <w:r>
        <w:rPr>
          <w:rFonts w:ascii="Times New Roman" w:hAnsi="Times New Roman"/>
          <w:sz w:val="20"/>
          <w:u w:val="single"/>
        </w:rPr>
        <w:t>Schedule 1.01(d)</w:t>
      </w:r>
      <w:r>
        <w:rPr>
          <w:rFonts w:ascii="Times New Roman" w:hAnsi="Times New Roman"/>
          <w:sz w:val="20"/>
        </w:rPr>
        <w:t xml:space="preserve"> and (b) each other security agreement executed by the Non-U.S. Restricted Subsidiary pursuant to </w:t>
      </w:r>
      <w:r>
        <w:rPr>
          <w:rFonts w:ascii="Times New Roman" w:hAnsi="Times New Roman"/>
          <w:sz w:val="20"/>
          <w:u w:val="single"/>
        </w:rPr>
        <w:t>Section 5.12</w:t>
      </w:r>
      <w:r>
        <w:rPr>
          <w:rFonts w:ascii="Times New Roman" w:hAnsi="Times New Roman"/>
          <w:sz w:val="20"/>
        </w:rPr>
        <w:t xml:space="preserve"> in accordance with the Agreed Security Principles. </w:t>
      </w:r>
    </w:p>
    <w:p>
      <w:pPr>
        <w:pStyle w:val="TextBody"/>
        <w:bidi w:val="0"/>
        <w:spacing w:before="240" w:after="0"/>
        <w:jc w:val="left"/>
        <w:rPr/>
      </w:pPr>
      <w:r>
        <w:rPr/>
        <w:t>“</w:t>
      </w:r>
      <w:r>
        <w:rPr>
          <w:rFonts w:ascii="Times New Roman" w:hAnsi="Times New Roman"/>
          <w:sz w:val="20"/>
          <w:u w:val="single"/>
        </w:rPr>
        <w:t>Non-Wholly Owned Subsidiary</w:t>
      </w:r>
      <w:r>
        <w:rPr>
          <w:rFonts w:ascii="Times New Roman" w:hAnsi="Times New Roman"/>
          <w:sz w:val="20"/>
        </w:rPr>
        <w:t xml:space="preserve">” of any Person means any Subsidiary of such Person other than a Wholly Owned Subsidiary.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 promissory note of the Borrowers, in substantially the form of </w:t>
      </w:r>
      <w:r>
        <w:rPr>
          <w:rFonts w:ascii="Times New Roman" w:hAnsi="Times New Roman"/>
          <w:sz w:val="20"/>
          <w:u w:val="single"/>
        </w:rPr>
        <w:t>Exhibit R</w:t>
      </w:r>
      <w:r>
        <w:rPr>
          <w:rFonts w:ascii="Times New Roman" w:hAnsi="Times New Roman"/>
          <w:sz w:val="20"/>
        </w:rPr>
        <w:t xml:space="preserve">, payable to a Lender in a principal amount equal to the principal amount of the Revolving Commitment or Term Loans, as applicable, of such Lender.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NYFRB” means the </w:t>
      </w:r>
      <w:r>
        <w:rPr>
          <w:rFonts w:ascii="Times New Roman" w:hAnsi="Times New Roman"/>
          <w:color w:val="008000"/>
          <w:sz w:val="20"/>
          <w:u w:val="single"/>
        </w:rPr>
        <w:t>Federal Reserve Bank of New York</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NYFRB Rate” means, for any day, the greater of (a) the Federal Funds Effective Rate </w:t>
      </w:r>
      <w:r>
        <w:rPr>
          <w:rFonts w:ascii="Times New Roman" w:hAnsi="Times New Roman"/>
          <w:color w:val="008000"/>
          <w:sz w:val="20"/>
          <w:u w:val="single"/>
        </w:rPr>
        <w:t xml:space="preserve">in effect on such day </w:t>
      </w:r>
      <w:r>
        <w:rPr>
          <w:rFonts w:ascii="Times New Roman" w:hAnsi="Times New Roman"/>
          <w:color w:val="0000FF"/>
          <w:sz w:val="20"/>
          <w:u w:val="single"/>
          <w:bdr w:val="double" w:sz="2" w:space="1" w:color="000000"/>
        </w:rPr>
        <w:t>and (b) the Overnight Bank Funding Rate in effect on such day; provided, that if any of the aforesaid rates shall be less than zero, such rate shall be deemed to be zero for the purposes of calculating such rate.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Offered Amount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p>
    <w:p>
      <w:pPr>
        <w:pStyle w:val="TextBody"/>
        <w:bidi w:val="0"/>
        <w:spacing w:before="0" w:after="0"/>
        <w:jc w:val="left"/>
        <w:rPr/>
      </w:pPr>
      <w:r>
        <w:rPr/>
        <w:t>“</w:t>
      </w:r>
      <w:r>
        <w:rPr>
          <w:rFonts w:ascii="Times New Roman" w:hAnsi="Times New Roman"/>
          <w:sz w:val="20"/>
          <w:u w:val="single"/>
        </w:rPr>
        <w:t>Offered Discount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with respect to any Person, the charter, articles or certificate of organization, constitution or incorporation and bylaws or other organizational or governing documents of such Person.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Lender, Taxes that would otherwise be “Other Taxes and which are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Revolving Commitments</w:t>
      </w:r>
      <w:r>
        <w:rPr>
          <w:rFonts w:ascii="Times New Roman" w:hAnsi="Times New Roman"/>
          <w:sz w:val="20"/>
        </w:rPr>
        <w:t xml:space="preserve">” means one or more Classes of Revolving Commitments hereunder or extended Revolving Commitments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Other Revolving Loans</w:t>
      </w:r>
      <w:r>
        <w:rPr>
          <w:rFonts w:ascii="Times New Roman" w:hAnsi="Times New Roman"/>
          <w:sz w:val="20"/>
        </w:rPr>
        <w:t xml:space="preserve">” means one or more classes or Revolving Loans made pursuant to any Other Revolving Commitment or a Loan Modification Agreement.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recording, stamp, documentary, excise, transfer, sales, property or similar Taxes, charges or levies arising from any payment made under any Loan Document or from the execution, delivery, performance, or enforcement of, or from the receipt or perfection of a security interest under, or otherwise with respect to, any Loan Document excluding, in each case, any Other Connection Taxes or U.K. stamp duty or stamp duty reserve tax imposed as a result of a Lender’s Assignment and Assumption, grant of a participation, transfer or assignment to or designation of a new applicable Lending Office or other office for receiving payments under any Loan Document (other than where any of the foregoing results from a request by the Borrowers under </w:t>
      </w:r>
      <w:r>
        <w:rPr>
          <w:rFonts w:ascii="Times New Roman" w:hAnsi="Times New Roman"/>
          <w:sz w:val="20"/>
          <w:u w:val="single"/>
        </w:rPr>
        <w:t>Section 2.1</w:t>
      </w:r>
      <w:r>
        <w:rPr>
          <w:rFonts w:ascii="Times New Roman" w:hAnsi="Times New Roman"/>
          <w:sz w:val="20"/>
        </w:rPr>
        <w:t xml:space="preserve">8 hereto), and VAT (which, if applicable, shall be dealt with in accordance with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Other Term Commitments</w:t>
      </w:r>
      <w:r>
        <w:rPr>
          <w:rFonts w:ascii="Times New Roman" w:hAnsi="Times New Roman"/>
          <w:sz w:val="20"/>
        </w:rPr>
        <w:t xml:space="preserve">” means one or more Classes of term loan commitments that result from a Refinancing Amendment or a Loan Modification Agreement. </w:t>
      </w:r>
    </w:p>
    <w:p>
      <w:pPr>
        <w:pStyle w:val="TextBody"/>
        <w:bidi w:val="0"/>
        <w:spacing w:before="240" w:after="0"/>
        <w:jc w:val="left"/>
        <w:rPr/>
      </w:pPr>
      <w:r>
        <w:rPr/>
        <w:t>“</w:t>
      </w:r>
      <w:r>
        <w:rPr>
          <w:rFonts w:ascii="Times New Roman" w:hAnsi="Times New Roman"/>
          <w:sz w:val="20"/>
          <w:u w:val="single"/>
        </w:rPr>
        <w:t>Other Term Loans</w:t>
      </w:r>
      <w:r>
        <w:rPr>
          <w:rFonts w:ascii="Times New Roman" w:hAnsi="Times New Roman"/>
          <w:sz w:val="20"/>
        </w:rPr>
        <w:t xml:space="preserve">” means one or more Classes of Term Loans hereunder that result from a Refinancing Amendment or a Loan Modification Agreement.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Overnight Bank Funding Rate” means, for any day, the rate comprised of both overnight federal funds and overnight Term SOFR transactions denominated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Panel</w:t>
      </w:r>
      <w:r>
        <w:rPr>
          <w:rFonts w:ascii="Times New Roman" w:hAnsi="Times New Roman"/>
          <w:sz w:val="20"/>
        </w:rPr>
        <w:t xml:space="preserve">” means the Panel on Takeovers and Mergers. </w:t>
      </w:r>
    </w:p>
    <w:p>
      <w:pPr>
        <w:pStyle w:val="TextBody"/>
        <w:bidi w:val="0"/>
        <w:spacing w:before="240" w:after="0"/>
        <w:jc w:val="left"/>
        <w:rPr/>
      </w:pPr>
      <w:r>
        <w:rPr/>
        <w:t>“</w:t>
      </w:r>
      <w:r>
        <w:rPr>
          <w:rFonts w:ascii="Times New Roman" w:hAnsi="Times New Roman"/>
          <w:sz w:val="20"/>
          <w:u w:val="single"/>
        </w:rPr>
        <w:t>Pari Passu Intercreditor Agreement</w:t>
      </w:r>
      <w:r>
        <w:rPr>
          <w:rFonts w:ascii="Times New Roman" w:hAnsi="Times New Roman"/>
          <w:sz w:val="20"/>
        </w:rPr>
        <w:t xml:space="preserve">” means the Pari Passu Intercreditor Agreement substantially in the form of </w:t>
      </w:r>
      <w:r>
        <w:rPr>
          <w:rFonts w:ascii="Times New Roman" w:hAnsi="Times New Roman"/>
          <w:sz w:val="20"/>
          <w:u w:val="single"/>
        </w:rPr>
        <w:t>Exhibit F</w:t>
      </w:r>
      <w:r>
        <w:rPr>
          <w:rFonts w:ascii="Times New Roman" w:hAnsi="Times New Roman"/>
          <w:sz w:val="20"/>
        </w:rPr>
        <w:t xml:space="preserve"> among the Administrative Agent and one or more Senior Representatives for holders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On the Effective Date, the Administrative Agent entered into a Pari Passu Intercreditor Agreement with Wilmington Trust, National Association, as the Initial Additional Collateral Agent (as defined therein) and the Initial Additional Authorized Representative (as defined therein), and the other parties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p>
    <w:p>
      <w:pPr>
        <w:pStyle w:val="TextBody"/>
        <w:bidi w:val="0"/>
        <w:spacing w:before="0" w:after="0"/>
        <w:jc w:val="left"/>
        <w:rPr/>
      </w:pPr>
      <w:r>
        <w:rPr/>
        <w:t>“</w:t>
      </w:r>
      <w:r>
        <w:rPr>
          <w:rFonts w:ascii="Times New Roman" w:hAnsi="Times New Roman"/>
          <w:sz w:val="20"/>
          <w:u w:val="single"/>
        </w:rPr>
        <w:t>Participant</w:t>
      </w:r>
      <w:r>
        <w:rPr>
          <w:rFonts w:ascii="Times New Roman" w:hAnsi="Times New Roman"/>
          <w:sz w:val="20"/>
        </w:rPr>
        <w:t xml:space="preserve">” has the meaning assigned to such term in </w:t>
      </w:r>
      <w:r>
        <w:rPr>
          <w:rFonts w:ascii="Times New Roman" w:hAnsi="Times New Roman"/>
          <w:sz w:val="20"/>
          <w:u w:val="single"/>
        </w:rPr>
        <w:t>Section 9.04(c)(i)</w:t>
      </w:r>
      <w:r>
        <w:rPr>
          <w:rFonts w:ascii="Times New Roman" w:hAnsi="Times New Roman"/>
          <w:sz w:val="20"/>
        </w:rPr>
        <w:t xml:space="preserve"> .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to such term in </w:t>
      </w:r>
      <w:r>
        <w:rPr>
          <w:rFonts w:ascii="Times New Roman" w:hAnsi="Times New Roman"/>
          <w:sz w:val="20"/>
          <w:u w:val="single"/>
        </w:rPr>
        <w:t>Section 9.04(c)(ii)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Lender</w:t>
      </w:r>
      <w:r>
        <w:rPr>
          <w:rFonts w:ascii="Times New Roman" w:hAnsi="Times New Roman"/>
          <w:sz w:val="20"/>
        </w:rPr>
        <w:t xml:space="preserve">” has the meaning assigned to such term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2.10(a)(ii)(C)(2)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Member State</w:t>
      </w:r>
      <w:r>
        <w:rPr>
          <w:rFonts w:ascii="Times New Roman" w:hAnsi="Times New Roman"/>
          <w:sz w:val="20"/>
        </w:rPr>
        <w:t xml:space="preserve">” means each state so described in any EMU Legislation.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Perfection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Periodic Term SOFR Determination Day” has the meaning assigned to such term in the definition of “Term SOFR”.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has the meaning assigned to such term in clause (3) of the definition of “Permitted Investment”. </w:t>
      </w:r>
    </w:p>
    <w:p>
      <w:pPr>
        <w:pStyle w:val="TextBody"/>
        <w:bidi w:val="0"/>
        <w:spacing w:before="240" w:after="0"/>
        <w:jc w:val="left"/>
        <w:rPr/>
      </w:pPr>
      <w:r>
        <w:rPr/>
        <w:t>“</w:t>
      </w:r>
      <w:r>
        <w:rPr>
          <w:rFonts w:ascii="Times New Roman" w:hAnsi="Times New Roman"/>
          <w:sz w:val="20"/>
          <w:u w:val="single"/>
        </w:rPr>
        <w:t>Permitted Amendment</w:t>
      </w:r>
      <w:r>
        <w:rPr>
          <w:rFonts w:ascii="Times New Roman" w:hAnsi="Times New Roman"/>
          <w:sz w:val="20"/>
        </w:rPr>
        <w:t xml:space="preserve">” means an amendment to this Agreement and, if applicable the other Loan Documents, effected in connection with a Loan Modification Offer pursuant to </w:t>
      </w:r>
      <w:r>
        <w:rPr>
          <w:rFonts w:ascii="Times New Roman" w:hAnsi="Times New Roman"/>
          <w:sz w:val="20"/>
          <w:u w:val="single"/>
        </w:rPr>
        <w:t>Section 2.23</w:t>
      </w:r>
      <w:r>
        <w:rPr>
          <w:rFonts w:ascii="Times New Roman" w:hAnsi="Times New Roman"/>
          <w:sz w:val="20"/>
        </w:rPr>
        <w:t xml:space="preserve">,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financial maintenance covenant or other covenant only applicable to, or for the benefit of, a revolving credit facility, also added for the benefit of each revolving credit facility hereunder (and not for the benefit of any term loan facility hereunder) or (iii) only applicable after the Latest Maturity Date at the time of such Loan Modification Offer); </w:t>
      </w:r>
      <w:r>
        <w:rPr>
          <w:rFonts w:ascii="Times New Roman" w:hAnsi="Times New Roman"/>
          <w:sz w:val="20"/>
          <w:u w:val="single"/>
        </w:rPr>
        <w:t>provided</w:t>
      </w:r>
      <w:r>
        <w:rPr>
          <w:rFonts w:ascii="Times New Roman" w:hAnsi="Times New Roman"/>
          <w:sz w:val="20"/>
        </w:rPr>
        <w:t xml:space="preserve"> that, notwithstanding anything to the contrary, such Loans and/or Commitments, as applicable, shall not be subject to any “most favored nation” pricing adjustments set forth in this Agreement. </w:t>
      </w:r>
    </w:p>
    <w:p>
      <w:pPr>
        <w:pStyle w:val="TextBody"/>
        <w:bidi w:val="0"/>
        <w:spacing w:before="240" w:after="0"/>
        <w:jc w:val="left"/>
        <w:rPr/>
      </w:pPr>
      <w:r>
        <w:rPr/>
        <w:t>“</w:t>
      </w:r>
      <w:r>
        <w:rPr>
          <w:rFonts w:ascii="Times New Roman" w:hAnsi="Times New Roman"/>
          <w:sz w:val="20"/>
          <w:u w:val="single"/>
        </w:rPr>
        <w:t>Permitted Asset Swap</w:t>
      </w:r>
      <w:r>
        <w:rPr>
          <w:rFonts w:ascii="Times New Roman" w:hAnsi="Times New Roman"/>
          <w:sz w:val="20"/>
        </w:rPr>
        <w:t xml:space="preserve">” means the concurrent purchase and sale or exchange of assets used or useful in a Similar Business or a combination of such assets and cash or Cash Equivalents between Bidco or any of its Restricted Subsidiaries and another Person; </w:t>
      </w:r>
      <w:r>
        <w:rPr>
          <w:rFonts w:ascii="Times New Roman" w:hAnsi="Times New Roman"/>
          <w:sz w:val="20"/>
          <w:u w:val="single"/>
        </w:rPr>
        <w:t>provided</w:t>
      </w:r>
      <w:r>
        <w:rPr>
          <w:rFonts w:ascii="Times New Roman" w:hAnsi="Times New Roman"/>
          <w:sz w:val="20"/>
        </w:rPr>
        <w:t xml:space="preserve"> that any cash or Cash Equivalents received in excess of the value of any cash or Cash Equivalents sold or exchanged must be applied in accordance with </w:t>
      </w:r>
      <w:r>
        <w:rPr>
          <w:rFonts w:ascii="Times New Roman" w:hAnsi="Times New Roman"/>
          <w:sz w:val="20"/>
          <w:u w:val="single"/>
        </w:rPr>
        <w:t>Section 6.04</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(a) the Investors, (b) the Management Investors, (c) any Person who is acting solely as an underwriter in connection with a public or private offering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p>
    <w:p>
      <w:pPr>
        <w:pStyle w:val="TextBody"/>
        <w:bidi w:val="0"/>
        <w:spacing w:before="0" w:after="0"/>
        <w:jc w:val="left"/>
        <w:rPr>
          <w:rFonts w:ascii="Times New Roman" w:hAnsi="Times New Roman"/>
          <w:sz w:val="20"/>
        </w:rPr>
      </w:pPr>
      <w:r>
        <w:rPr>
          <w:rFonts w:ascii="Times New Roman" w:hAnsi="Times New Roman"/>
          <w:sz w:val="20"/>
        </w:rPr>
        <w:t xml:space="preserve">Interests of any parent entity of Bidco or Bidco, acting in such capacity, (d) any group (within the meaning of Section 13(d)(3) or Section 14(d)(2) of the Exchange Act or any successor provision) of which any of the foregoing are members if a majority of the Equity Interests owned by the group is owned by Permitted Holders under clause (a) or (b) above, (e) any Permitted Parent and (f) if the Viasat Acquisition is consummated, Viasat and its Subsidiaries; </w:t>
      </w:r>
      <w:r>
        <w:rPr>
          <w:rFonts w:ascii="Times New Roman" w:hAnsi="Times New Roman"/>
          <w:sz w:val="20"/>
          <w:u w:val="single"/>
        </w:rPr>
        <w:t>provided</w:t>
      </w:r>
      <w:r>
        <w:rPr>
          <w:rFonts w:ascii="Times New Roman" w:hAnsi="Times New Roman"/>
          <w:sz w:val="20"/>
        </w:rPr>
        <w:t xml:space="preserve"> that Viasat and its Subsidiaries shall cease to be Permitted Holders pursuant to this clause (f) in the event that any Person or group (other than Permitted Holders described in clauses (a), (b) and (d) of this definition) acquires beneficial ownership (as defined in the definition of “Change of Control”) of Equity Interests of Viasat representing at least the greater of (x) 40% of the aggregate ordinary voting power represented by the issued and outstanding Equity Interests of Viasat and (y) the percentage of the aggregate ordinary voting power represented by the Equity Interests in Viasat held by the Permitted Holders described in clauses (a), (b) and (d) of this definition;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Purchase Agreement (as defined in the Viasat Filing) is terminated prior to the closing of the Viasat Acquisition, then this clause (f) shall cease to be operative. </w:t>
      </w:r>
    </w:p>
    <w:p>
      <w:pPr>
        <w:pStyle w:val="TextBody"/>
        <w:bidi w:val="0"/>
        <w:spacing w:before="240" w:after="0"/>
        <w:jc w:val="left"/>
        <w:rPr/>
      </w:pPr>
      <w:r>
        <w:rPr/>
        <w:t>“</w:t>
      </w:r>
      <w:r>
        <w:rPr>
          <w:rFonts w:ascii="Times New Roman" w:hAnsi="Times New Roman"/>
          <w:sz w:val="20"/>
          <w:u w:val="single"/>
        </w:rPr>
        <w:t>Permitted Intercompany Activities</w:t>
      </w:r>
      <w:r>
        <w:rPr>
          <w:rFonts w:ascii="Times New Roman" w:hAnsi="Times New Roman"/>
          <w:sz w:val="20"/>
        </w:rPr>
        <w:t xml:space="preserve">” means any transactions (A) between or among Bidco and its Restricted Subsidiaries that are entered into in connection with the Transactions and/or in the ordinary course of business or consistent with past practice of Bidco and its Restricted Subsidiaries and, in the reasonable determination of Bidco are necessary or advisable in connection with the ownership or operation of the business of Bidco and its Restricted Subsidiaries, including (i) payroll, cash management, purchasing, insurance and hedging arrangements; (ii) management, technology and licensing arrangements; and (iii) customary loyalty and rewards programs; and (B) between or among Bidco and its Restricted Subsidiaries.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Bidco or any of its Restricted Subsidiaries; provided that Investments by any Loan Party in any Restricted Subsidiary that is not a Loan Party made pursuant to this clause (1), taken together with all other Investments by any Loan Party in any Restricted Subsidiary that is not a Loan Party made pursuant to this clause (1) and clause (3) below,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and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in a Person (including to the extent constituting an Investment, in assets of a Person that represent substantially all of its assets or a division, business unit or product line or line of business, including research and development and related assets in respect of any product); </w:t>
      </w:r>
      <w:r>
        <w:rPr>
          <w:rFonts w:ascii="Times New Roman" w:hAnsi="Times New Roman"/>
          <w:sz w:val="20"/>
          <w:u w:val="single"/>
        </w:rPr>
        <w:t>provided</w:t>
      </w:r>
      <w:r>
        <w:rPr>
          <w:rFonts w:ascii="Times New Roman" w:hAnsi="Times New Roman"/>
          <w:sz w:val="20"/>
        </w:rPr>
        <w:t xml:space="preserve"> that as a result of such Investment (a “</w:t>
      </w:r>
      <w:r>
        <w:rPr>
          <w:rFonts w:ascii="Times New Roman" w:hAnsi="Times New Roman"/>
          <w:sz w:val="20"/>
          <w:u w:val="single"/>
        </w:rPr>
        <w:t>Permitted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Person, upon the consummation of such purchase or acquisition, will be a Restricted Subsidiary (including as a result of a merger, amalgamation or consolidation between any Subsidiary and such Person); or </w:t>
      </w:r>
    </w:p>
    <w:p>
      <w:pPr>
        <w:pStyle w:val="TextBody"/>
        <w:bidi w:val="0"/>
        <w:spacing w:before="120" w:after="0"/>
        <w:jc w:val="left"/>
        <w:rPr>
          <w:rFonts w:ascii="Times New Roman" w:hAnsi="Times New Roman"/>
          <w:sz w:val="20"/>
        </w:rPr>
      </w:pPr>
      <w:r>
        <w:rPr>
          <w:rFonts w:ascii="Times New Roman" w:hAnsi="Times New Roman"/>
          <w:sz w:val="20"/>
        </w:rPr>
        <w:t xml:space="preserve">(b)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Bidco or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p>
    <w:p>
      <w:pPr>
        <w:pStyle w:val="TextBody"/>
        <w:bidi w:val="0"/>
        <w:spacing w:before="0" w:after="0"/>
        <w:jc w:val="left"/>
        <w:rPr>
          <w:rFonts w:ascii="Times New Roman" w:hAnsi="Times New Roman"/>
          <w:sz w:val="20"/>
        </w:rPr>
      </w:pPr>
      <w:r>
        <w:rPr>
          <w:rFonts w:ascii="Times New Roman" w:hAnsi="Times New Roman"/>
          <w:sz w:val="20"/>
        </w:rPr>
        <w:t xml:space="preserve">and, in each case, any Investment held by such Person; </w:t>
      </w:r>
      <w:r>
        <w:rPr>
          <w:rFonts w:ascii="Times New Roman" w:hAnsi="Times New Roman"/>
          <w:sz w:val="20"/>
          <w:u w:val="single"/>
        </w:rPr>
        <w:t>provided</w:t>
      </w:r>
      <w:r>
        <w:rPr>
          <w:rFonts w:ascii="Times New Roman" w:hAnsi="Times New Roman"/>
          <w:sz w:val="20"/>
        </w:rPr>
        <w:t xml:space="preserve"> that such Investment was not acquired by such Person in contemplation of such acquisition, merger, amalgamation, consolidation or transfer;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actions set forth in the definition of the term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designated as an Unrestricted Subsidiary pursuant to </w:t>
      </w:r>
      <w:r>
        <w:rPr>
          <w:rFonts w:ascii="Times New Roman" w:hAnsi="Times New Roman"/>
          <w:sz w:val="20"/>
          <w:u w:val="single"/>
        </w:rPr>
        <w:t>Section 5.13</w:t>
      </w:r>
      <w:r>
        <w:rPr>
          <w:rFonts w:ascii="Times New Roman" w:hAnsi="Times New Roman"/>
          <w:sz w:val="20"/>
        </w:rPr>
        <w:t xml:space="preserve"> or is otherwise an Excluded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Investments by any Loan Party in any Restricted Subsidiary that is not a Loan Party made pursuant to this clause (3), taken together with all other Investments by any Loan Party in any Restricted Subsidiary that is not a Loan Party made pursuant to this clause (3) and clause (1) above,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in securities, promissory notes or other assets not constituting cash, Cash Equivalents or Investment Grade Securities and received in connection with an Asset Sale made pursuant to the provisions of </w:t>
      </w:r>
      <w:r>
        <w:rPr>
          <w:rFonts w:ascii="Times New Roman" w:hAnsi="Times New Roman"/>
          <w:sz w:val="20"/>
          <w:u w:val="single"/>
        </w:rPr>
        <w:t>Section 6.04</w:t>
      </w:r>
      <w:r>
        <w:rPr>
          <w:rFonts w:ascii="Times New Roman" w:hAnsi="Times New Roman"/>
          <w:sz w:val="20"/>
        </w:rPr>
        <w:t xml:space="preserve"> hereof or any other disposition of assets not constituting an Asset Sale; </w:t>
      </w:r>
    </w:p>
    <w:p>
      <w:pPr>
        <w:pStyle w:val="TextBody"/>
        <w:bidi w:val="0"/>
        <w:spacing w:before="120" w:after="0"/>
        <w:jc w:val="left"/>
        <w:rPr>
          <w:rFonts w:ascii="Times New Roman" w:hAnsi="Times New Roman"/>
          <w:sz w:val="20"/>
        </w:rPr>
      </w:pPr>
      <w:r>
        <w:rPr>
          <w:rFonts w:ascii="Times New Roman" w:hAnsi="Times New Roman"/>
          <w:sz w:val="20"/>
        </w:rPr>
        <w:t xml:space="preserve">(5)     (a) any Investment existing or made pursuant to binding commitments in effect on the Effective Date or an Investment consisting of any extension, modification or renewal of any such Investment and (b) any Investment existing on the Effective Date by any Borrower or any Restricted Subsidiary in any Borrower or any Restricted Subsidiary or an Investment consisting of any extension, modification or renewal of any such Investment; </w:t>
      </w:r>
      <w:r>
        <w:rPr>
          <w:rFonts w:ascii="Times New Roman" w:hAnsi="Times New Roman"/>
          <w:sz w:val="20"/>
          <w:u w:val="single"/>
        </w:rPr>
        <w:t>provided</w:t>
      </w:r>
      <w:r>
        <w:rPr>
          <w:rFonts w:ascii="Times New Roman" w:hAnsi="Times New Roman"/>
          <w:sz w:val="20"/>
        </w:rPr>
        <w:t xml:space="preserve"> that the amount of any such Investment may be increased in such extension, modification or renewal only (i) as required by the terms of such Investment or binding commitment as in existence on the Effective Date (including as a result of the accrual or accretion of interest or original issue discount or the issuance of pay-in-kind securities and premium payable by the terms of such Investment thereon and fees and expenses associated therewith as of the Effective Date) or (ii)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 (including debt obligations and Equity Interests) acquired by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consisting of extensions of trade credit and accommodation guarantees in the ordinary course of business including extensions of credit in the nature of accounts receivable or notes receivable arising from the grant of trade credit; </w:t>
      </w:r>
    </w:p>
    <w:p>
      <w:pPr>
        <w:pStyle w:val="TextBody"/>
        <w:bidi w:val="0"/>
        <w:spacing w:before="120" w:after="0"/>
        <w:jc w:val="left"/>
        <w:rPr>
          <w:rFonts w:ascii="Times New Roman" w:hAnsi="Times New Roman"/>
          <w:sz w:val="20"/>
        </w:rPr>
      </w:pPr>
      <w:r>
        <w:rPr>
          <w:rFonts w:ascii="Times New Roman" w:hAnsi="Times New Roman"/>
          <w:sz w:val="20"/>
        </w:rPr>
        <w:t xml:space="preserve">(b)     in exchange for any other Investment or accounts receivable held by Bidco or any such Restricted Subsidiary in connection with or as a result of a bankruptcy, workout, reorganization or recapitalization of the issuer of such other Investment or accounts receivable (including any trade creditor or customer); </w:t>
      </w:r>
    </w:p>
    <w:p>
      <w:pPr>
        <w:pStyle w:val="TextBody"/>
        <w:bidi w:val="0"/>
        <w:spacing w:before="120" w:after="0"/>
        <w:jc w:val="left"/>
        <w:rPr>
          <w:rFonts w:ascii="Times New Roman" w:hAnsi="Times New Roman"/>
          <w:sz w:val="20"/>
        </w:rPr>
      </w:pPr>
      <w:r>
        <w:rPr>
          <w:rFonts w:ascii="Times New Roman" w:hAnsi="Times New Roman"/>
          <w:sz w:val="20"/>
        </w:rPr>
        <w:t xml:space="preserve">(c)    in satisfaction of judgments against other Persons; </w:t>
      </w:r>
    </w:p>
    <w:p>
      <w:pPr>
        <w:pStyle w:val="TextBody"/>
        <w:bidi w:val="0"/>
        <w:spacing w:before="120" w:after="0"/>
        <w:jc w:val="left"/>
        <w:rPr>
          <w:rFonts w:ascii="Times New Roman" w:hAnsi="Times New Roman"/>
          <w:sz w:val="20"/>
        </w:rPr>
      </w:pPr>
      <w:r>
        <w:rPr>
          <w:rFonts w:ascii="Times New Roman" w:hAnsi="Times New Roman"/>
          <w:sz w:val="20"/>
        </w:rPr>
        <w:t xml:space="preserve">(d)     as a result of a foreclosure by Bidco or any of its Restricted Subsidiaries with respect to any secured Investment or other transfer of title with respect to any secured Investment in default; or </w:t>
      </w:r>
    </w:p>
    <w:p>
      <w:pPr>
        <w:pStyle w:val="TextBody"/>
        <w:bidi w:val="0"/>
        <w:spacing w:before="120" w:after="0"/>
        <w:jc w:val="left"/>
        <w:rPr>
          <w:rFonts w:ascii="Times New Roman" w:hAnsi="Times New Roman"/>
          <w:sz w:val="20"/>
        </w:rPr>
      </w:pPr>
      <w:r>
        <w:rPr>
          <w:rFonts w:ascii="Times New Roman" w:hAnsi="Times New Roman"/>
          <w:sz w:val="20"/>
        </w:rPr>
        <w:t xml:space="preserve">(e)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p>
    <w:p>
      <w:pPr>
        <w:pStyle w:val="TextBody"/>
        <w:bidi w:val="0"/>
        <w:spacing w:before="0" w:after="0"/>
        <w:jc w:val="left"/>
        <w:rPr>
          <w:rFonts w:ascii="Times New Roman" w:hAnsi="Times New Roman"/>
          <w:sz w:val="20"/>
        </w:rPr>
      </w:pPr>
      <w:r>
        <w:rPr>
          <w:rFonts w:ascii="Times New Roman" w:hAnsi="Times New Roman"/>
          <w:sz w:val="20"/>
        </w:rPr>
        <w:t xml:space="preserve">(7)     Hedging Obligations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(8)     any Investment in a Similar Business having an aggregate Fair Market Value, taken together with all other Investments made pursuant to this clause (8) that are at that time outstanding, not to exceed the greater of $187,500,000 and 25% of Consolidated EBITDA for the most recently ended Test Period, calculated on a Pro Forma Basis, at the time of such Investment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(9)     Investments and other acquisitions the payment for which consists of Equity Interests (other than Disqualified Equity Interests) of Bidco, any of its direct or indirect parent companies or the IPO Entity or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(10)     (i) Indebtedness and guarantees of Indebtedness permitted under </w:t>
      </w:r>
      <w:r>
        <w:rPr>
          <w:rFonts w:ascii="Times New Roman" w:hAnsi="Times New Roman"/>
          <w:sz w:val="20"/>
          <w:u w:val="single"/>
        </w:rPr>
        <w:t>Section 6.01</w:t>
      </w:r>
      <w:r>
        <w:rPr>
          <w:rFonts w:ascii="Times New Roman" w:hAnsi="Times New Roman"/>
          <w:sz w:val="20"/>
        </w:rPr>
        <w:t xml:space="preserve"> hereof; the creation of Liens on the assets of Bidco or any Restricted Subsidiary in compliance with </w:t>
      </w:r>
      <w:r>
        <w:rPr>
          <w:rFonts w:ascii="Times New Roman" w:hAnsi="Times New Roman"/>
          <w:sz w:val="20"/>
          <w:u w:val="single"/>
        </w:rPr>
        <w:t>Section 6.02</w:t>
      </w:r>
      <w:r>
        <w:rPr>
          <w:rFonts w:ascii="Times New Roman" w:hAnsi="Times New Roman"/>
          <w:sz w:val="20"/>
        </w:rPr>
        <w:t xml:space="preserve"> and Restricted Payments permitted under </w:t>
      </w:r>
      <w:r>
        <w:rPr>
          <w:rFonts w:ascii="Times New Roman" w:hAnsi="Times New Roman"/>
          <w:sz w:val="20"/>
          <w:u w:val="single"/>
        </w:rPr>
        <w:t>Section 6.05</w:t>
      </w:r>
      <w:r>
        <w:rPr>
          <w:rFonts w:ascii="Times New Roman" w:hAnsi="Times New Roman"/>
          <w:sz w:val="20"/>
        </w:rPr>
        <w:t xml:space="preserve"> (other than by reference to this clause (10)) and (ii) performance guarantees and Contingent Obligations with respect to obligations that are not prohibited by the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to the extent it constitutes an Investment that is permitted by and made in accordance with the provisions of </w:t>
      </w:r>
      <w:r>
        <w:rPr>
          <w:rFonts w:ascii="Times New Roman" w:hAnsi="Times New Roman"/>
          <w:sz w:val="20"/>
          <w:u w:val="single"/>
        </w:rPr>
        <w:t>Section 5.17</w:t>
      </w:r>
      <w:r>
        <w:rPr>
          <w:rFonts w:ascii="Times New Roman" w:hAnsi="Times New Roman"/>
          <w:sz w:val="20"/>
        </w:rPr>
        <w:t xml:space="preserve"> hereof (except transactions described in clause (xiv)(B) of </w:t>
      </w:r>
      <w:r>
        <w:rPr>
          <w:rFonts w:ascii="Times New Roman" w:hAnsi="Times New Roman"/>
          <w:sz w:val="20"/>
          <w:u w:val="single"/>
        </w:rPr>
        <w:t>Section 5.17</w:t>
      </w:r>
      <w:r>
        <w:rPr>
          <w:rFonts w:ascii="Times New Roman" w:hAnsi="Times New Roman"/>
          <w:sz w:val="20"/>
        </w:rPr>
        <w:t xml:space="preserve"> hereof) or </w:t>
      </w:r>
      <w:r>
        <w:rPr>
          <w:rFonts w:ascii="Times New Roman" w:hAnsi="Times New Roman"/>
          <w:sz w:val="20"/>
          <w:u w:val="single"/>
        </w:rPr>
        <w:t>Section 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to the extent that they constitute Investments, purchases and acquisitions of inventory, supplies, materials or equipment or purchases, acquisitions, licenses or leases of other assets, intellectual property, receivables owing to Bidco or any Restricted Subsidiary or other rights,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(i) to the extent constituting Investments, any payments (including for capital expenditures) under any Satellite Purchase Agreement or any other contracts for the construction, procurement, launch, or insurance of any new Satellites and (ii) Investments in any Subsidiary or joint venture formed for the purpose of selling or leasing Satellite capacity to third-party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(14)     additional Investments having an aggregate Fair Market Value, taken together with all other Investments made pursuant to this clause (14) that are at that time outstanding (without giving effect to the sale of an Unrestricted Subsidiary to the extent the proceeds of such sale do not consist of cash or have not been subsequently sold or transferred for cash or marketable securities), not to exceed the sum of (a) the greater of $450,000,000 and 60% of Consolidated EBITDA for the most recently ended Test Period, calculated on a Pro Forma Basis, at the time of such Investment, (b) the Available Restricted Payments Amount and (c) the Available Restricted Debt Payments Amount, plus the amount of any returns (including dividends, payments, interest, distributions, returns of principal, profits on sale, repayments, income and similar amounts) in respect of such Investments (without duplication for purposes of the covenant described in </w:t>
      </w:r>
      <w:r>
        <w:rPr>
          <w:rFonts w:ascii="Times New Roman" w:hAnsi="Times New Roman"/>
          <w:sz w:val="20"/>
          <w:u w:val="single"/>
        </w:rPr>
        <w:t>Section 6.05</w:t>
      </w:r>
      <w:r>
        <w:rPr>
          <w:rFonts w:ascii="Times New Roman" w:hAnsi="Times New Roman"/>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p>
    <w:p>
      <w:pPr>
        <w:pStyle w:val="TextBody"/>
        <w:bidi w:val="0"/>
        <w:spacing w:before="0" w:after="0"/>
        <w:jc w:val="left"/>
        <w:rPr>
          <w:rFonts w:ascii="Times New Roman" w:hAnsi="Times New Roman"/>
          <w:sz w:val="20"/>
        </w:rPr>
      </w:pPr>
      <w:r>
        <w:rPr>
          <w:rFonts w:ascii="Times New Roman" w:hAnsi="Times New Roman"/>
          <w:sz w:val="20"/>
        </w:rPr>
        <w:t xml:space="preserve">(15)     Investments relating to a Receivables Subsidiary that, in the good faith determination of Bidco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Facility or any related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(16)    advances to, or guarantees of Indebtedness of, employees not in excess of the greater of $75,000,000 and 10% of Consolidated EBITDA for the most recently ended Test Period, calculated on a Pro Forma Basis, outstanding at any one time,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(17)     (x) loans and advances to officers, members of the board of directors and employees of direct and indirect parent companies of Bidco, Bidco and its Restricted Subsidiaries (i) for business-related travel expenses, entertainment, moving expenses and other similar expenses, for ordinary business purposes, (ii) to fund such Person’s purchase of Equity Interests of Bidco or any direct or indirect parent company thereof and (iii) for payroll payments and (y) Investments in the form of Recruitment Notes and other recruiting costs to certain employees or financial advisors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in joint ventures and similar entities and Unrestricted Subsidiaries having an aggregate Fair Market Value, taken together with all other Investments made pursuant to this clause (18) that are at the time outstanding, without giving effect to the sale of an Unrestricted Subsidiary to the extent the proceeds of such sale do not consist of cash or marketable securities, not to exceed the greater of $187,500,000 and 25% of Consolidated EBITDA for the most recently ended Test Period, calculated on a Pro Forma Basis, at the time of such Investment, plus the amount of any returns (including dividends, payments, interest, distributions, returns of principal, profits on sale, repayments, income and similar amounts) in respect of such Investments (without duplication for purposes of the covenant described in the </w:t>
      </w:r>
      <w:r>
        <w:rPr>
          <w:rFonts w:ascii="Times New Roman" w:hAnsi="Times New Roman"/>
          <w:sz w:val="20"/>
          <w:u w:val="single"/>
        </w:rPr>
        <w:t>Section 6.05</w:t>
      </w:r>
      <w:r>
        <w:rPr>
          <w:rFonts w:ascii="Times New Roman" w:hAnsi="Times New Roman"/>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(19)     contributions to a “rabbi” trust for the benefit of employees, directors, consultants, independent contractors or other service providers or other grantor trust subject to claims of creditors in the case of a bankruptcy of Bidco; </w:t>
      </w:r>
    </w:p>
    <w:p>
      <w:pPr>
        <w:pStyle w:val="TextBody"/>
        <w:bidi w:val="0"/>
        <w:spacing w:before="120" w:after="0"/>
        <w:jc w:val="left"/>
        <w:rPr>
          <w:rFonts w:ascii="Times New Roman" w:hAnsi="Times New Roman"/>
          <w:sz w:val="20"/>
        </w:rPr>
      </w:pPr>
      <w:r>
        <w:rPr>
          <w:rFonts w:ascii="Times New Roman" w:hAnsi="Times New Roman"/>
          <w:sz w:val="20"/>
        </w:rPr>
        <w:t xml:space="preserve">(20)     any other Investment (other than Investments in Unrestricted Subsidiaries); provided that (a) on a Pro Forma Basis after giving effect to such Investment the Senior Secured First Lien Net Leverage Ratio is equal to or less than 4.60 to 1.00 and (b) no Specified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(21)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the ordinary course of business consisting of UCC Article 3 endorsements for collection or deposit and UCC Article 4 customary trade arrangements with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(23)     loans and advances to direct and indirect parent companies of Bidco (x) in lieu of, and not in excess of the amount of (after giving effect to any other loans, advances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p>
    <w:p>
      <w:pPr>
        <w:pStyle w:val="TextBody"/>
        <w:bidi w:val="0"/>
        <w:spacing w:before="0" w:after="0"/>
        <w:jc w:val="left"/>
        <w:rPr>
          <w:rFonts w:ascii="Times New Roman" w:hAnsi="Times New Roman"/>
          <w:sz w:val="20"/>
        </w:rPr>
      </w:pPr>
      <w:r>
        <w:rPr>
          <w:rFonts w:ascii="Times New Roman" w:hAnsi="Times New Roman"/>
          <w:sz w:val="20"/>
        </w:rPr>
        <w:t xml:space="preserve">Restricted Payments in respect thereof), Restricted Payments to the extent permitted to be made to such companies in accordance with </w:t>
      </w:r>
      <w:r>
        <w:rPr>
          <w:rFonts w:ascii="Times New Roman" w:hAnsi="Times New Roman"/>
          <w:sz w:val="20"/>
          <w:u w:val="single"/>
        </w:rPr>
        <w:t>Section 6.05(a)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and (y) to the extent the proceeds thereof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(A) for utilities, security deposits, leases and similar prepaid expenses incurred in the ordinary course of business and (B) trade accounts created, or prepaid expenses accrued,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(25)     non-cash Investments in connection with tax planning and reorganization activities, and Investments in connection with a Permitted Intercompany Activities and Permitted Tax Restructuring; </w:t>
      </w:r>
    </w:p>
    <w:p>
      <w:pPr>
        <w:pStyle w:val="TextBody"/>
        <w:bidi w:val="0"/>
        <w:spacing w:before="120" w:after="0"/>
        <w:jc w:val="left"/>
        <w:rPr>
          <w:rFonts w:ascii="Times New Roman" w:hAnsi="Times New Roman"/>
          <w:sz w:val="20"/>
        </w:rPr>
      </w:pPr>
      <w:r>
        <w:rPr>
          <w:rFonts w:ascii="Times New Roman" w:hAnsi="Times New Roman"/>
          <w:sz w:val="20"/>
        </w:rPr>
        <w:t xml:space="preserve">(26)     any Investment in any Subsidiary or any joint venture in connection with intercompany cash management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by an Unrestricted Subsidiary entered into prior to the day such Unrestricted Subsidiary is redesignated as a Restricted Subsidiary pursuant to the definition of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(28)     Investments (including debt obligations and equity interests) (a) in connection with Settlements, (b) in exchange for any other Investment or accounts receivable, endorsements for collection or deposit held by Bidco or any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made from casualty insurance proceeds in connection with the replacement, substitution, restoration or repair of assets on account of a Casualty Event; </w:t>
      </w:r>
    </w:p>
    <w:p>
      <w:pPr>
        <w:pStyle w:val="TextBody"/>
        <w:bidi w:val="0"/>
        <w:spacing w:before="120" w:after="0"/>
        <w:jc w:val="left"/>
        <w:rPr>
          <w:rFonts w:ascii="Times New Roman" w:hAnsi="Times New Roman"/>
          <w:sz w:val="20"/>
        </w:rPr>
      </w:pPr>
      <w:r>
        <w:rPr>
          <w:rFonts w:ascii="Times New Roman" w:hAnsi="Times New Roman"/>
          <w:sz w:val="20"/>
        </w:rPr>
        <w:t xml:space="preserve">(30)     Investments made in the ordinary course of business in connection with obtaining, maintaining or renewing client contacts and loans or advances made to distributors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(31)    Investments arising as a result of Sale and Lease-Back Transactions.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Liens incurred or pledges, deposits or security (a) in connection with workers’ or workmen’s compensation, unemployment insurance, employers’ health tax, social security, retirement and other similar legislation, or other insurance-related obligations (including, but not limited to, in respect of deductibles, self-insured retention amounts and premiums and adjustments thereto) or (b) securing liability for reimbursement or indemnification obligations of (including obligations in respect of letters of credit or bank guarantees or similar instrument for the benefit of) insurance carriers providing property, casualty or liability insurance to Bidco or any Restricted Subsidiary or otherwise supporting the payment of items set forth in the foregoing clause (a) or (b)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p>
    <w:p>
      <w:pPr>
        <w:pStyle w:val="TextBody"/>
        <w:bidi w:val="0"/>
        <w:spacing w:before="0" w:after="0"/>
        <w:jc w:val="left"/>
        <w:rPr>
          <w:rFonts w:ascii="Times New Roman" w:hAnsi="Times New Roman"/>
          <w:sz w:val="20"/>
        </w:rPr>
      </w:pPr>
      <w:r>
        <w:rPr>
          <w:rFonts w:ascii="Times New Roman" w:hAnsi="Times New Roman"/>
          <w:sz w:val="20"/>
        </w:rPr>
        <w:t xml:space="preserve">(2)     Liens with respect to outstanding motor vehicle fines and Liens arising or imposed by law, such as landlords’, carriers’, warehousemen’s, mechanics’, materialmen’s, repairmen’s or construction contractors’ Liens and other similar Liens, in each case (a)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IFRS or (b) so long as such Liens do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other governmental charges (a) that are not overdue for a period of more than 30 days, not yet payable or subject to penalties for nonpayment that are being contested in good faith by appropriate proceedings for which adequate reserves with respect thereto are maintained on the books of the applicable Person in accordance with IFRS or (b) so long as such Liens do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(4)     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(5)     (a) survey exceptions, encumbrances, easements, ground leases, covenants, conditions, rights-of-way, licenses, servitudes, restrictions, encroachments, protrusions, by-law, reservations of, or rights of others for sewers, electric lines, telegraph and telephone lines and other similar purposes, zoning or other restrictions (including defects and irregularities in title and similar encumbrances) and other similar encumbrances and title defects or irregularities affecting real property, that, in the aggregate, do not materially interfere with the ordinary conduct of the business of Bidco and its Restricted Subsidiaries, taken as a whole, (b) rights of recapture of unused real property in favor of the seller of property set forth in customary purchase agreements and related arrangements with any governmental authority, (c) Liens arising from the right of distress enjoyed by landlords or Liens otherwise granted to landlords, in either case, to secure the payment of arrears of rent in respect of leased properties, so long as such Liens are not exercised, (d) servicing agreements, development agreements, site plan agreements and other agreements with any governmental authority pertaining to the use or development of any of the assets of the Person, </w:t>
      </w:r>
      <w:r>
        <w:rPr>
          <w:rFonts w:ascii="Times New Roman" w:hAnsi="Times New Roman"/>
          <w:sz w:val="20"/>
          <w:u w:val="single"/>
        </w:rPr>
        <w:t>provided</w:t>
      </w:r>
      <w:r>
        <w:rPr>
          <w:rFonts w:ascii="Times New Roman" w:hAnsi="Times New Roman"/>
          <w:sz w:val="20"/>
        </w:rPr>
        <w:t xml:space="preserve"> that the same are complied with in all material respects and do not materially reduce the value of the assets of the Person or materially interfere with the use of such assets in the operation of the business of such Person, (e) the reservations in any original grants from the crown of any land or interest therein and statutory exceptions to title and (f) other Liens on real property (including ground leases in respect of real property on which facilities owned or leased by Bidco or any of the Restricted Subsidiaries are located); </w:t>
      </w:r>
    </w:p>
    <w:p>
      <w:pPr>
        <w:pStyle w:val="TextBody"/>
        <w:bidi w:val="0"/>
        <w:spacing w:before="120" w:after="0"/>
        <w:jc w:val="left"/>
        <w:rPr>
          <w:rFonts w:ascii="Times New Roman" w:hAnsi="Times New Roman"/>
          <w:sz w:val="20"/>
        </w:rPr>
      </w:pPr>
      <w:r>
        <w:rPr>
          <w:rFonts w:ascii="Times New Roman" w:hAnsi="Times New Roman"/>
          <w:sz w:val="20"/>
        </w:rPr>
        <w:t xml:space="preserve">(6)         Liens securing obligations relating to any Indebtedness permitted to be incurred pursuant to clause (i), (iii), (xi), (xii), (xvi), (xix), (xxvi), (xxix), (xxx) or (xxxi) of </w:t>
      </w:r>
      <w:r>
        <w:rPr>
          <w:rFonts w:ascii="Times New Roman" w:hAnsi="Times New Roman"/>
          <w:sz w:val="20"/>
          <w:u w:val="single"/>
        </w:rPr>
        <w:t>Section 6.01(b)</w:t>
      </w:r>
      <w:r>
        <w:rPr>
          <w:rFonts w:ascii="Times New Roman" w:hAnsi="Times New Roman"/>
          <w:sz w:val="20"/>
        </w:rPr>
        <w:t xml:space="preserve"> hereof or </w:t>
      </w:r>
      <w:r>
        <w:rPr>
          <w:rFonts w:ascii="Times New Roman" w:hAnsi="Times New Roman"/>
          <w:sz w:val="20"/>
          <w:u w:val="single"/>
        </w:rPr>
        <w:t>Section 6.01(a)</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that for purposes of this clause (6), any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p>
    <w:p>
      <w:pPr>
        <w:pStyle w:val="TextBody"/>
        <w:bidi w:val="0"/>
        <w:spacing w:before="0" w:after="0"/>
        <w:jc w:val="left"/>
        <w:rPr>
          <w:rFonts w:ascii="Times New Roman" w:hAnsi="Times New Roman"/>
          <w:sz w:val="20"/>
        </w:rPr>
      </w:pPr>
      <w:r>
        <w:rPr>
          <w:rFonts w:ascii="Times New Roman" w:hAnsi="Times New Roman"/>
          <w:sz w:val="20"/>
        </w:rPr>
        <w:t xml:space="preserve">securing obligations relating to any Indebtedness that is incurred under clause (xii) of </w:t>
      </w:r>
      <w:r>
        <w:rPr>
          <w:rFonts w:ascii="Times New Roman" w:hAnsi="Times New Roman"/>
          <w:sz w:val="20"/>
          <w:u w:val="single"/>
        </w:rPr>
        <w:t>Section 6.01(b)</w:t>
      </w:r>
      <w:r>
        <w:rPr>
          <w:rFonts w:ascii="Times New Roman" w:hAnsi="Times New Roman"/>
          <w:sz w:val="20"/>
        </w:rPr>
        <w:t xml:space="preserve"> hereof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Liens securing Indebtedness permitted to be incurred pursuant to clause (xvi) are solely on acquired property or the assets of the acquired entity, as the case may be and (b) Liens on Collateral securing Indebtedness permitted to be incurred pursuant to </w:t>
      </w:r>
      <w:r>
        <w:rPr>
          <w:rFonts w:ascii="Times New Roman" w:hAnsi="Times New Roman"/>
          <w:sz w:val="20"/>
          <w:u w:val="single"/>
        </w:rPr>
        <w:t>Section 6.01(a)</w:t>
      </w:r>
      <w:r>
        <w:rPr>
          <w:rFonts w:ascii="Times New Roman" w:hAnsi="Times New Roman"/>
          <w:sz w:val="20"/>
        </w:rPr>
        <w:t xml:space="preserve"> or (xxxi) of </w:t>
      </w:r>
      <w:r>
        <w:rPr>
          <w:rFonts w:ascii="Times New Roman" w:hAnsi="Times New Roman"/>
          <w:sz w:val="20"/>
          <w:u w:val="single"/>
        </w:rPr>
        <w:t>Section 6.01(b)</w:t>
      </w:r>
      <w:r>
        <w:rPr>
          <w:rFonts w:ascii="Times New Roman" w:hAnsi="Times New Roman"/>
          <w:sz w:val="20"/>
        </w:rPr>
        <w:t xml:space="preserve"> shall be subject to a Customary Intercreditor Agreement,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on the Effective Date and, in each case, any modifications, replacements, renewals, refinancings, or extensions thereof; </w:t>
      </w:r>
    </w:p>
    <w:p>
      <w:pPr>
        <w:pStyle w:val="TextBody"/>
        <w:bidi w:val="0"/>
        <w:spacing w:before="120" w:after="0"/>
        <w:jc w:val="left"/>
        <w:rPr>
          <w:rFonts w:ascii="Times New Roman" w:hAnsi="Times New Roman"/>
          <w:sz w:val="20"/>
        </w:rPr>
      </w:pPr>
      <w:r>
        <w:rPr>
          <w:rFonts w:ascii="Times New Roman" w:hAnsi="Times New Roman"/>
          <w:sz w:val="20"/>
        </w:rPr>
        <w:t xml:space="preserve">(8)     (a) Liens on property or shares of stock or other assets of a Person at the time such Person becomes a Subsidiary and (b) and Liens existing on property or other assets at the time of its acquisition;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are not created or incurred in connection with, or in contemplation of, such acquisition, amalgamation, merger or consolidation;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may not extend to any other property or other assets owned by Bidco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(9)     Liens (a)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or any Asset Sale permitted under this Agreement (including any letter of intent or purchase agreement with respect to such Investment or Asset Sale), (b) consisting of an agreement to dispose of any property in an Asset Sale permitted under this Agreement, in each case, solely to the extent such Investment or Asset Sale, as the case may be, would have been permitted on the date of the creation of such Lien and (c) solely on any cash earnest money deposits made by Bidco or any of its Restricted Subsidiaries in connection with any letter of intent or purchase agreement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(a) Liens securing Indebtedness or other obligations of a Restricted Subsidiary owing to Bidco or another Restricted Subsidiary permitted to be incurred in accordance with </w:t>
      </w:r>
      <w:r>
        <w:rPr>
          <w:rFonts w:ascii="Times New Roman" w:hAnsi="Times New Roman"/>
          <w:sz w:val="20"/>
          <w:u w:val="single"/>
        </w:rPr>
        <w:t>Section 6.01</w:t>
      </w:r>
      <w:r>
        <w:rPr>
          <w:rFonts w:ascii="Times New Roman" w:hAnsi="Times New Roman"/>
          <w:sz w:val="20"/>
        </w:rPr>
        <w:t xml:space="preserve"> hereof and (b) Liens on assets or property of a Restricted Subsidiary that is not a Guarantor securing Indebtedness and other obligations of any Restricted Subsidiary that is not a Guarantor; </w:t>
      </w:r>
    </w:p>
    <w:p>
      <w:pPr>
        <w:pStyle w:val="TextBody"/>
        <w:bidi w:val="0"/>
        <w:spacing w:before="120" w:after="0"/>
        <w:jc w:val="left"/>
        <w:rPr>
          <w:rFonts w:ascii="Times New Roman" w:hAnsi="Times New Roman"/>
          <w:sz w:val="20"/>
        </w:rPr>
      </w:pPr>
      <w:r>
        <w:rPr>
          <w:rFonts w:ascii="Times New Roman" w:hAnsi="Times New Roman"/>
          <w:sz w:val="20"/>
        </w:rPr>
        <w:t xml:space="preserve">(11)     (a) Liens securing Hedging Obligations or on cash or Cash Equivalents securing Hedging Obligations; </w:t>
      </w:r>
      <w:r>
        <w:rPr>
          <w:rFonts w:ascii="Times New Roman" w:hAnsi="Times New Roman"/>
          <w:sz w:val="20"/>
          <w:u w:val="single"/>
        </w:rPr>
        <w:t>provided</w:t>
      </w:r>
      <w:r>
        <w:rPr>
          <w:rFonts w:ascii="Times New Roman" w:hAnsi="Times New Roman"/>
          <w:sz w:val="20"/>
        </w:rPr>
        <w:t xml:space="preserve"> that, with respect to Hedging Obligations relating to Indebtedness, such Indebtedness is permitted under this Agreement, (b) Liens on cash and Cash Equivalents used to satisfy or discharge Indebtedness; </w:t>
      </w:r>
      <w:r>
        <w:rPr>
          <w:rFonts w:ascii="Times New Roman" w:hAnsi="Times New Roman"/>
          <w:sz w:val="20"/>
          <w:u w:val="single"/>
        </w:rPr>
        <w:t>provided</w:t>
      </w:r>
      <w:r>
        <w:rPr>
          <w:rFonts w:ascii="Times New Roman" w:hAnsi="Times New Roman"/>
          <w:sz w:val="20"/>
        </w:rPr>
        <w:t xml:space="preserve"> such satisfaction or discharge is permitted under this Agreement and (c) Liens on cash and Cash Equivalents or other marketable securities securing letters of credit of any Borrower or any Guarantor (which Indebtedness represented by such letters of credit is permitted to be incurred under this Agreement) that are cash collateralized in an amount of cash, Cash Equivalents or other marketable securities with a Fair Market Value of up to 105% of the face amount of such letters of credit being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p>
    <w:p>
      <w:pPr>
        <w:pStyle w:val="TextBody"/>
        <w:bidi w:val="0"/>
        <w:spacing w:before="0" w:after="0"/>
        <w:jc w:val="left"/>
        <w:rPr>
          <w:rFonts w:ascii="Times New Roman" w:hAnsi="Times New Roman"/>
          <w:sz w:val="20"/>
        </w:rPr>
      </w:pPr>
      <w:r>
        <w:rPr>
          <w:rFonts w:ascii="Times New Roman" w:hAnsi="Times New Roman"/>
          <w:sz w:val="20"/>
        </w:rPr>
        <w:t xml:space="preserve">(12)     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(13)     (a) leases, subleases, licenses or sublicenses granted to others in the ordinary course of business or consistent with past practice that do not materially interfere with the operation of the business of Bidco or any of its Restricted Subsidiaries, taken as a whole, (b) any interest or title of a lessor or licensee under any lease or license entered into by Bidco or any Restricted Subsidiary in the ordinary course of its business or consistent with past practice and (c) Liens arising from grants of non-exclusive licenses or sublicenses, or other similar grants of rights,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(14)     Liens arising from UCC (or equivalent statute) financing statement filings regarding operating leases or consignments entered into by Bidco and its Restricted Subsidiaries in the ordinary course of business and other Liens arising solely from precautionary UCC financing statements or similar filings; </w:t>
      </w:r>
    </w:p>
    <w:p>
      <w:pPr>
        <w:pStyle w:val="TextBody"/>
        <w:bidi w:val="0"/>
        <w:spacing w:before="120" w:after="0"/>
        <w:jc w:val="left"/>
        <w:rPr>
          <w:rFonts w:ascii="Times New Roman" w:hAnsi="Times New Roman"/>
          <w:sz w:val="20"/>
        </w:rPr>
      </w:pPr>
      <w:r>
        <w:rPr>
          <w:rFonts w:ascii="Times New Roman" w:hAnsi="Times New Roman"/>
          <w:sz w:val="20"/>
        </w:rPr>
        <w:t xml:space="preserve">(15)     Liens in favor of any Borrower or any Guarantor (including, but not limited to, Liens on any assets of Bidco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(16)     Liens on equipment or vehicles of Bidco or any of its Restricted Subsidiaries granted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(17)    Liens on accounts receivable and related assets incurred in connection with a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(6), (7), (8), and this clause (18);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new Lien shall be limited to all or part of the same property that secured the original Lien (plus improvements on such property) and the proceeds and products thereof, (b) the Indebtedness secured by such Lien at such time is not increased to any amount greater than the sum of (i) the outstanding principal amount or, if greater, committed amount of the Indebtedness described under clauses (6), (7) and (8) at the time the original Lien became a Permitted Lien under this Agreement, and (ii) an amount necessary to pay any fees and expenses, including premiums and accrued and unpaid interest, related to such modification, refinancing, refunding, extension, renewal or replacement and (c) any such new Lien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(19)     (a) deposits made or other security provided in the ordinary course of business to secure liability to insurance carriers and (b) Liens on insurance policies and the proceeds thereof securing the financing of the premiums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p>
    <w:p>
      <w:pPr>
        <w:pStyle w:val="TextBody"/>
        <w:bidi w:val="0"/>
        <w:spacing w:before="0" w:after="0"/>
        <w:jc w:val="left"/>
        <w:rPr>
          <w:rFonts w:ascii="Times New Roman" w:hAnsi="Times New Roman"/>
          <w:sz w:val="20"/>
        </w:rPr>
      </w:pPr>
      <w:r>
        <w:rPr>
          <w:rFonts w:ascii="Times New Roman" w:hAnsi="Times New Roman"/>
          <w:sz w:val="20"/>
        </w:rPr>
        <w:t xml:space="preserve">(20)    other Liens securing obligations which do not exceed the greater of $450,000,000 and 60% of Consolidated EBITDA for the most recently ended Test Period, calculated on a Pro Forma Basis, at the time of the incurrence of such Lien; </w:t>
      </w:r>
    </w:p>
    <w:p>
      <w:pPr>
        <w:pStyle w:val="TextBody"/>
        <w:bidi w:val="0"/>
        <w:spacing w:before="120" w:after="0"/>
        <w:jc w:val="left"/>
        <w:rPr>
          <w:rFonts w:ascii="Times New Roman" w:hAnsi="Times New Roman"/>
          <w:sz w:val="20"/>
        </w:rPr>
      </w:pPr>
      <w:r>
        <w:rPr>
          <w:rFonts w:ascii="Times New Roman" w:hAnsi="Times New Roman"/>
          <w:sz w:val="20"/>
        </w:rPr>
        <w:t xml:space="preserve">(21)     Liens securing, or otherwise arising from, judgments for the payment of money not constituting an Event of Default under clause (j) under </w:t>
      </w:r>
      <w:r>
        <w:rPr>
          <w:rFonts w:ascii="Times New Roman" w:hAnsi="Times New Roman"/>
          <w:sz w:val="20"/>
          <w:u w:val="single"/>
        </w:rPr>
        <w:t>Section 7.01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(23)     Liens (a) of a collection bank arising under applicable law, including Section 4-210 of the UCC, or any comparable or successor provision, on items in the course of collection; (b) attaching to pooling, commodity or securities trading accounts or other commodity or securities brokerage accounts incurred in the ordinary course of business; or (c) in favor of a banking or other financial institution or entity, or electronic payment service provider, arising as a matter of law or under customary terms and conditions encumbering deposits or other funds maintained with a financial institution (including the right of setoff) and which are within the general parameters 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 </w:t>
      </w:r>
    </w:p>
    <w:p>
      <w:pPr>
        <w:pStyle w:val="TextBody"/>
        <w:bidi w:val="0"/>
        <w:spacing w:before="120" w:after="0"/>
        <w:jc w:val="left"/>
        <w:rPr>
          <w:rFonts w:ascii="Times New Roman" w:hAnsi="Times New Roman"/>
          <w:sz w:val="20"/>
        </w:rPr>
      </w:pPr>
      <w:r>
        <w:rPr>
          <w:rFonts w:ascii="Times New Roman" w:hAnsi="Times New Roman"/>
          <w:sz w:val="20"/>
        </w:rPr>
        <w:t xml:space="preserve">(24)     Liens deemed to exist in connection with Investments in repurchase agreements permitted under </w:t>
      </w:r>
      <w:r>
        <w:rPr>
          <w:rFonts w:ascii="Times New Roman" w:hAnsi="Times New Roman"/>
          <w:sz w:val="20"/>
          <w:u w:val="single"/>
        </w:rPr>
        <w:t>Section 6.01</w:t>
      </w:r>
      <w:r>
        <w:rPr>
          <w:rFonts w:ascii="Times New Roman" w:hAnsi="Times New Roman"/>
          <w:sz w:val="20"/>
        </w:rPr>
        <w:t xml:space="preserve"> hereof, including Liens deemed to exist in connection with Investments in repurchase agreements under clause (12) of the definition of the term “Cash Equivalents”; </w:t>
      </w:r>
      <w:r>
        <w:rPr>
          <w:rFonts w:ascii="Times New Roman" w:hAnsi="Times New Roman"/>
          <w:sz w:val="20"/>
          <w:u w:val="single"/>
        </w:rPr>
        <w:t>provided</w:t>
      </w:r>
      <w:r>
        <w:rPr>
          <w:rFonts w:ascii="Times New Roman" w:hAnsi="Times New Roman"/>
          <w:sz w:val="20"/>
        </w:rPr>
        <w:t xml:space="preserve"> that such Liens do not extend to any assets other than those that are the subject of such repurchase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(25)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(26)     Liens that are contractual rights of setoff, banker’s lien, netting agreements and other Liens (a) relating to deposit accounts, securities accounts, cash management arrangements or in connection with the issuance of Indebtedness, including letters of credit, bank guarantees or other similar instruments, (b) relating to pooled deposit or sweep accounts to permit satisfaction of overdraft or similar obligations incurred in the ordinary course of business of Bidco and its Restricted Subsidiaries or (c) relating to purchase orders and other agreements entered into with customers of Bidco or any of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Settlement Liens; </w:t>
      </w:r>
    </w:p>
    <w:p>
      <w:pPr>
        <w:pStyle w:val="TextBody"/>
        <w:bidi w:val="0"/>
        <w:spacing w:before="120" w:after="0"/>
        <w:jc w:val="left"/>
        <w:rPr>
          <w:rFonts w:ascii="Times New Roman" w:hAnsi="Times New Roman"/>
          <w:sz w:val="20"/>
        </w:rPr>
      </w:pPr>
      <w:r>
        <w:rPr>
          <w:rFonts w:ascii="Times New Roman" w:hAnsi="Times New Roman"/>
          <w:sz w:val="20"/>
        </w:rPr>
        <w:t xml:space="preserve">(28)     Liens on goods the purchase price of which is financed by a documentary letter of credit issued for the account of Bidco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hAnsi="Times New Roman"/>
          <w:sz w:val="20"/>
          <w:u w:val="single"/>
        </w:rPr>
        <w:t>provided</w:t>
      </w:r>
      <w:r>
        <w:rPr>
          <w:rFonts w:ascii="Times New Roman" w:hAnsi="Times New Roman"/>
          <w:sz w:val="20"/>
        </w:rPr>
        <w:t xml:space="preserve"> that such Lien secures only the obligations of Bidco or such Subsidiaries in respect of such letter of credit to the extent such obligations are permitted under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p>
    <w:p>
      <w:pPr>
        <w:pStyle w:val="TextBody"/>
        <w:bidi w:val="0"/>
        <w:spacing w:before="0" w:after="0"/>
        <w:jc w:val="left"/>
        <w:rPr>
          <w:rFonts w:ascii="Times New Roman" w:hAnsi="Times New Roman"/>
          <w:sz w:val="20"/>
        </w:rPr>
      </w:pPr>
      <w:r>
        <w:rPr>
          <w:rFonts w:ascii="Times New Roman" w:hAnsi="Times New Roman"/>
          <w:sz w:val="20"/>
        </w:rPr>
        <w:t xml:space="preserve">(29)     (a) Liens on Equity Interests of an Unrestricted Subsidiary that secure Indebtedness or other obligations of such Unrestricted Subsidiary and (b) Liens then existing with respect to assets of an Unrestricted Subsidiary on the day such Unrestricted Subsidiary is redesignated as a Restricted Subsidiary as described under the definition of “Unrestricted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(30)     Receipt of progress payments and advances from customers in the ordinary course of business to the extent the same creates a Lien on the related inventory and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(31)    Liens on Equity Interests of any joint venture (a) securing obligations of such joint venture or (b) pursuant to the relevant joint venture agreement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(32)     Liens arising out of conditional sale, title retention, consignment or similar arrangements for the sale or purchase of goods entered into by Bidco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(33)    the rights reserved or vested in any Person by the terms of any lease, license, franchise, grant or permit held by Bidco or any Restricted Subsidiary thereof or by a statutory provision, to terminate any such lease, license, franchise, grant or permit, or to require annual or periodic payments as a condition to the continuance thereof; </w:t>
      </w:r>
    </w:p>
    <w:p>
      <w:pPr>
        <w:pStyle w:val="TextBody"/>
        <w:bidi w:val="0"/>
        <w:spacing w:before="120" w:after="0"/>
        <w:jc w:val="left"/>
        <w:rPr>
          <w:rFonts w:ascii="Times New Roman" w:hAnsi="Times New Roman"/>
          <w:sz w:val="20"/>
        </w:rPr>
      </w:pPr>
      <w:r>
        <w:rPr>
          <w:rFonts w:ascii="Times New Roman" w:hAnsi="Times New Roman"/>
          <w:sz w:val="20"/>
        </w:rPr>
        <w:t xml:space="preserve">(34)    additional Liens of Bidco or any of its Restricted Subsidiaries in an aggregate principal amount not to exceed the Available Amount that is not otherwise applied pursuant to </w:t>
      </w:r>
      <w:r>
        <w:rPr>
          <w:rFonts w:ascii="Times New Roman" w:hAnsi="Times New Roman"/>
          <w:sz w:val="20"/>
          <w:u w:val="single"/>
        </w:rPr>
        <w:t>Section 6.01(b)(xxiv)</w:t>
      </w:r>
      <w:r>
        <w:rPr>
          <w:rFonts w:ascii="Times New Roman" w:hAnsi="Times New Roman"/>
          <w:sz w:val="20"/>
        </w:rPr>
        <w:t xml:space="preserve"> and </w:t>
      </w:r>
      <w:r>
        <w:rPr>
          <w:rFonts w:ascii="Times New Roman" w:hAnsi="Times New Roman"/>
          <w:sz w:val="20"/>
          <w:u w:val="single"/>
        </w:rPr>
        <w:t>Section 6.05(a)(A)</w:t>
      </w:r>
      <w:r>
        <w:rPr>
          <w:rFonts w:ascii="Times New Roman" w:hAnsi="Times New Roman"/>
          <w:sz w:val="20"/>
        </w:rPr>
        <w:t xml:space="preserve"> as in effect immediately prior to the incurrence of such Liens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(35)     additional Liens of Bidco or any of its Restricted Subsidiaries in an aggregate principal amount that does not exceed the amount of Excluded Contributions made since the Effective Date that is not otherwise applied pursuant to </w:t>
      </w:r>
      <w:r>
        <w:rPr>
          <w:rFonts w:ascii="Times New Roman" w:hAnsi="Times New Roman"/>
          <w:sz w:val="20"/>
          <w:u w:val="single"/>
        </w:rPr>
        <w:t>Section 6.01(b)(xxv)</w:t>
      </w:r>
      <w:r>
        <w:rPr>
          <w:rFonts w:ascii="Times New Roman" w:hAnsi="Times New Roman"/>
          <w:sz w:val="20"/>
        </w:rPr>
        <w:t xml:space="preserve"> and </w:t>
      </w:r>
      <w:r>
        <w:rPr>
          <w:rFonts w:ascii="Times New Roman" w:hAnsi="Times New Roman"/>
          <w:sz w:val="20"/>
          <w:u w:val="single"/>
        </w:rPr>
        <w:t>Section 6.05(b)(x)</w:t>
      </w:r>
      <w:r>
        <w:rPr>
          <w:rFonts w:ascii="Times New Roman" w:hAnsi="Times New Roman"/>
          <w:sz w:val="20"/>
        </w:rPr>
        <w:t xml:space="preserve"> as in effect immediately prior to the incurrence of such Liens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(36)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(37)    [reserved]; </w:t>
      </w:r>
    </w:p>
    <w:p>
      <w:pPr>
        <w:pStyle w:val="TextBody"/>
        <w:bidi w:val="0"/>
        <w:spacing w:before="120" w:after="0"/>
        <w:jc w:val="left"/>
        <w:rPr>
          <w:rFonts w:ascii="Times New Roman" w:hAnsi="Times New Roman"/>
          <w:sz w:val="20"/>
        </w:rPr>
      </w:pPr>
      <w:r>
        <w:rPr>
          <w:rFonts w:ascii="Times New Roman" w:hAnsi="Times New Roman"/>
          <w:sz w:val="20"/>
        </w:rPr>
        <w:t xml:space="preserve">(38)    Liens arising in connection with any Permitted Intercompany Activities and Permitted Tax Restructuring; and </w:t>
      </w:r>
    </w:p>
    <w:p>
      <w:pPr>
        <w:pStyle w:val="TextBody"/>
        <w:bidi w:val="0"/>
        <w:spacing w:before="120" w:after="0"/>
        <w:jc w:val="left"/>
        <w:rPr>
          <w:rFonts w:ascii="Times New Roman" w:hAnsi="Times New Roman"/>
          <w:sz w:val="20"/>
        </w:rPr>
      </w:pPr>
      <w:r>
        <w:rPr>
          <w:rFonts w:ascii="Times New Roman" w:hAnsi="Times New Roman"/>
          <w:sz w:val="20"/>
        </w:rPr>
        <w:t xml:space="preserve">(39)    Liens in connection with Sale and Lease-Back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Permitted Lien meets the criteria of more than one of the types of Permitted Liens (at the time of incurrence or at a later date), Bidco in its sole discretion may divide,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p>
    <w:p>
      <w:pPr>
        <w:pStyle w:val="TextBody"/>
        <w:bidi w:val="0"/>
        <w:spacing w:before="0" w:after="0"/>
        <w:jc w:val="left"/>
        <w:rPr>
          <w:rFonts w:ascii="Times New Roman" w:hAnsi="Times New Roman"/>
          <w:sz w:val="20"/>
        </w:rPr>
      </w:pPr>
      <w:r>
        <w:rPr>
          <w:rFonts w:ascii="Times New Roman" w:hAnsi="Times New Roman"/>
          <w:sz w:val="20"/>
        </w:rPr>
        <w:t xml:space="preserve">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 </w:t>
      </w:r>
    </w:p>
    <w:p>
      <w:pPr>
        <w:pStyle w:val="TextBody"/>
        <w:bidi w:val="0"/>
        <w:spacing w:before="240" w:after="0"/>
        <w:jc w:val="left"/>
        <w:rPr/>
      </w:pPr>
      <w:r>
        <w:rPr/>
        <w:t>“</w:t>
      </w:r>
      <w:r>
        <w:rPr>
          <w:rFonts w:ascii="Times New Roman" w:hAnsi="Times New Roman"/>
          <w:sz w:val="20"/>
          <w:u w:val="single"/>
        </w:rPr>
        <w:t>Permitted Parent</w:t>
      </w:r>
      <w:r>
        <w:rPr>
          <w:rFonts w:ascii="Times New Roman" w:hAnsi="Times New Roman"/>
          <w:sz w:val="20"/>
        </w:rPr>
        <w:t xml:space="preserve">” means any direct or indirect parent entity of Bidco (other than a Person formed in connection with, or in contemplation of, a Change of Control transaction that results in a modification of the beneficial ownership of Bidco) that beneficially owns Equity Interests representing 100% of the aggregate ordinary voting power represented by the issued and outstanding Equity Interests of Bidco, </w:t>
      </w:r>
      <w:r>
        <w:rPr>
          <w:rFonts w:ascii="Times New Roman" w:hAnsi="Times New Roman"/>
          <w:sz w:val="20"/>
          <w:u w:val="single"/>
        </w:rPr>
        <w:t>provided</w:t>
      </w:r>
      <w:r>
        <w:rPr>
          <w:rFonts w:ascii="Times New Roman" w:hAnsi="Times New Roman"/>
          <w:sz w:val="20"/>
        </w:rPr>
        <w:t xml:space="preserve"> that the ultimate beneficial ownership of Bidco has not been modified by the transaction by which such parent entity became the beneficial owner of Equity Interests representing 100% of the aggregate ordinary voting power represented by the issued and outstanding Equity Interests of Bidco. </w:t>
      </w:r>
    </w:p>
    <w:p>
      <w:pPr>
        <w:pStyle w:val="TextBody"/>
        <w:bidi w:val="0"/>
        <w:spacing w:before="240" w:after="0"/>
        <w:jc w:val="left"/>
        <w:rPr/>
      </w:pPr>
      <w:r>
        <w:rPr/>
        <w:t>“</w:t>
      </w:r>
      <w:r>
        <w:rPr>
          <w:rFonts w:ascii="Times New Roman" w:hAnsi="Times New Roman"/>
          <w:sz w:val="20"/>
          <w:u w:val="single"/>
        </w:rPr>
        <w:t>Permitted Tax Restructuring</w:t>
      </w:r>
      <w:r>
        <w:rPr>
          <w:rFonts w:ascii="Times New Roman" w:hAnsi="Times New Roman"/>
          <w:sz w:val="20"/>
        </w:rPr>
        <w:t xml:space="preserve">” means any reorganizations and other activities related to Tax planning and Tax reorganization entered into prior to, on or after the date hereof so long as such Permitted Tax Restructuring is not materially adverse to the Lenders (as determined by Bidco acting reasonably).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 </w:t>
      </w:r>
    </w:p>
    <w:p>
      <w:pPr>
        <w:pStyle w:val="TextBody"/>
        <w:bidi w:val="0"/>
        <w:spacing w:before="240" w:after="0"/>
        <w:jc w:val="left"/>
        <w:rPr/>
      </w:pPr>
      <w:r>
        <w:rPr/>
        <w:t>“</w:t>
      </w:r>
      <w:r>
        <w:rPr>
          <w:rFonts w:ascii="Times New Roman" w:hAnsi="Times New Roman"/>
          <w:sz w:val="20"/>
          <w:u w:val="single"/>
        </w:rPr>
        <w:t>Planned Expenditures</w:t>
      </w:r>
      <w:r>
        <w:rPr>
          <w:rFonts w:ascii="Times New Roman" w:hAnsi="Times New Roman"/>
          <w:sz w:val="20"/>
        </w:rPr>
        <w:t xml:space="preserve">” has the meaning assigned to such term in the definition of “Excess Cash Flow”.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Post-Transaction Period</w:t>
      </w:r>
      <w:r>
        <w:rPr>
          <w:rFonts w:ascii="Times New Roman" w:hAnsi="Times New Roman"/>
          <w:sz w:val="20"/>
        </w:rPr>
        <w:t xml:space="preserve">” means, with respect to any Specified Transaction, the period beginning on the date such Specified Transaction is consummated and ending on the last day of the eighth full consecutive fiscal quarter immediately following the date on which such Specified Transaction is consummated. </w:t>
      </w:r>
    </w:p>
    <w:p>
      <w:pPr>
        <w:pStyle w:val="TextBody"/>
        <w:bidi w:val="0"/>
        <w:spacing w:before="240" w:after="0"/>
        <w:jc w:val="left"/>
        <w:rPr/>
      </w:pPr>
      <w:r>
        <w:rPr/>
        <w:t>“</w:t>
      </w:r>
      <w:r>
        <w:rPr>
          <w:rFonts w:ascii="Times New Roman" w:hAnsi="Times New Roman"/>
          <w:sz w:val="20"/>
          <w:u w:val="single"/>
        </w:rPr>
        <w:t>Potential Rollover Instruments</w:t>
      </w:r>
      <w:r>
        <w:rPr>
          <w:rFonts w:ascii="Times New Roman" w:hAnsi="Times New Roman"/>
          <w:sz w:val="20"/>
        </w:rPr>
        <w:t xml:space="preserve">” means the Convertible Bonds. </w:t>
      </w:r>
    </w:p>
    <w:p>
      <w:pPr>
        <w:pStyle w:val="TextBody"/>
        <w:bidi w:val="0"/>
        <w:spacing w:before="240" w:after="0"/>
        <w:jc w:val="left"/>
        <w:rPr/>
      </w:pPr>
      <w:r>
        <w:rPr/>
        <w:t>“</w:t>
      </w:r>
      <w:r>
        <w:rPr>
          <w:rFonts w:ascii="Times New Roman" w:hAnsi="Times New Roman"/>
          <w:sz w:val="20"/>
          <w:u w:val="single"/>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non-ordinary course sale, transfer or other disposition of any Collateral permitted by </w:t>
      </w:r>
      <w:r>
        <w:rPr>
          <w:rFonts w:ascii="Times New Roman" w:hAnsi="Times New Roman"/>
          <w:sz w:val="20"/>
          <w:u w:val="single"/>
        </w:rPr>
        <w:t>Section 6.04(a)</w:t>
      </w:r>
      <w:r>
        <w:rPr>
          <w:rFonts w:ascii="Times New Roman" w:hAnsi="Times New Roman"/>
          <w:sz w:val="20"/>
        </w:rPr>
        <w:t xml:space="preserve"> and clause (1) of the definition of Asset Sale other than dispositions resulting in aggregate Net Proceeds not exceeding (A) $150,000,000 in the case of any single transaction or series of related transactions and (B) $300,000,000 for all such transactions during any fiscal year of Bidco; or </w:t>
      </w:r>
    </w:p>
    <w:p>
      <w:pPr>
        <w:pStyle w:val="TextBody"/>
        <w:bidi w:val="0"/>
        <w:spacing w:before="240" w:after="0"/>
        <w:jc w:val="left"/>
        <w:rPr>
          <w:rFonts w:ascii="Times New Roman" w:hAnsi="Times New Roman"/>
          <w:sz w:val="20"/>
        </w:rPr>
      </w:pPr>
      <w:r>
        <w:rPr>
          <w:rFonts w:ascii="Times New Roman" w:hAnsi="Times New Roman"/>
          <w:sz w:val="20"/>
        </w:rPr>
        <w:t xml:space="preserve">(b)    the incurrence by Bidco or any of the Restricted Subsidiaries of any Indebtedness, other than Indebtedness permitted under </w:t>
      </w:r>
      <w:r>
        <w:rPr>
          <w:rFonts w:ascii="Times New Roman" w:hAnsi="Times New Roman"/>
          <w:sz w:val="20"/>
          <w:u w:val="single"/>
        </w:rPr>
        <w:t>Section 6.01</w:t>
      </w:r>
      <w:r>
        <w:rPr>
          <w:rFonts w:ascii="Times New Roman" w:hAnsi="Times New Roman"/>
          <w:sz w:val="20"/>
        </w:rPr>
        <w:t xml:space="preserve"> (other than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p>
    <w:p>
      <w:pPr>
        <w:pStyle w:val="TextBody"/>
        <w:bidi w:val="0"/>
        <w:spacing w:before="0" w:after="0"/>
        <w:jc w:val="left"/>
        <w:rPr>
          <w:rFonts w:ascii="Times New Roman" w:hAnsi="Times New Roman"/>
          <w:sz w:val="20"/>
        </w:rPr>
      </w:pPr>
      <w:r>
        <w:rPr>
          <w:rFonts w:ascii="Times New Roman" w:hAnsi="Times New Roman"/>
          <w:sz w:val="20"/>
        </w:rPr>
        <w:t xml:space="preserve">Refinancing Indebtedness, Other Term Loans, Other Revolving Loans and Other Revolving Commitments which shall constitute a Prepayment Event to the extent required by the definition of “Credit Agreement Refinancing Indebtedness”) or permitted by the Required Lenders pursuant to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Prepayment Notice</w:t>
      </w:r>
      <w:r>
        <w:rPr>
          <w:rFonts w:ascii="Times New Roman" w:hAnsi="Times New Roman"/>
          <w:sz w:val="20"/>
        </w:rPr>
        <w:t xml:space="preserve">” means a notice of prepayment by Bidco or a Borrower in accordance with </w:t>
      </w:r>
      <w:r>
        <w:rPr>
          <w:rFonts w:ascii="Times New Roman" w:hAnsi="Times New Roman"/>
          <w:sz w:val="20"/>
          <w:u w:val="single"/>
        </w:rPr>
        <w:t>Section 2.10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w:t>
      </w:r>
    </w:p>
    <w:p>
      <w:pPr>
        <w:pStyle w:val="TextBody"/>
        <w:bidi w:val="0"/>
        <w:spacing w:before="240" w:after="0"/>
        <w:jc w:val="left"/>
        <w:rPr/>
      </w:pPr>
      <w:r>
        <w:rPr/>
        <w:t>“</w:t>
      </w:r>
      <w:r>
        <w:rPr>
          <w:rFonts w:ascii="Times New Roman" w:hAnsi="Times New Roman"/>
          <w:sz w:val="20"/>
          <w:u w:val="single"/>
        </w:rPr>
        <w:t>Pro Forma Adjustment</w:t>
      </w:r>
      <w:r>
        <w:rPr>
          <w:rFonts w:ascii="Times New Roman" w:hAnsi="Times New Roman"/>
          <w:sz w:val="20"/>
        </w:rPr>
        <w:t xml:space="preserve">” means, for any relevant period that includes all or any part of a fiscal quarter included in any Post-Transaction Period with respect to the Acquired EBITDA of the applicable Pro Forma Entity or the Consolidated EBITDA of Bidco, the pro forma increase or decrease in such Acquired EBITDA or such Consolidated EBITDA, as the case may be, projected by Bidco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Bidco and the Restricted Subsidiaries; </w:t>
      </w:r>
      <w:r>
        <w:rPr>
          <w:rFonts w:ascii="Times New Roman" w:hAnsi="Times New Roman"/>
          <w:sz w:val="20"/>
          <w:u w:val="single"/>
        </w:rPr>
        <w:t>provided</w:t>
      </w:r>
      <w:r>
        <w:rPr>
          <w:rFonts w:ascii="Times New Roman" w:hAnsi="Times New Roman"/>
          <w:sz w:val="20"/>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period, or such additional costs will be incurred during the entirety of such period, (B) any Pro Forma Adjustment to Consolidated EBITDA shall be certified by a Financial Officer, the chief executive officer or president of Bidco or a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period.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w:t>
      </w:r>
      <w:r>
        <w:rPr>
          <w:rFonts w:ascii="Times New Roman" w:hAnsi="Times New Roman"/>
          <w:sz w:val="20"/>
          <w:u w:val="single"/>
        </w:rPr>
        <w:t>Pro Forma Compliance</w:t>
      </w:r>
      <w:r>
        <w:rPr>
          <w:rFonts w:ascii="Times New Roman" w:hAnsi="Times New Roman"/>
          <w:sz w:val="20"/>
        </w:rPr>
        <w:t>” and “</w:t>
      </w:r>
      <w:r>
        <w:rPr>
          <w:rFonts w:ascii="Times New Roman" w:hAnsi="Times New Roman"/>
          <w:sz w:val="20"/>
          <w:u w:val="single"/>
        </w:rPr>
        <w:t>Pro Forma Effect</w:t>
      </w:r>
      <w:r>
        <w:rPr>
          <w:rFonts w:ascii="Times New Roman" w:hAnsi="Times New Roman"/>
          <w:sz w:val="20"/>
        </w:rPr>
        <w:t xml:space="preserve">”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Bidco or any division, product line, or facility used for operations of Bidco or any of its Subsidiaries, shall be excluded and (B) in the case of a Permitted Acquisition or Investment described in the definition of “Specified Transaction,” shall be included, (ii) any retirement of Indebtedness, and (iii) any Indebtedness incurred or assumed by Bidco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p>
    <w:p>
      <w:pPr>
        <w:pStyle w:val="TextBody"/>
        <w:bidi w:val="0"/>
        <w:spacing w:before="0" w:after="0"/>
        <w:jc w:val="left"/>
        <w:rPr>
          <w:rFonts w:ascii="Times New Roman" w:hAnsi="Times New Roman"/>
          <w:sz w:val="20"/>
        </w:rPr>
      </w:pPr>
      <w:r>
        <w:rPr>
          <w:rFonts w:ascii="Times New Roman" w:hAnsi="Times New Roman"/>
          <w:sz w:val="20"/>
        </w:rPr>
        <w:t xml:space="preserve">Indebtedness during the applicable period; </w:t>
      </w:r>
      <w:r>
        <w:rPr>
          <w:rFonts w:ascii="Times New Roman" w:hAnsi="Times New Roman"/>
          <w:sz w:val="20"/>
          <w:u w:val="single"/>
        </w:rPr>
        <w:t>provided</w:t>
      </w:r>
      <w:r>
        <w:rPr>
          <w:rFonts w:ascii="Times New Roman" w:hAnsi="Times New Roman"/>
          <w:sz w:val="20"/>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Bidco or any of its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 </w:t>
      </w:r>
    </w:p>
    <w:p>
      <w:pPr>
        <w:pStyle w:val="TextBody"/>
        <w:bidi w:val="0"/>
        <w:spacing w:before="240" w:after="0"/>
        <w:jc w:val="left"/>
        <w:rPr/>
      </w:pPr>
      <w:r>
        <w:rPr/>
        <w:t>“</w:t>
      </w:r>
      <w:r>
        <w:rPr>
          <w:rFonts w:ascii="Times New Roman" w:hAnsi="Times New Roman"/>
          <w:sz w:val="20"/>
          <w:u w:val="single"/>
        </w:rPr>
        <w:t>Pro Forma Disposal Adjustment</w:t>
      </w:r>
      <w:r>
        <w:rPr>
          <w:rFonts w:ascii="Times New Roman" w:hAnsi="Times New Roman"/>
          <w:sz w:val="20"/>
        </w:rPr>
        <w:t xml:space="preserve">” means, for any relevant period that includes all or a portion of a fiscal quarter included in any Post-Transaction Period with respect to any Sold Entity or Business, the pro forma increase or decrease in Consolidated EBITDA projected by Bidco in good faith as a result of contractual arrangements between Bidco or any Restricted Subsidiary entered into with such Sold Entity or Business at the time of its disposal or within the Post-Transaction Period and which represents an increase or decrease in Consolidated EBITDA which is incremental to the Disposed EBITDA of such Sold Entity or Business for such period. </w:t>
      </w:r>
    </w:p>
    <w:p>
      <w:pPr>
        <w:pStyle w:val="TextBody"/>
        <w:bidi w:val="0"/>
        <w:spacing w:before="240" w:after="0"/>
        <w:jc w:val="left"/>
        <w:rPr/>
      </w:pPr>
      <w:r>
        <w:rPr/>
        <w:t>“</w:t>
      </w:r>
      <w:r>
        <w:rPr>
          <w:rFonts w:ascii="Times New Roman" w:hAnsi="Times New Roman"/>
          <w:sz w:val="20"/>
          <w:u w:val="single"/>
        </w:rPr>
        <w:t>Pro Forma Entity</w:t>
      </w:r>
      <w:r>
        <w:rPr>
          <w:rFonts w:ascii="Times New Roman" w:hAnsi="Times New Roman"/>
          <w:sz w:val="20"/>
        </w:rPr>
        <w:t xml:space="preserve">” has the meaning given to such term in the definition of “Acquired EBITDA.” </w:t>
      </w:r>
    </w:p>
    <w:p>
      <w:pPr>
        <w:pStyle w:val="TextBody"/>
        <w:bidi w:val="0"/>
        <w:spacing w:before="240" w:after="0"/>
        <w:jc w:val="left"/>
        <w:rPr/>
      </w:pPr>
      <w:r>
        <w:rPr/>
        <w:t>“</w:t>
      </w:r>
      <w:r>
        <w:rPr>
          <w:rFonts w:ascii="Times New Roman" w:hAnsi="Times New Roman"/>
          <w:sz w:val="20"/>
          <w:u w:val="single"/>
        </w:rPr>
        <w:t>Proposed Change</w:t>
      </w:r>
      <w:r>
        <w:rPr>
          <w:rFonts w:ascii="Times New Roman" w:hAnsi="Times New Roman"/>
          <w:sz w:val="20"/>
        </w:rPr>
        <w:t xml:space="preserve">” has the meaning assigned to such term in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Company Costs</w:t>
      </w:r>
      <w:r>
        <w:rPr>
          <w:rFonts w:ascii="Times New Roman" w:hAnsi="Times New Roman"/>
          <w:sz w:val="20"/>
        </w:rPr>
        <w:t xml:space="preserve">” means, as to Bidco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assigned to such term in the last paragraph of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Qualified Equity Interests</w:t>
      </w:r>
      <w:r>
        <w:rPr>
          <w:rFonts w:ascii="Times New Roman" w:hAnsi="Times New Roman"/>
          <w:sz w:val="20"/>
        </w:rPr>
        <w:t xml:space="preserve">” means Equity Interests of Holdings or Bidco other than Disqualified Equity Interests. </w:t>
      </w:r>
    </w:p>
    <w:p>
      <w:pPr>
        <w:pStyle w:val="TextBody"/>
        <w:bidi w:val="0"/>
        <w:spacing w:before="240" w:after="0"/>
        <w:jc w:val="left"/>
        <w:rPr/>
      </w:pPr>
      <w:r>
        <w:rPr/>
        <w:t>“</w:t>
      </w:r>
      <w:r>
        <w:rPr>
          <w:rFonts w:ascii="Times New Roman" w:hAnsi="Times New Roman"/>
          <w:sz w:val="20"/>
          <w:u w:val="single"/>
        </w:rPr>
        <w:t>Qualified Proceeds</w:t>
      </w:r>
      <w:r>
        <w:rPr>
          <w:rFonts w:ascii="Times New Roman" w:hAnsi="Times New Roman"/>
          <w:sz w:val="20"/>
        </w:rPr>
        <w:t xml:space="preserve">” means assets that are used or useful in, or Equity Interests of any Person engaged in, a Similar Business; </w:t>
      </w:r>
      <w:r>
        <w:rPr>
          <w:rFonts w:ascii="Times New Roman" w:hAnsi="Times New Roman"/>
          <w:sz w:val="20"/>
          <w:u w:val="single"/>
        </w:rPr>
        <w:t>provided</w:t>
      </w:r>
      <w:r>
        <w:rPr>
          <w:rFonts w:ascii="Times New Roman" w:hAnsi="Times New Roman"/>
          <w:sz w:val="20"/>
        </w:rPr>
        <w:t xml:space="preserve"> that the fair market value of any such assets or Equity Interests shall be determined by a Responsible Officer of Bidco or a Borrower in good faith. </w:t>
      </w:r>
    </w:p>
    <w:p>
      <w:pPr>
        <w:pStyle w:val="TextBody"/>
        <w:bidi w:val="0"/>
        <w:spacing w:before="240" w:after="0"/>
        <w:jc w:val="left"/>
        <w:rPr/>
      </w:pPr>
      <w:r>
        <w:rPr/>
        <w:t>“</w:t>
      </w:r>
      <w:r>
        <w:rPr>
          <w:rFonts w:ascii="Times New Roman" w:hAnsi="Times New Roman"/>
          <w:sz w:val="20"/>
          <w:u w:val="single"/>
        </w:rPr>
        <w:t>Qualifying Lender</w:t>
      </w:r>
      <w:r>
        <w:rPr>
          <w:rFonts w:ascii="Times New Roman" w:hAnsi="Times New Roman"/>
          <w:sz w:val="20"/>
        </w:rPr>
        <w:t xml:space="preserve">” has the meaning assigned to such term in </w:t>
      </w:r>
      <w:r>
        <w:rPr>
          <w:rFonts w:ascii="Times New Roman" w:hAnsi="Times New Roman"/>
          <w:sz w:val="20"/>
          <w:u w:val="single"/>
        </w:rPr>
        <w:t>Section 2.10(a)(ii)(D)(3)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p>
    <w:p>
      <w:pPr>
        <w:pStyle w:val="TextBody"/>
        <w:bidi w:val="0"/>
        <w:spacing w:before="0" w:after="0"/>
        <w:jc w:val="left"/>
        <w:rPr/>
      </w:pPr>
      <w:r>
        <w:rPr/>
        <w:t>“</w:t>
      </w:r>
      <w:r>
        <w:rPr>
          <w:rFonts w:ascii="Times New Roman" w:hAnsi="Times New Roman"/>
          <w:sz w:val="20"/>
          <w:u w:val="single"/>
        </w:rPr>
        <w:t>Receivables Assets</w:t>
      </w:r>
      <w:r>
        <w:rPr>
          <w:rFonts w:ascii="Times New Roman" w:hAnsi="Times New Roman"/>
          <w:sz w:val="20"/>
        </w:rPr>
        <w:t xml:space="preserve">” means accounts receivable, royalty and other similar rights to payment and any other assets related thereto subject to a Receivables Facility that are customarily sold or pledged in connection with receivables transactions and the proceeds thereof. </w:t>
      </w:r>
    </w:p>
    <w:p>
      <w:pPr>
        <w:pStyle w:val="TextBody"/>
        <w:bidi w:val="0"/>
        <w:spacing w:before="240" w:after="0"/>
        <w:jc w:val="left"/>
        <w:rPr/>
      </w:pPr>
      <w:r>
        <w:rPr/>
        <w:t>“</w:t>
      </w:r>
      <w:r>
        <w:rPr>
          <w:rFonts w:ascii="Times New Roman" w:hAnsi="Times New Roman"/>
          <w:sz w:val="20"/>
          <w:u w:val="single"/>
        </w:rPr>
        <w:t>Receivables Facility</w:t>
      </w:r>
      <w:r>
        <w:rPr>
          <w:rFonts w:ascii="Times New Roman" w:hAnsi="Times New Roman"/>
          <w:sz w:val="20"/>
        </w:rPr>
        <w:t xml:space="preserve">” means any of one or more receivables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Bidco or any of its Restricted Subsidiaries (other than a Receivables Subsidiary) pursuant to which Bidco or any of its Restricted Subsidiaries sells or grants a security interest in its accounts receivable or assets related thereto that are customarily sold or pledged in connection with securitization transactions to either (a) a Person that is not a Restricted Subsidiary or (b) a Receivables Subsidiary that in turn sells its accounts receivable to a Person that is not a Restricted Subsidiary. </w:t>
      </w:r>
    </w:p>
    <w:p>
      <w:pPr>
        <w:pStyle w:val="TextBody"/>
        <w:bidi w:val="0"/>
        <w:spacing w:before="240" w:after="0"/>
        <w:jc w:val="left"/>
        <w:rPr/>
      </w:pPr>
      <w:r>
        <w:rPr/>
        <w:t>“</w:t>
      </w:r>
      <w:r>
        <w:rPr>
          <w:rFonts w:ascii="Times New Roman" w:hAnsi="Times New Roman"/>
          <w:sz w:val="20"/>
          <w:u w:val="single"/>
        </w:rPr>
        <w:t>Receivables Fees</w:t>
      </w:r>
      <w:r>
        <w:rPr>
          <w:rFonts w:ascii="Times New Roman" w:hAnsi="Times New Roman"/>
          <w:sz w:val="20"/>
        </w:rPr>
        <w:t xml:space="preserve">” 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 </w:t>
      </w:r>
    </w:p>
    <w:p>
      <w:pPr>
        <w:pStyle w:val="TextBody"/>
        <w:bidi w:val="0"/>
        <w:spacing w:before="240" w:after="0"/>
        <w:jc w:val="left"/>
        <w:rPr/>
      </w:pPr>
      <w:r>
        <w:rPr/>
        <w:t>“</w:t>
      </w:r>
      <w:r>
        <w:rPr>
          <w:rFonts w:ascii="Times New Roman" w:hAnsi="Times New Roman"/>
          <w:sz w:val="20"/>
          <w:u w:val="single"/>
        </w:rPr>
        <w:t>Receivables Subsidiary</w:t>
      </w:r>
      <w:r>
        <w:rPr>
          <w:rFonts w:ascii="Times New Roman" w:hAnsi="Times New Roman"/>
          <w:sz w:val="20"/>
        </w:rPr>
        <w:t xml:space="preserve">” means any Subsidiary formed for the purpose of, and that solely engages only in, one or more Receivables Facilities and other activities reasonably related or incidental thereto. </w:t>
      </w:r>
    </w:p>
    <w:p>
      <w:pPr>
        <w:pStyle w:val="TextBody"/>
        <w:bidi w:val="0"/>
        <w:spacing w:before="240" w:after="0"/>
        <w:jc w:val="left"/>
        <w:rPr/>
      </w:pPr>
      <w:r>
        <w:rPr/>
        <w:t>“</w:t>
      </w:r>
      <w:r>
        <w:rPr>
          <w:rFonts w:ascii="Times New Roman" w:hAnsi="Times New Roman"/>
          <w:sz w:val="20"/>
          <w:u w:val="single"/>
        </w:rPr>
        <w:t>Recruitment Notes</w:t>
      </w:r>
      <w:r>
        <w:rPr>
          <w:rFonts w:ascii="Times New Roman" w:hAnsi="Times New Roman"/>
          <w:sz w:val="20"/>
        </w:rPr>
        <w:t xml:space="preserve">” means forgivable promissory notes issued from time to time by a Restricted Subsidiary to certain employees or financial advisors in the ordinary course of business.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Reference Time” means, with respect to any setting of the then-current Benchmark means (1) if such Benchmark is Term SOFR, 5:00 p.m. (New York City time) on the day that is two Business Days preceding the date of such setting, (2) if such Benchmark is the Adjusted LIBO Rate in respect of Loans denominated in Euros, 11:00 a.m. (Brussels time) on the day that is two Business Days preceding the date of such setting, (3) if such Benchmark is the Adjusted LIBO Rate in respect of Loans denominated in Yen, 11:00 a.m. (Tokyo time) on the day that is two Business Days preceding the date of such setting; (4) if such Benchmark is the Adjusted LIBO Rate in respect of Loans denominated in Canadian Dollars, 11:00 a.m. (Toronto time) on the day that is two Business Days preceding the date of such setting, (5) if such Benchmark is SONIA, 11:00 a.m. (London time) on the day that is two Business Days preceding the date of such setting and (6) with respect to any other Benchmark, the time determined by the Administrative Agent in its reasonable discretion.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Refinanced Debt</w:t>
      </w:r>
      <w:r>
        <w:rPr>
          <w:rFonts w:ascii="Times New Roman" w:hAnsi="Times New Roman"/>
          <w:sz w:val="20"/>
        </w:rPr>
        <w:t xml:space="preserve">” has the meaning assigned to such term in the definition of “Credit Agreement Refinancing Indebtedness.” </w:t>
      </w:r>
    </w:p>
    <w:p>
      <w:pPr>
        <w:pStyle w:val="TextBody"/>
        <w:bidi w:val="0"/>
        <w:spacing w:before="240" w:after="0"/>
        <w:jc w:val="left"/>
        <w:rPr/>
      </w:pPr>
      <w:r>
        <w:rPr/>
        <w:t>“</w:t>
      </w:r>
      <w:r>
        <w:rPr>
          <w:rFonts w:ascii="Times New Roman" w:hAnsi="Times New Roman"/>
          <w:sz w:val="20"/>
          <w:u w:val="single"/>
        </w:rPr>
        <w:t>Refinancing</w:t>
      </w:r>
      <w:r>
        <w:rPr>
          <w:rFonts w:ascii="Times New Roman" w:hAnsi="Times New Roman"/>
          <w:sz w:val="20"/>
        </w:rPr>
        <w:t xml:space="preserve">” means, collectively, (a) the refinancing of all Target Refinancing Indebtedness on or prior to the Target Debt Refinancing Outside Date and the termination of all commitments and Liens thereunder (or in the case of letters of credit, replaced, backstopped or incorporated or “grandfathered” into the Revolving Facility) and (b) to the extent that Bidco elects prior to the Target Debt Refinancing Outside Date that any portion of the Potential Rollover Instruments shall remain outstanding in accordance with the definition of “Target Debt Refinancing Indebtedness”, the reduction (without duplication) of Initial Term Commitments in an aggregate amount equal to the Rolled Over Amounts in accordance with </w:t>
      </w:r>
      <w:r>
        <w:rPr>
          <w:rFonts w:ascii="Times New Roman" w:hAnsi="Times New Roman"/>
          <w:sz w:val="20"/>
          <w:u w:val="single"/>
        </w:rPr>
        <w:t>Section 2.07(a)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p>
    <w:p>
      <w:pPr>
        <w:pStyle w:val="TextBody"/>
        <w:bidi w:val="0"/>
        <w:spacing w:before="0" w:after="0"/>
        <w:jc w:val="left"/>
        <w:rPr/>
      </w:pPr>
      <w:r>
        <w:rPr/>
        <w:t>“</w:t>
      </w:r>
      <w:r>
        <w:rPr>
          <w:rFonts w:ascii="Times New Roman" w:hAnsi="Times New Roman"/>
          <w:sz w:val="20"/>
          <w:u w:val="single"/>
        </w:rPr>
        <w:t>Refinancing Amendment</w:t>
      </w:r>
      <w:r>
        <w:rPr>
          <w:rFonts w:ascii="Times New Roman" w:hAnsi="Times New Roman"/>
          <w:sz w:val="20"/>
        </w:rPr>
        <w:t xml:space="preserve">” means an amendment to this Agreement in form and substance reasonably satisfactory to the Administrative Agent and Bidco executed by each of (a) the Borrowers, Bidco and Holdings, (b) the Administrative Agent and (c) each Additional Lender and Lender that agrees to provide any portion of the Credit Agreement Refinancing Indebtedness being incurred pursuant thereto, in accordance with </w:t>
      </w:r>
      <w:r>
        <w:rPr>
          <w:rFonts w:ascii="Times New Roman" w:hAnsi="Times New Roman"/>
          <w:sz w:val="20"/>
          <w:u w:val="single"/>
        </w:rPr>
        <w:t>Section 2.20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Indebtedness</w:t>
      </w:r>
      <w:r>
        <w:rPr>
          <w:rFonts w:ascii="Times New Roman" w:hAnsi="Times New Roman"/>
          <w:sz w:val="20"/>
        </w:rPr>
        <w:t xml:space="preserve">” has the meaning assigned to such term in </w:t>
      </w:r>
      <w:r>
        <w:rPr>
          <w:rFonts w:ascii="Times New Roman" w:hAnsi="Times New Roman"/>
          <w:sz w:val="20"/>
          <w:u w:val="single"/>
        </w:rPr>
        <w:t>Section 6.01(b)(xii)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Refunding Capital Stock</w:t>
      </w:r>
      <w:r>
        <w:rPr>
          <w:rFonts w:ascii="Times New Roman" w:hAnsi="Times New Roman"/>
          <w:sz w:val="20"/>
        </w:rPr>
        <w:t xml:space="preserve">” has the meaning assigned to such term in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9.04(b)(iv)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Registered Equivalent Notes</w:t>
      </w:r>
      <w:r>
        <w:rPr>
          <w:rFonts w:ascii="Times New Roman" w:hAnsi="Times New Roman"/>
          <w:sz w:val="20"/>
        </w:rPr>
        <w:t xml:space="preserve">”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 </w:t>
      </w:r>
    </w:p>
    <w:p>
      <w:pPr>
        <w:pStyle w:val="TextBody"/>
        <w:bidi w:val="0"/>
        <w:spacing w:before="240" w:after="0"/>
        <w:jc w:val="left"/>
        <w:rPr/>
      </w:pPr>
      <w:r>
        <w:rPr/>
        <w:t>“</w:t>
      </w:r>
      <w:r>
        <w:rPr>
          <w:rFonts w:ascii="Times New Roman" w:hAnsi="Times New Roman"/>
          <w:sz w:val="20"/>
          <w:u w:val="single"/>
        </w:rPr>
        <w:t>Reinvestment Period</w:t>
      </w:r>
      <w:r>
        <w:rPr>
          <w:rFonts w:ascii="Times New Roman" w:hAnsi="Times New Roman"/>
          <w:sz w:val="20"/>
        </w:rPr>
        <w:t xml:space="preserve">” shall mean 450 days following the date of receipt of Net Proceeds in respect of any Prepayment Event described in clause (a) of the definition thereof.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and permitted successors and assigns of each of the foregoing.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the environment within any building or any occupied structure, facility or fixture.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Relevant Governmental Body” shall mean (i) with respect to a Benchmark Replacement in respect of Loans denominated in U.S.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and (iii)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Relevant Rate” means (i) with respect to any Term Benchmark Borrowing denominated in U.S. Dollars, Term SOFR, (ii) with respect to any SONIA Rate Borrowing denominated in Sterling, the SONIA Rate and (iii) with respect to any Eurodollar Borrowing in an Alternative Currency other than Sterling, such reference rate for loans or deposits in such currency for such Interest Period as the Administrative Agent and the Borrower shall agree in writing, as applicable.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Relevant Screen Rate” means with respect to any Term Benchmark Borrowing denominated in U.S. Dollars, the Term SOFR Reference Rate.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Repricing Transaction</w:t>
      </w:r>
      <w:r>
        <w:rPr>
          <w:rFonts w:ascii="Times New Roman" w:hAnsi="Times New Roman"/>
          <w:sz w:val="20"/>
        </w:rPr>
        <w:t xml:space="preserve">” means (a) the incurrence by any Borrower or any Guarantor of any Indebtedness in the form of term loans equal in right of payment to the Loan Document Obligations and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that are broadly syndicated to banks and other institutional investors (i) for the primary purpose (as reasonably determined by Bidco) of reducing the Effective Yield for the respective Type of such Indebtedness to less than the Effective Yield for the Amendment No. 1 Refinancing Term Loans of the respective equivalent Type, but excluding Indebtedness incurred in connection with (A) a Change of Control, (B) an IPO or (C) any material acquisition, merger or consolidation, material Investment, material Asset Sale or material Restricted Payment and (ii) the proceeds of which are used to prepay (or, in the case of a conversion, deemed to prepay or replace), in whole or in part, outstanding principal of Amendment No. 1 Refinancing Term Loans or (b) any amendment of this Agreement for the primary purpose of reducing the Effective Yield for the Amendment No. 1 Refinancing Term Loans (</w:t>
      </w:r>
      <w:r>
        <w:rPr>
          <w:rFonts w:ascii="Times New Roman" w:hAnsi="Times New Roman"/>
          <w:sz w:val="20"/>
          <w:u w:val="single"/>
        </w:rPr>
        <w:t>e.g.</w:t>
      </w:r>
      <w:r>
        <w:rPr>
          <w:rFonts w:ascii="Times New Roman" w:hAnsi="Times New Roman"/>
          <w:sz w:val="20"/>
        </w:rPr>
        <w:t xml:space="preserve">, by way of amendment, waiver or otherwise), except for a reduction in connection with (A) a Change of Control, (B) an IPO or (C) any material acquisition, merger or consolidation, material Investment, material Asset Sale or material Restricted Payment. Any determination by the Administrative Agent with respect to whether a Repricing Transaction shall have occurred shall be conclusive and binding on all Lenders holding the Term Loans. </w:t>
      </w:r>
    </w:p>
    <w:p>
      <w:pPr>
        <w:pStyle w:val="TextBody"/>
        <w:bidi w:val="0"/>
        <w:spacing w:before="240" w:after="0"/>
        <w:jc w:val="left"/>
        <w:rPr/>
      </w:pPr>
      <w:r>
        <w:rPr/>
        <w:t>“</w:t>
      </w:r>
      <w:r>
        <w:rPr>
          <w:rFonts w:ascii="Times New Roman" w:hAnsi="Times New Roman"/>
          <w:sz w:val="20"/>
          <w:u w:val="single"/>
        </w:rPr>
        <w:t>Required Additional Debt Terms</w:t>
      </w:r>
      <w:r>
        <w:rPr>
          <w:rFonts w:ascii="Times New Roman" w:hAnsi="Times New Roman"/>
          <w:sz w:val="20"/>
        </w:rPr>
        <w:t xml:space="preserve">” means with respect to any Indebtedness, (a) such Indebtedness (other than any Designated Earlier Maturing Debt)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(b) such Indebtedness (other than any Designated Earlier Maturing Debt) does not have a shorter Weighted Average Life to Maturity than the remaining Amendment No. 1 Refinancing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such remaining Amendment No. 1 Refinancing Term Loans), (c) such Indebtedness (other than any Designated Alternative Security Debt) is not guaranteed by any entity that is not a Loan Party, (d) if secured, such Indebtedness (other than any Designated Alternative Security Debt) (i) is not secured by any assets other than Collateral and (ii) is subject to a Customary Intercreditor Agreement(s) and (e) the other terms and conditions of such Indebtedness shall be as agreed between the borrower of such Indebtedness and the parties providing any such Indebtedness.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Term Loans and Revolving Exposures of, and the unused Commitments of, each Defaulting Lender shall be excluded for purposes of making a determination of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p>
    <w:p>
      <w:pPr>
        <w:pStyle w:val="TextBody"/>
        <w:bidi w:val="0"/>
        <w:spacing w:before="0" w:after="0"/>
        <w:jc w:val="left"/>
        <w:rPr/>
      </w:pPr>
      <w:r>
        <w:rPr/>
        <w:t>“</w:t>
      </w:r>
      <w:r>
        <w:rPr>
          <w:rFonts w:ascii="Times New Roman" w:hAnsi="Times New Roman"/>
          <w:sz w:val="20"/>
          <w:u w:val="single"/>
        </w:rPr>
        <w:t>Required Revolving Lenders</w:t>
      </w:r>
      <w:r>
        <w:rPr>
          <w:rFonts w:ascii="Times New Roman" w:hAnsi="Times New Roman"/>
          <w:sz w:val="20"/>
        </w:rPr>
        <w:t xml:space="preserve">” means, at any time, Revolving Lenders having Revolving Exposures and unused Revolving Commitments (exclusive of Swingline Commitments) representing more than 50% of the aggregate Revolving Exposures and unused Revolving Commitments (exclusive of Swingline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Revolving Exposures of, and the unused Revolving Commitments of, each Defaulting Lender, shall be excluded for purposes of making a determination of Required Revolving Lenders. </w:t>
      </w:r>
    </w:p>
    <w:p>
      <w:pPr>
        <w:pStyle w:val="TextBody"/>
        <w:bidi w:val="0"/>
        <w:spacing w:before="240" w:after="0"/>
        <w:jc w:val="left"/>
        <w:rPr/>
      </w:pPr>
      <w:r>
        <w:rPr/>
        <w:t>“</w:t>
      </w:r>
      <w:r>
        <w:rPr>
          <w:rFonts w:ascii="Times New Roman" w:hAnsi="Times New Roman"/>
          <w:sz w:val="20"/>
          <w:u w:val="single"/>
        </w:rPr>
        <w:t>Required Term Lenders</w:t>
      </w:r>
      <w:r>
        <w:rPr>
          <w:rFonts w:ascii="Times New Roman" w:hAnsi="Times New Roman"/>
          <w:sz w:val="20"/>
        </w:rPr>
        <w:t xml:space="preserve">” means, at any time, Term Lenders having Term Loans and unused Term Commitments representing more than 50% of the aggregate outstanding Term Loans and unused Term Commitments at such time; </w:t>
      </w:r>
      <w:r>
        <w:rPr>
          <w:rFonts w:ascii="Times New Roman" w:hAnsi="Times New Roman"/>
          <w:sz w:val="20"/>
          <w:u w:val="single"/>
        </w:rPr>
        <w:t>provided</w:t>
      </w:r>
      <w:r>
        <w:rPr>
          <w:rFonts w:ascii="Times New Roman" w:hAnsi="Times New Roman"/>
          <w:sz w:val="20"/>
        </w:rPr>
        <w:t xml:space="preserve"> that to the extent set forth in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9.04</w:t>
      </w:r>
      <w:r>
        <w:rPr>
          <w:rFonts w:ascii="Times New Roman" w:hAnsi="Times New Roman"/>
          <w:sz w:val="20"/>
        </w:rPr>
        <w:t xml:space="preserve"> whenever there are one or more Defaulting Lenders, the total outstanding Term Loans of, and the unused Term Commitments of, each Defaulting Lender shall be excluded for purposes of making a determination of Required Term Lenders. </w:t>
      </w:r>
    </w:p>
    <w:p>
      <w:pPr>
        <w:pStyle w:val="TextBody"/>
        <w:bidi w:val="0"/>
        <w:spacing w:before="240" w:after="0"/>
        <w:jc w:val="left"/>
        <w:rPr/>
      </w:pPr>
      <w:r>
        <w:rPr/>
        <w:t>“</w:t>
      </w:r>
      <w:r>
        <w:rPr>
          <w:rFonts w:ascii="Times New Roman" w:hAnsi="Times New Roman"/>
          <w:sz w:val="20"/>
          <w:u w:val="single"/>
        </w:rPr>
        <w:t>Requirements of Law</w:t>
      </w:r>
      <w:r>
        <w:rPr>
          <w:rFonts w:ascii="Times New Roman" w:hAnsi="Times New Roman"/>
          <w:sz w:val="20"/>
        </w:rPr>
        <w:t xml:space="preserve">”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Reserved Indebtedness Amount</w:t>
      </w:r>
      <w:r>
        <w:rPr>
          <w:rFonts w:ascii="Times New Roman" w:hAnsi="Times New Roman"/>
          <w:sz w:val="20"/>
        </w:rPr>
        <w:t xml:space="preserve">” has the meaning assigned to such term in </w:t>
      </w:r>
      <w:r>
        <w:rPr>
          <w:rFonts w:ascii="Times New Roman" w:hAnsi="Times New Roman"/>
          <w:sz w:val="20"/>
          <w:u w:val="single"/>
        </w:rPr>
        <w:t>Section 6.01(c)(iii)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assigned to such term in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sz w:val="20"/>
          <w:u w:val="single"/>
        </w:rPr>
        <w:t>Restricted Debt Payment</w:t>
      </w:r>
      <w:r>
        <w:rPr>
          <w:rFonts w:ascii="Times New Roman" w:hAnsi="Times New Roman"/>
          <w:sz w:val="20"/>
        </w:rPr>
        <w:t xml:space="preserve">” has the meaning assigned to such term in </w:t>
      </w:r>
      <w:r>
        <w:rPr>
          <w:rFonts w:ascii="Times New Roman" w:hAnsi="Times New Roman"/>
          <w:sz w:val="20"/>
          <w:u w:val="single"/>
        </w:rPr>
        <w:t>Section 6.05(a).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has the meaning assigned to such term in </w:t>
      </w:r>
      <w:r>
        <w:rPr>
          <w:rFonts w:ascii="Times New Roman" w:hAnsi="Times New Roman"/>
          <w:sz w:val="20"/>
          <w:u w:val="single"/>
        </w:rPr>
        <w:t>Section 6.05(a)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Bidco that is a U.S. Restricted Subsidiary or a Non-U.S. Restricted Subsidiary. </w:t>
      </w:r>
    </w:p>
    <w:p>
      <w:pPr>
        <w:pStyle w:val="TextBody"/>
        <w:bidi w:val="0"/>
        <w:spacing w:before="240" w:after="0"/>
        <w:jc w:val="left"/>
        <w:rPr/>
      </w:pPr>
      <w:r>
        <w:rPr/>
        <w:t>“</w:t>
      </w:r>
      <w:r>
        <w:rPr>
          <w:rFonts w:ascii="Times New Roman" w:hAnsi="Times New Roman"/>
          <w:sz w:val="20"/>
          <w:u w:val="single"/>
        </w:rPr>
        <w:t>Retained Declined Proceeds</w:t>
      </w:r>
      <w:r>
        <w:rPr>
          <w:rFonts w:ascii="Times New Roman" w:hAnsi="Times New Roman"/>
          <w:sz w:val="20"/>
        </w:rPr>
        <w:t xml:space="preserve">” has the meaning assigned to such term in </w:t>
      </w:r>
      <w:r>
        <w:rPr>
          <w:rFonts w:ascii="Times New Roman" w:hAnsi="Times New Roman"/>
          <w:sz w:val="20"/>
          <w:u w:val="single"/>
        </w:rPr>
        <w:t>Section 2.10(e)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Revaluation Date</w:t>
      </w:r>
      <w:r>
        <w:rPr>
          <w:rFonts w:ascii="Times New Roman" w:hAnsi="Times New Roman"/>
          <w:sz w:val="20"/>
        </w:rPr>
        <w:t xml:space="preserve">” means (a) the date of delivery of each Borrowing Request for a Revolving Borrowing in an Alternative Currency, (b) the date of issuance (and extension or renewal, at the discretion of the Administrative Agent and/or any Issuing Bank) of any Letter of Credit denominated in an Alternative Currency, (c) the date of conversion or continuation of any Revolving Borrowing denominated in an Alternative Currency or (d) such additional dates as the Administrative Agent may reasonably specify.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p>
    <w:p>
      <w:pPr>
        <w:pStyle w:val="TextBody"/>
        <w:bidi w:val="0"/>
        <w:spacing w:before="0" w:after="0"/>
        <w:jc w:val="left"/>
        <w:rPr/>
      </w:pPr>
      <w:r>
        <w:rPr/>
        <w:t>“</w:t>
      </w:r>
      <w:r>
        <w:rPr>
          <w:rFonts w:ascii="Times New Roman" w:hAnsi="Times New Roman"/>
          <w:sz w:val="20"/>
          <w:u w:val="single"/>
        </w:rPr>
        <w:t>Revolving Availability Period</w:t>
      </w:r>
      <w:r>
        <w:rPr>
          <w:rFonts w:ascii="Times New Roman" w:hAnsi="Times New Roman"/>
          <w:sz w:val="20"/>
        </w:rPr>
        <w:t xml:space="preserve">” means the period from and including the Effective Date to but excluding the earlier of the Revolving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Revolving 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(i) assignments by or to such Lender pursuant to an Assignment and Assumption, (ii) a Refinancing Amendment, (iii) an Incremental Revolving Commitment Increase, (iv) a Loan Modification Agreement or (v) an Additional/Replacement Revolving Commitment. The initial amount of each Lender’s Revolving Commitment is set forth on </w:t>
      </w:r>
      <w:r>
        <w:rPr>
          <w:rFonts w:ascii="Times New Roman" w:hAnsi="Times New Roman"/>
          <w:sz w:val="20"/>
          <w:u w:val="single"/>
        </w:rPr>
        <w:t>Schedule 2.01</w:t>
      </w:r>
      <w:r>
        <w:rPr>
          <w:rFonts w:ascii="Times New Roman" w:hAnsi="Times New Roman"/>
          <w:sz w:val="20"/>
        </w:rPr>
        <w:t xml:space="preserve">, or in the Assignment and Assumption, Incremental Facility Amendment, Loan Modification Agreement or Refinancing Amendment pursuant to which such Lender shall have assumed its Revolving Commitment, as the case may be. The aggregate amount of the Lenders’ Revolving Commitments on the Effective Date is $700,000,000. </w:t>
      </w:r>
    </w:p>
    <w:p>
      <w:pPr>
        <w:pStyle w:val="TextBody"/>
        <w:bidi w:val="0"/>
        <w:spacing w:before="240" w:after="0"/>
        <w:jc w:val="left"/>
        <w:rPr/>
      </w:pPr>
      <w:r>
        <w:rPr/>
        <w:t>“</w:t>
      </w:r>
      <w:r>
        <w:rPr>
          <w:rFonts w:ascii="Times New Roman" w:hAnsi="Times New Roman"/>
          <w:sz w:val="20"/>
          <w:u w:val="single"/>
        </w:rPr>
        <w:t>Revolving Exposure</w:t>
      </w:r>
      <w:r>
        <w:rPr>
          <w:rFonts w:ascii="Times New Roman" w:hAnsi="Times New Roman"/>
          <w:sz w:val="20"/>
        </w:rPr>
        <w:t xml:space="preserve">” means, with respect to any Revolving Lender at any time, the sum of the outstanding principal amount of such Revolving Lender’s Revolving Loans, its LC Exposure and its Swingline Exposure at such time.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means at any time, the aggregate amount of Revolving Commitments at such time. </w:t>
      </w:r>
    </w:p>
    <w:p>
      <w:pPr>
        <w:pStyle w:val="TextBody"/>
        <w:bidi w:val="0"/>
        <w:spacing w:before="240" w:after="0"/>
        <w:jc w:val="left"/>
        <w:rPr/>
      </w:pPr>
      <w:r>
        <w:rPr/>
        <w:t>“</w:t>
      </w:r>
      <w:r>
        <w:rPr>
          <w:rFonts w:ascii="Times New Roman" w:hAnsi="Times New Roman"/>
          <w:sz w:val="20"/>
          <w:u w:val="single"/>
        </w:rPr>
        <w:t>Revolving Lender</w:t>
      </w:r>
      <w:r>
        <w:rPr>
          <w:rFonts w:ascii="Times New Roman" w:hAnsi="Times New Roman"/>
          <w:sz w:val="20"/>
        </w:rPr>
        <w:t xml:space="preserve">” means a Lender with a Revolving Commitment or, if the Revolving Commitments have terminated or expired, a Lender with Revolving Exposure. </w:t>
      </w:r>
    </w:p>
    <w:p>
      <w:pPr>
        <w:pStyle w:val="TextBody"/>
        <w:bidi w:val="0"/>
        <w:spacing w:before="240" w:after="0"/>
        <w:jc w:val="left"/>
        <w:rPr/>
      </w:pPr>
      <w:r>
        <w:rPr/>
        <w:t>“</w:t>
      </w:r>
      <w:r>
        <w:rPr>
          <w:rFonts w:ascii="Times New Roman" w:hAnsi="Times New Roman"/>
          <w:sz w:val="20"/>
          <w:u w:val="single"/>
        </w:rPr>
        <w:t>Revolving Loan</w:t>
      </w:r>
      <w:r>
        <w:rPr>
          <w:rFonts w:ascii="Times New Roman" w:hAnsi="Times New Roman"/>
          <w:sz w:val="20"/>
        </w:rPr>
        <w:t xml:space="preserve">” means a Loan made pursuant to clause (b) of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Maturity Date</w:t>
      </w:r>
      <w:r>
        <w:rPr>
          <w:rFonts w:ascii="Times New Roman" w:hAnsi="Times New Roman"/>
          <w:sz w:val="20"/>
        </w:rPr>
        <w:t xml:space="preserve">” means (i) December 12, 2024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RFR” shall mean SONIA.</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RFR Business Day” shall mean any day except for (a) a Saturday, (b) a Sunday or</w:t>
      </w:r>
      <w:r>
        <w:rPr>
          <w:rFonts w:ascii="Times New Roman" w:hAnsi="Times New Roman"/>
          <w:sz w:val="20"/>
        </w:rPr>
        <w:t xml:space="preserve"> </w:t>
      </w:r>
      <w:r>
        <w:rPr>
          <w:rFonts w:ascii="Times New Roman" w:hAnsi="Times New Roman"/>
          <w:color w:val="0000FF"/>
          <w:sz w:val="20"/>
          <w:u w:val="single"/>
          <w:bdr w:val="double" w:sz="2" w:space="1" w:color="000000"/>
        </w:rPr>
        <w:t>(c) a day on which banks are closed for general business in London.</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RFR Interest Day” shall have the meaning assigned to such term in the definition of “Daily Simple RFR”.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p>
    <w:p>
      <w:pPr>
        <w:pStyle w:val="TextBody"/>
        <w:bidi w:val="0"/>
        <w:spacing w:before="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RFR Interest Payment” means, in respect of any interest period in relation to an RFR Loan, the aggregate amount of interest that is, or is scheduled to become, payable under any Loan Document.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RFR Loan” shall mean a Loan that bears interest at a rate based on Daily Simple RFR.</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RFR Lookback Day ” shall have the meaning assigned to such term in the definition of “Daily Simple RFR”.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Rolled Over Amounts</w:t>
      </w:r>
      <w:r>
        <w:rPr>
          <w:rFonts w:ascii="Times New Roman" w:hAnsi="Times New Roman"/>
          <w:sz w:val="20"/>
        </w:rPr>
        <w:t xml:space="preserve">” means, with respect to any portion of the Potential Rollover Instruments that Bidco elects prior to the Target Debt Refinancing Outside Date shall remain outstanding in accordance with the definition of “Target Refinancing Indebtedness”, the principal amount outstanding under such portion of the Potential Rollover Instruments. </w:t>
      </w:r>
    </w:p>
    <w:p>
      <w:pPr>
        <w:pStyle w:val="TextBody"/>
        <w:bidi w:val="0"/>
        <w:spacing w:before="240" w:after="0"/>
        <w:jc w:val="left"/>
        <w:rPr/>
      </w:pPr>
      <w:r>
        <w:rPr/>
        <w:t>“</w:t>
      </w:r>
      <w:r>
        <w:rPr>
          <w:rFonts w:ascii="Times New Roman" w:hAnsi="Times New Roman"/>
          <w:sz w:val="20"/>
          <w:u w:val="single"/>
        </w:rPr>
        <w:t>Satellite</w:t>
      </w:r>
      <w:r>
        <w:rPr>
          <w:rFonts w:ascii="Times New Roman" w:hAnsi="Times New Roman"/>
          <w:sz w:val="20"/>
        </w:rPr>
        <w:t xml:space="preserve">” shall mean any satellite owned by, or leased to, Bidco or any other Loan Party and any satellite purchased by a Loan Party pursuant to the terms of a Satellite Purchase Agreement, whether such satellite is in the process of manufacture, has been delivered for launch or is in orbit (whether or not in operational service). </w:t>
      </w:r>
    </w:p>
    <w:p>
      <w:pPr>
        <w:pStyle w:val="TextBody"/>
        <w:bidi w:val="0"/>
        <w:spacing w:before="240" w:after="0"/>
        <w:jc w:val="left"/>
        <w:rPr/>
      </w:pPr>
      <w:r>
        <w:rPr/>
        <w:t>“</w:t>
      </w:r>
      <w:r>
        <w:rPr>
          <w:rFonts w:ascii="Times New Roman" w:hAnsi="Times New Roman"/>
          <w:sz w:val="20"/>
          <w:u w:val="single"/>
        </w:rPr>
        <w:t>Satellite Collateral</w:t>
      </w:r>
      <w:r>
        <w:rPr>
          <w:rFonts w:ascii="Times New Roman" w:hAnsi="Times New Roman"/>
          <w:sz w:val="20"/>
        </w:rPr>
        <w:t xml:space="preserve">” means, collectively, (a) any Satellite owned by a Loan Party, (b) all material Intellectual Property necessary for the relevant Loan Party to own and operate any Satellite system, ground segment or transmission network related thereto and (c) any launch or in-orbit insurance proceeds related to the forgoing. </w:t>
      </w:r>
    </w:p>
    <w:p>
      <w:pPr>
        <w:pStyle w:val="TextBody"/>
        <w:bidi w:val="0"/>
        <w:spacing w:before="240" w:after="0"/>
        <w:jc w:val="left"/>
        <w:rPr/>
      </w:pPr>
      <w:r>
        <w:rPr/>
        <w:t>“</w:t>
      </w:r>
      <w:r>
        <w:rPr>
          <w:rFonts w:ascii="Times New Roman" w:hAnsi="Times New Roman"/>
          <w:sz w:val="20"/>
          <w:u w:val="single"/>
        </w:rPr>
        <w:t>Satellite Manufacturer</w:t>
      </w:r>
      <w:r>
        <w:rPr>
          <w:rFonts w:ascii="Times New Roman" w:hAnsi="Times New Roman"/>
          <w:sz w:val="20"/>
        </w:rPr>
        <w:t xml:space="preserve">” shall mean, with respect to any Satellite, the prime contractor and manufacturer of such Satellite. </w:t>
      </w:r>
    </w:p>
    <w:p>
      <w:pPr>
        <w:pStyle w:val="TextBody"/>
        <w:bidi w:val="0"/>
        <w:spacing w:before="240" w:after="0"/>
        <w:jc w:val="left"/>
        <w:rPr/>
      </w:pPr>
      <w:r>
        <w:rPr/>
        <w:t>“</w:t>
      </w:r>
      <w:r>
        <w:rPr>
          <w:rFonts w:ascii="Times New Roman" w:hAnsi="Times New Roman"/>
          <w:sz w:val="20"/>
          <w:u w:val="single"/>
        </w:rPr>
        <w:t>Satellite Purchase Agreement</w:t>
      </w:r>
      <w:r>
        <w:rPr>
          <w:rFonts w:ascii="Times New Roman" w:hAnsi="Times New Roman"/>
          <w:sz w:val="20"/>
        </w:rPr>
        <w:t xml:space="preserve">” shall mean, with respect to any Satellite, each agreement between the applicable Satellite Purchaser and the applicable Satellite Manufacturer relating to the manufacture, testing and delivery of such Satellite. </w:t>
      </w:r>
    </w:p>
    <w:p>
      <w:pPr>
        <w:pStyle w:val="TextBody"/>
        <w:bidi w:val="0"/>
        <w:spacing w:before="240" w:after="0"/>
        <w:jc w:val="left"/>
        <w:rPr/>
      </w:pPr>
      <w:r>
        <w:rPr/>
        <w:t>“</w:t>
      </w:r>
      <w:r>
        <w:rPr>
          <w:rFonts w:ascii="Times New Roman" w:hAnsi="Times New Roman"/>
          <w:sz w:val="20"/>
          <w:u w:val="single"/>
        </w:rPr>
        <w:t>Satellite Purchaser</w:t>
      </w:r>
      <w:r>
        <w:rPr>
          <w:rFonts w:ascii="Times New Roman" w:hAnsi="Times New Roman"/>
          <w:sz w:val="20"/>
        </w:rPr>
        <w:t xml:space="preserve">” shall mean Bidco or any Loan Party that is a party to a Satellite Purchase Agreement or launch services agreement, as the case may be.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and any successor to its rating agency business. </w:t>
      </w:r>
    </w:p>
    <w:p>
      <w:pPr>
        <w:pStyle w:val="TextBody"/>
        <w:bidi w:val="0"/>
        <w:spacing w:before="240" w:after="0"/>
        <w:jc w:val="left"/>
        <w:rPr/>
      </w:pPr>
      <w:r>
        <w:rPr/>
        <w:t>“</w:t>
      </w:r>
      <w:r>
        <w:rPr>
          <w:rFonts w:ascii="Times New Roman" w:hAnsi="Times New Roman"/>
          <w:sz w:val="20"/>
          <w:u w:val="single"/>
        </w:rPr>
        <w:t>Sale and Lease-Back Transaction</w:t>
      </w:r>
      <w:r>
        <w:rPr>
          <w:rFonts w:ascii="Times New Roman" w:hAnsi="Times New Roman"/>
          <w:sz w:val="20"/>
        </w:rPr>
        <w:t xml:space="preserve">” means any arrangement providing for the leasing by Bidco or any of its Restricted Subsidiaries of any real or tangible personal property, which property has been or is to be sold or transferred by Bidco or such Restricted Subsidiary to a third Person in contemplation of such leasing.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or territory with which dealings are broadly restricted, prohibited, or made sanctionable under any Sanctions (as of the date of this Agreement, the Crimea region of Ukraine, Cuba, Iran, North Korea and Syria).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sanctions administered or enforced by the United States Government (including without limitation, sanctions enforced by the United States Department of Treasury’s Office of Foreign Assets Control), the United Nations Security Council, the European Union, any European Union member state in which Holdings, Bidco, the Borrowers or a Restricted Subsidiary is organized, located or operates, or Her Majesty’s Treasury of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p>
    <w:p>
      <w:pPr>
        <w:pStyle w:val="TextBody"/>
        <w:bidi w:val="0"/>
        <w:spacing w:before="0" w:after="0"/>
        <w:jc w:val="left"/>
        <w:rPr/>
      </w:pPr>
      <w:r>
        <w:rPr/>
        <w:t>“</w:t>
      </w:r>
      <w:r>
        <w:rPr>
          <w:rFonts w:ascii="Times New Roman" w:hAnsi="Times New Roman"/>
          <w:sz w:val="20"/>
          <w:u w:val="single"/>
        </w:rPr>
        <w:t>Scheme</w:t>
      </w:r>
      <w:r>
        <w:rPr>
          <w:rFonts w:ascii="Times New Roman" w:hAnsi="Times New Roman"/>
          <w:sz w:val="20"/>
        </w:rPr>
        <w:t xml:space="preserve">” means the scheme of arrangement effected pursuant to Part 26 of the Companies Act 2006 proposed by the Company to its shareholders to implement the Acquisition and approved on May 10, 2019 by the requisite majority of the Company’s shareholders pursuant to which Bidco will, subject to the occurrence of the Scheme Effective Date, become the holder of the Target Shares that are the subject of that scheme of arrangement. </w:t>
      </w:r>
    </w:p>
    <w:p>
      <w:pPr>
        <w:pStyle w:val="TextBody"/>
        <w:bidi w:val="0"/>
        <w:spacing w:before="240" w:after="0"/>
        <w:jc w:val="left"/>
        <w:rPr/>
      </w:pPr>
      <w:r>
        <w:rPr/>
        <w:t>“</w:t>
      </w:r>
      <w:r>
        <w:rPr>
          <w:rFonts w:ascii="Times New Roman" w:hAnsi="Times New Roman"/>
          <w:sz w:val="20"/>
          <w:u w:val="single"/>
        </w:rPr>
        <w:t>Scheme Circular</w:t>
      </w:r>
      <w:r>
        <w:rPr>
          <w:rFonts w:ascii="Times New Roman" w:hAnsi="Times New Roman"/>
          <w:sz w:val="20"/>
        </w:rPr>
        <w:t xml:space="preserve">” means the circular (including any supplemental circular) dispatched by the Company to shareholders of the Company setting out the resolutions and proposals for and the terms and conditions of the Scheme. </w:t>
      </w:r>
    </w:p>
    <w:p>
      <w:pPr>
        <w:pStyle w:val="TextBody"/>
        <w:bidi w:val="0"/>
        <w:spacing w:before="240" w:after="0"/>
        <w:jc w:val="left"/>
        <w:rPr/>
      </w:pPr>
      <w:r>
        <w:rPr/>
        <w:t>“</w:t>
      </w:r>
      <w:r>
        <w:rPr>
          <w:rFonts w:ascii="Times New Roman" w:hAnsi="Times New Roman"/>
          <w:sz w:val="20"/>
          <w:u w:val="single"/>
        </w:rPr>
        <w:t>Scheme Documents</w:t>
      </w:r>
      <w:r>
        <w:rPr>
          <w:rFonts w:ascii="Times New Roman" w:hAnsi="Times New Roman"/>
          <w:sz w:val="20"/>
        </w:rPr>
        <w:t xml:space="preserve">” means each of (i) the Announcement, (ii) the Scheme Circular, and (iii) the Court Order. </w:t>
      </w:r>
    </w:p>
    <w:p>
      <w:pPr>
        <w:pStyle w:val="TextBody"/>
        <w:bidi w:val="0"/>
        <w:spacing w:before="240" w:after="0"/>
        <w:jc w:val="left"/>
        <w:rPr/>
      </w:pPr>
      <w:r>
        <w:rPr/>
        <w:t>“</w:t>
      </w:r>
      <w:r>
        <w:rPr>
          <w:rFonts w:ascii="Times New Roman" w:hAnsi="Times New Roman"/>
          <w:sz w:val="20"/>
          <w:u w:val="single"/>
        </w:rPr>
        <w:t>Scheme Effective Date</w:t>
      </w:r>
      <w:r>
        <w:rPr>
          <w:rFonts w:ascii="Times New Roman" w:hAnsi="Times New Roman"/>
          <w:sz w:val="20"/>
        </w:rPr>
        <w:t xml:space="preserve">” means the date on which the Court Order sanctioning the Scheme is duly delivered on behalf of the Company to the Registrar of Companies in accordance with section 899 of the Companies Act 2006.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Second Commitment</w:t>
      </w:r>
      <w:r>
        <w:rPr>
          <w:rFonts w:ascii="Times New Roman" w:hAnsi="Times New Roman"/>
          <w:sz w:val="20"/>
        </w:rPr>
        <w:t xml:space="preserve">” has the meaning assigned to such term in </w:t>
      </w:r>
      <w:r>
        <w:rPr>
          <w:rFonts w:ascii="Times New Roman" w:hAnsi="Times New Roman"/>
          <w:sz w:val="20"/>
          <w:u w:val="single"/>
        </w:rPr>
        <w:t>Section 6.04(b)(ii)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 Lien Intercreditor Agreement</w:t>
      </w:r>
      <w:r>
        <w:rPr>
          <w:rFonts w:ascii="Times New Roman" w:hAnsi="Times New Roman"/>
          <w:sz w:val="20"/>
        </w:rPr>
        <w:t xml:space="preserve">” means the Second Lien Intercreditor Agreement substantially in the form of </w:t>
      </w:r>
      <w:r>
        <w:rPr>
          <w:rFonts w:ascii="Times New Roman" w:hAnsi="Times New Roman"/>
          <w:sz w:val="20"/>
          <w:u w:val="single"/>
        </w:rPr>
        <w:t>Exhibit G</w:t>
      </w:r>
      <w:r>
        <w:rPr>
          <w:rFonts w:ascii="Times New Roman" w:hAnsi="Times New Roman"/>
          <w:sz w:val="20"/>
        </w:rPr>
        <w:t xml:space="preserve"> among the Administrative Agent and one or more Senior Representatives for holders of Indebtedness permitted by this Agreement to be secured by the Collateral. </w:t>
      </w:r>
    </w:p>
    <w:p>
      <w:pPr>
        <w:pStyle w:val="TextBody"/>
        <w:bidi w:val="0"/>
        <w:spacing w:before="240" w:after="0"/>
        <w:jc w:val="left"/>
        <w:rPr/>
      </w:pPr>
      <w:r>
        <w:rPr/>
        <w:t>“</w:t>
      </w:r>
      <w:r>
        <w:rPr>
          <w:rFonts w:ascii="Times New Roman" w:hAnsi="Times New Roman"/>
          <w:sz w:val="20"/>
          <w:u w:val="single"/>
        </w:rPr>
        <w:t>Secured Cash Management Obligations</w:t>
      </w:r>
      <w:r>
        <w:rPr>
          <w:rFonts w:ascii="Times New Roman" w:hAnsi="Times New Roman"/>
          <w:sz w:val="20"/>
        </w:rPr>
        <w:t xml:space="preserve">” means the due and punctual payment and performance of all obligations of Holdings, Bidco, any Borrower and the Restricted Subsidiaries in respect of any overdraft and related liabilities arising from treasury, depository, cash pooling arrangements and cash management services, corporate credit and purchasing cards and related programs or any automated clearing house transfers of funds provided to Bidco, any Borrower or any Subsidiary (whether absolute or contingent and howsoever and whenever created, arising, evidenced or acquired (including all renewals, extensions and modifications thereof and substitutions therefor)) that are (a) owed to the Administrative Agent, a Joint Lead Arranger, a Lender or any of their respective Affiliates, (b) owed on the Effective Date to a Person that is a Lender or an Affiliate of a Lender as of the Effective Date, (c) owed to a Person that was an Agent, a Lender or an Affiliate of an Agent or Lender at the time such obligations are incurred or (d) owed to any other Person that is designated by Bidco or a Borrower by written notice to the Administrative Agent substantially in the form of </w:t>
      </w:r>
      <w:r>
        <w:rPr>
          <w:rFonts w:ascii="Times New Roman" w:hAnsi="Times New Roman"/>
          <w:sz w:val="20"/>
          <w:u w:val="single"/>
        </w:rPr>
        <w:t>Exhibit V</w:t>
      </w:r>
      <w:r>
        <w:rPr>
          <w:rFonts w:ascii="Times New Roman" w:hAnsi="Times New Roman"/>
          <w:sz w:val="20"/>
        </w:rPr>
        <w:t xml:space="preserve"> or such other form reasonably acceptable to the Administrative Agent and Bidco or a Borrower. </w:t>
      </w:r>
    </w:p>
    <w:p>
      <w:pPr>
        <w:pStyle w:val="TextBody"/>
        <w:bidi w:val="0"/>
        <w:spacing w:before="240" w:after="0"/>
        <w:jc w:val="left"/>
        <w:rPr/>
      </w:pPr>
      <w:r>
        <w:rPr/>
        <w:t>“</w:t>
      </w:r>
      <w:r>
        <w:rPr>
          <w:rFonts w:ascii="Times New Roman" w:hAnsi="Times New Roman"/>
          <w:sz w:val="20"/>
          <w:u w:val="single"/>
        </w:rPr>
        <w:t>Secured Indebtedness</w:t>
      </w:r>
      <w:r>
        <w:rPr>
          <w:rFonts w:ascii="Times New Roman" w:hAnsi="Times New Roman"/>
          <w:sz w:val="20"/>
        </w:rPr>
        <w:t xml:space="preserve">” means any Indebtedness of Bidco, any Borrower, any Guarantor or any of their Restricted Subsidiaries secured by a Lien other than Indebtedness with respect to Cash Management Obligations.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means (i) the Loan Document Obligations, (ii) the Secured Cash Management Obligations and (iii) the Secured Swap Obligations (excluding with respect to any Guarantor, Excluded Swap Obligations of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p>
    <w:p>
      <w:pPr>
        <w:pStyle w:val="TextBody"/>
        <w:bidi w:val="0"/>
        <w:spacing w:before="0" w:after="0"/>
        <w:jc w:val="left"/>
        <w:rPr/>
      </w:pPr>
      <w:r>
        <w:rPr/>
        <w:t>“</w:t>
      </w:r>
      <w:r>
        <w:rPr>
          <w:rFonts w:ascii="Times New Roman" w:hAnsi="Times New Roman"/>
          <w:sz w:val="20"/>
          <w:u w:val="single"/>
        </w:rPr>
        <w:t>Secured Parties</w:t>
      </w:r>
      <w:r>
        <w:rPr>
          <w:rFonts w:ascii="Times New Roman" w:hAnsi="Times New Roman"/>
          <w:sz w:val="20"/>
        </w:rPr>
        <w:t xml:space="preserve">” means (a) each Lender and Issuing Bank, (b) the Administrative Agent, (c) the Collateral Agent, (d) each holder of Secured Swap Obligations, (e) each holder of Secured Cash    Management Obligations,    (f) each    Joint Lead    Arranger,    (g) the    beneficiaries    of each indemnification obligation undertaken by any Loan Party under any Loan Document and (h) the permitted successors and assigns of each of the foregoing. </w:t>
      </w:r>
    </w:p>
    <w:p>
      <w:pPr>
        <w:pStyle w:val="TextBody"/>
        <w:bidi w:val="0"/>
        <w:spacing w:before="240" w:after="0"/>
        <w:jc w:val="left"/>
        <w:rPr/>
      </w:pPr>
      <w:r>
        <w:rPr/>
        <w:t>“</w:t>
      </w:r>
      <w:r>
        <w:rPr>
          <w:rFonts w:ascii="Times New Roman" w:hAnsi="Times New Roman"/>
          <w:sz w:val="20"/>
          <w:u w:val="single"/>
        </w:rPr>
        <w:t>Secured Swap Obligations</w:t>
      </w:r>
      <w:r>
        <w:rPr>
          <w:rFonts w:ascii="Times New Roman" w:hAnsi="Times New Roman"/>
          <w:sz w:val="20"/>
        </w:rPr>
        <w:t xml:space="preserve">” means the due and punctual payment and performance of all obligations of Bidco, any Borrower and the Restricted Subsidiaries under each Swap Agreement that (a) is with a counterparty that is the Administrative Agent, a Joint Lead Arranger, a Lender or any of their respective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at the time such Swap Agreement is entered into or (d) is with any other Person that is designated by Bidco or a Borrower by written notice to the Administrative Agent substantially in the form of </w:t>
      </w:r>
      <w:r>
        <w:rPr>
          <w:rFonts w:ascii="Times New Roman" w:hAnsi="Times New Roman"/>
          <w:sz w:val="20"/>
          <w:u w:val="single"/>
        </w:rPr>
        <w:t>Exhibit W</w:t>
      </w:r>
      <w:r>
        <w:rPr>
          <w:rFonts w:ascii="Times New Roman" w:hAnsi="Times New Roman"/>
          <w:sz w:val="20"/>
        </w:rPr>
        <w:t xml:space="preserve"> or such other form reasonably acceptable to the Administrative Agent and Bidco or a Borrower.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means, collectively, (a) the Collateral Agreement, (b) each Non-U.S. Security Agreement and (c) each other security agreement or pledge agreement executed and delivered pursuant to the Collateral and Guarantee Requirement, or </w:t>
      </w:r>
      <w:r>
        <w:rPr>
          <w:rFonts w:ascii="Times New Roman" w:hAnsi="Times New Roman"/>
          <w:sz w:val="20"/>
          <w:u w:val="single"/>
        </w:rPr>
        <w:t>Sections 5.11</w:t>
      </w:r>
      <w:r>
        <w:rPr>
          <w:rFonts w:ascii="Times New Roman" w:hAnsi="Times New Roman"/>
          <w:sz w:val="20"/>
        </w:rPr>
        <w:t xml:space="preserve">, </w:t>
      </w:r>
      <w:r>
        <w:rPr>
          <w:rFonts w:ascii="Times New Roman" w:hAnsi="Times New Roman"/>
          <w:sz w:val="20"/>
          <w:u w:val="single"/>
        </w:rPr>
        <w:t>5.12</w:t>
      </w:r>
      <w:r>
        <w:rPr>
          <w:rFonts w:ascii="Times New Roman" w:hAnsi="Times New Roman"/>
          <w:sz w:val="20"/>
        </w:rPr>
        <w:t xml:space="preserve"> or </w:t>
      </w:r>
      <w:r>
        <w:rPr>
          <w:rFonts w:ascii="Times New Roman" w:hAnsi="Times New Roman"/>
          <w:sz w:val="20"/>
          <w:u w:val="single"/>
        </w:rPr>
        <w:t>5.14</w:t>
      </w:r>
      <w:r>
        <w:rPr>
          <w:rFonts w:ascii="Times New Roman" w:hAnsi="Times New Roman"/>
          <w:sz w:val="20"/>
        </w:rPr>
        <w:t xml:space="preserve"> to secure any of the Secured Obligations. </w:t>
      </w:r>
    </w:p>
    <w:p>
      <w:pPr>
        <w:pStyle w:val="TextBody"/>
        <w:bidi w:val="0"/>
        <w:spacing w:before="240" w:after="0"/>
        <w:jc w:val="left"/>
        <w:rPr/>
      </w:pPr>
      <w:r>
        <w:rPr/>
        <w:t>“</w:t>
      </w:r>
      <w:r>
        <w:rPr>
          <w:rFonts w:ascii="Times New Roman" w:hAnsi="Times New Roman"/>
          <w:sz w:val="20"/>
          <w:u w:val="single"/>
        </w:rPr>
        <w:t>Senior Representative</w:t>
      </w:r>
      <w:r>
        <w:rPr>
          <w:rFonts w:ascii="Times New Roman" w:hAnsi="Times New Roman"/>
          <w:sz w:val="20"/>
        </w:rPr>
        <w:t xml:space="preserve">” means, with respect to any series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left"/>
        <w:rPr/>
      </w:pPr>
      <w:r>
        <w:rPr/>
        <w:t>“</w:t>
      </w:r>
      <w:r>
        <w:rPr>
          <w:rFonts w:ascii="Times New Roman" w:hAnsi="Times New Roman"/>
          <w:sz w:val="20"/>
          <w:u w:val="single"/>
        </w:rPr>
        <w:t>Senior Secured First Lien Net Leverage Ratio</w:t>
      </w:r>
      <w:r>
        <w:rPr>
          <w:rFonts w:ascii="Times New Roman" w:hAnsi="Times New Roman"/>
          <w:sz w:val="20"/>
        </w:rPr>
        <w:t xml:space="preserve">” means, as of any date of determination, the ratio, on a Pro Forma Basis, of (a) the sum of (i) Consolidated Senior Secured First Lien Indebtedness as of such date and (ii) the Reserved Indebtedness Amount applicable at such time to the calculation of the Senior Secured First Lien Net Leverage Ratio with respect to commitments first obtained as of such date but not utilized as of such date (but only the extent such commitments are being obtained in reliance on a test based on such ratio) to (b) Consolidated EBITDA for the most recently ended Test Period as of such date;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First Lien Indebtedness for purposes of this definition. </w:t>
      </w:r>
    </w:p>
    <w:p>
      <w:pPr>
        <w:pStyle w:val="TextBody"/>
        <w:bidi w:val="0"/>
        <w:spacing w:before="240" w:after="0"/>
        <w:jc w:val="left"/>
        <w:rPr/>
      </w:pPr>
      <w:r>
        <w:rPr/>
        <w:t>“</w:t>
      </w:r>
      <w:r>
        <w:rPr>
          <w:rFonts w:ascii="Times New Roman" w:hAnsi="Times New Roman"/>
          <w:sz w:val="20"/>
          <w:u w:val="single"/>
        </w:rPr>
        <w:t>Senior Secured Net Leverage Ratio</w:t>
      </w:r>
      <w:r>
        <w:rPr>
          <w:rFonts w:ascii="Times New Roman" w:hAnsi="Times New Roman"/>
          <w:sz w:val="20"/>
        </w:rPr>
        <w:t xml:space="preserve">” means, as of any date of determination, the ratio, on a Pro Forma Basis, of (a) the sum of (i) Consolidated Senior Secured Indebtedness as of such date and (ii) the Reserved Indebtedness Amount applicable at such time to the calculation of the Senior Secured Net Leverage Ratio with respect to commitments first obtained as of such date but not utilized as of such date (but only the extent such commitments are being obtained in reliance on a test based on such ratio) to (b) Consolidated EBITDA for the most recently completed Test Period;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Indebtedness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p>
    <w:p>
      <w:pPr>
        <w:pStyle w:val="TextBody"/>
        <w:bidi w:val="0"/>
        <w:spacing w:before="0" w:after="0"/>
        <w:jc w:val="left"/>
        <w:rPr/>
      </w:pPr>
      <w:r>
        <w:rPr/>
        <w:t>“</w:t>
      </w:r>
      <w:r>
        <w:rPr>
          <w:rFonts w:ascii="Times New Roman" w:hAnsi="Times New Roman"/>
          <w:sz w:val="20"/>
          <w:u w:val="single"/>
        </w:rPr>
        <w:t>Senior Secured Notes</w:t>
      </w:r>
      <w:r>
        <w:rPr>
          <w:rFonts w:ascii="Times New Roman" w:hAnsi="Times New Roman"/>
          <w:sz w:val="20"/>
        </w:rPr>
        <w:t xml:space="preserve">” means those 6.750% Senior Secured Notes due 2026 issued by the Finco Borrower and the U.S, Borrower in an aggregate amount of $2,075,000,000 issued on or prior to the Effective Date pursuant to the Senior Secured Notes Documents. </w:t>
      </w:r>
    </w:p>
    <w:p>
      <w:pPr>
        <w:pStyle w:val="TextBody"/>
        <w:bidi w:val="0"/>
        <w:spacing w:before="240" w:after="0"/>
        <w:jc w:val="left"/>
        <w:rPr/>
      </w:pPr>
      <w:r>
        <w:rPr/>
        <w:t>“</w:t>
      </w:r>
      <w:r>
        <w:rPr>
          <w:rFonts w:ascii="Times New Roman" w:hAnsi="Times New Roman"/>
          <w:sz w:val="20"/>
          <w:u w:val="single"/>
        </w:rPr>
        <w:t>Senior Secured Notes Documents</w:t>
      </w:r>
      <w:r>
        <w:rPr>
          <w:rFonts w:ascii="Times New Roman" w:hAnsi="Times New Roman"/>
          <w:sz w:val="20"/>
        </w:rPr>
        <w:t xml:space="preserve">” means the Senior Secured Notes Indenture and all supplemental indentures, other agreements, instruments and other documents (including collateral documents with respect thereto) pursuant to which the Senior Secured Notes have been issued. </w:t>
      </w:r>
    </w:p>
    <w:p>
      <w:pPr>
        <w:pStyle w:val="TextBody"/>
        <w:bidi w:val="0"/>
        <w:spacing w:before="240" w:after="0"/>
        <w:jc w:val="left"/>
        <w:rPr/>
      </w:pPr>
      <w:r>
        <w:rPr/>
        <w:t>“</w:t>
      </w:r>
      <w:r>
        <w:rPr>
          <w:rFonts w:ascii="Times New Roman" w:hAnsi="Times New Roman"/>
          <w:sz w:val="20"/>
          <w:u w:val="single"/>
        </w:rPr>
        <w:t>Senior Secured Notes Indenture</w:t>
      </w:r>
      <w:r>
        <w:rPr>
          <w:rFonts w:ascii="Times New Roman" w:hAnsi="Times New Roman"/>
          <w:sz w:val="20"/>
        </w:rPr>
        <w:t xml:space="preserve">” means the Indenture, dated as of October 7, 2019, among the Finco Borrower and the U.S. Borrower, as issuers, the guarantors party thereto from time to time and Wilmington Trust, National Association, as trustee, governing the Senior Secured Notes, as the same may be amended, supplemented, waived or otherwise modified from time to time. </w:t>
      </w:r>
    </w:p>
    <w:p>
      <w:pPr>
        <w:pStyle w:val="TextBody"/>
        <w:bidi w:val="0"/>
        <w:spacing w:before="240" w:after="0"/>
        <w:jc w:val="left"/>
        <w:rPr/>
      </w:pPr>
      <w:r>
        <w:rPr/>
        <w:t>“</w:t>
      </w:r>
      <w:r>
        <w:rPr>
          <w:rFonts w:ascii="Times New Roman" w:hAnsi="Times New Roman"/>
          <w:sz w:val="20"/>
          <w:u w:val="single"/>
        </w:rPr>
        <w:t>Settlement</w:t>
      </w:r>
      <w:r>
        <w:rPr>
          <w:rFonts w:ascii="Times New Roman" w:hAnsi="Times New Roman"/>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left"/>
        <w:rPr/>
      </w:pPr>
      <w:r>
        <w:rPr/>
        <w:t>“</w:t>
      </w:r>
      <w:r>
        <w:rPr>
          <w:rFonts w:ascii="Times New Roman" w:hAnsi="Times New Roman"/>
          <w:sz w:val="20"/>
          <w:u w:val="single"/>
        </w:rPr>
        <w:t>Settlement Asset</w:t>
      </w:r>
      <w:r>
        <w:rPr>
          <w:rFonts w:ascii="Times New Roman" w:hAnsi="Times New Roman"/>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240" w:after="0"/>
        <w:jc w:val="left"/>
        <w:rPr/>
      </w:pPr>
      <w:r>
        <w:rPr/>
        <w:t>“</w:t>
      </w:r>
      <w:r>
        <w:rPr>
          <w:rFonts w:ascii="Times New Roman" w:hAnsi="Times New Roman"/>
          <w:sz w:val="20"/>
          <w:u w:val="single"/>
        </w:rPr>
        <w:t>Settlement Indebtedness</w:t>
      </w:r>
      <w:r>
        <w:rPr>
          <w:rFonts w:ascii="Times New Roman" w:hAnsi="Times New Roman"/>
          <w:sz w:val="20"/>
        </w:rPr>
        <w:t xml:space="preserve">” means any payment or reimbursement obligation in respect of a Settlement Payment. </w:t>
      </w:r>
    </w:p>
    <w:p>
      <w:pPr>
        <w:pStyle w:val="TextBody"/>
        <w:bidi w:val="0"/>
        <w:spacing w:before="240" w:after="0"/>
        <w:jc w:val="left"/>
        <w:rPr/>
      </w:pPr>
      <w:r>
        <w:rPr/>
        <w:t>“</w:t>
      </w:r>
      <w:r>
        <w:rPr>
          <w:rFonts w:ascii="Times New Roman" w:hAnsi="Times New Roman"/>
          <w:sz w:val="20"/>
          <w:u w:val="single"/>
        </w:rPr>
        <w:t>Settlement Lien</w:t>
      </w:r>
      <w:r>
        <w:rPr>
          <w:rFonts w:ascii="Times New Roman" w:hAnsi="Times New Roman"/>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left"/>
        <w:rPr/>
      </w:pPr>
      <w:r>
        <w:rPr/>
        <w:t>“</w:t>
      </w:r>
      <w:r>
        <w:rPr>
          <w:rFonts w:ascii="Times New Roman" w:hAnsi="Times New Roman"/>
          <w:sz w:val="20"/>
          <w:u w:val="single"/>
        </w:rPr>
        <w:t>Settlement Payment</w:t>
      </w:r>
      <w:r>
        <w:rPr>
          <w:rFonts w:ascii="Times New Roman" w:hAnsi="Times New Roman"/>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left"/>
        <w:rPr/>
      </w:pPr>
      <w:r>
        <w:rPr/>
        <w:t>“</w:t>
      </w:r>
      <w:r>
        <w:rPr>
          <w:rFonts w:ascii="Times New Roman" w:hAnsi="Times New Roman"/>
          <w:sz w:val="20"/>
          <w:u w:val="single"/>
        </w:rPr>
        <w:t>Settlement Receivable</w:t>
      </w:r>
      <w:r>
        <w:rPr>
          <w:rFonts w:ascii="Times New Roman" w:hAnsi="Times New Roman"/>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240" w:after="0"/>
        <w:jc w:val="left"/>
        <w:rPr/>
      </w:pPr>
      <w:r>
        <w:rPr/>
        <w:t>“</w:t>
      </w:r>
      <w:r>
        <w:rPr>
          <w:rFonts w:ascii="Times New Roman" w:hAnsi="Times New Roman"/>
          <w:sz w:val="20"/>
          <w:u w:val="single"/>
        </w:rPr>
        <w:t>Similar Business</w:t>
      </w:r>
      <w:r>
        <w:rPr>
          <w:rFonts w:ascii="Times New Roman" w:hAnsi="Times New Roman"/>
          <w:sz w:val="20"/>
        </w:rPr>
        <w:t xml:space="preserve">” means (1) any business conducted or proposed to be conducted by Bidco or any of its Subsidiaries on the Effective Date or (2) any business or other activities that are reasonably similar, incidental, ancillary, complementary or related to, or a reasonable extension, development or expansion of, the businesses in which Bidco and any of its Subsidiaries were engaged on the Effective Date.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SOFR” means , with respect to any Business Day, a rate equal to the secured overnight financing rate for such Business Day published as administered by the SOFR Administrator.</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SOFR Administrator” means the NYFRB (or a successor administrator of the secured overnight financing rate).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p>
    <w:p>
      <w:pPr>
        <w:pStyle w:val="TextBody"/>
        <w:bidi w:val="0"/>
        <w:spacing w:before="0" w:after="0"/>
        <w:jc w:val="left"/>
        <w:rPr/>
      </w:pPr>
      <w:r>
        <w:rPr/>
        <w:t>“</w:t>
      </w:r>
      <w:r>
        <w:rPr>
          <w:rFonts w:ascii="Times New Roman" w:hAnsi="Times New Roman"/>
          <w:sz w:val="20"/>
          <w:u w:val="single"/>
        </w:rPr>
        <w:t>Sold Entity or Business</w:t>
      </w:r>
      <w:r>
        <w:rPr>
          <w:rFonts w:ascii="Times New Roman" w:hAnsi="Times New Roman"/>
          <w:sz w:val="20"/>
        </w:rPr>
        <w:t xml:space="preserve">” has the meaning assigned to such term in the definition of the term “Consolidated EBITDA.” </w:t>
      </w:r>
    </w:p>
    <w:p>
      <w:pPr>
        <w:pStyle w:val="TextBody"/>
        <w:bidi w:val="0"/>
        <w:spacing w:before="240" w:after="0"/>
        <w:jc w:val="left"/>
        <w:rPr/>
      </w:pPr>
      <w:r>
        <w:rPr/>
        <w:t>“</w:t>
      </w:r>
      <w:r>
        <w:rPr>
          <w:rFonts w:ascii="Times New Roman" w:hAnsi="Times New Roman"/>
          <w:sz w:val="20"/>
          <w:u w:val="single"/>
        </w:rPr>
        <w:t>Solicited Discount Proration</w:t>
      </w:r>
      <w:r>
        <w:rPr>
          <w:rFonts w:ascii="Times New Roman" w:hAnsi="Times New Roman"/>
          <w:sz w:val="20"/>
        </w:rPr>
        <w:t xml:space="preserve">” has the meaning assigned to such term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2.10(a)(ii)(D)(3)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Amount</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Notice</w:t>
      </w:r>
      <w:r>
        <w:rPr>
          <w:rFonts w:ascii="Times New Roman" w:hAnsi="Times New Roman"/>
          <w:sz w:val="20"/>
        </w:rPr>
        <w:t xml:space="preserve">” means an irrevocable written notice of a Borrower Solicitation of Discounted Prepayment Offers made pursuant to </w:t>
      </w:r>
      <w:r>
        <w:rPr>
          <w:rFonts w:ascii="Times New Roman" w:hAnsi="Times New Roman"/>
          <w:sz w:val="20"/>
          <w:u w:val="single"/>
        </w:rPr>
        <w:t>Section 2.10(a)(ii)(D)</w:t>
      </w:r>
      <w:r>
        <w:rPr>
          <w:rFonts w:ascii="Times New Roman" w:hAnsi="Times New Roman"/>
          <w:sz w:val="20"/>
        </w:rPr>
        <w:t xml:space="preserve"> substantially in the form of </w:t>
      </w:r>
      <w:r>
        <w:rPr>
          <w:rFonts w:ascii="Times New Roman" w:hAnsi="Times New Roman"/>
          <w:sz w:val="20"/>
          <w:u w:val="single"/>
        </w:rPr>
        <w:t>Exhibit 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Solicited Discounted Prepayment Offer</w:t>
      </w:r>
      <w:r>
        <w:rPr>
          <w:rFonts w:ascii="Times New Roman" w:hAnsi="Times New Roman"/>
          <w:sz w:val="20"/>
        </w:rPr>
        <w:t xml:space="preserve">” means the irrevocable written offer by each Term Lender, substantially in the form of </w:t>
      </w:r>
      <w:r>
        <w:rPr>
          <w:rFonts w:ascii="Times New Roman" w:hAnsi="Times New Roman"/>
          <w:sz w:val="20"/>
          <w:u w:val="single"/>
        </w:rPr>
        <w:t>Exhibit O</w:t>
      </w:r>
      <w:r>
        <w:rPr>
          <w:rFonts w:ascii="Times New Roman" w:hAnsi="Times New Roman"/>
          <w:sz w:val="20"/>
        </w:rPr>
        <w:t xml:space="preserve">, submitted following the Administrative Agent’s receipt of a Solicited Discounted Prepayment Notice. </w:t>
      </w:r>
    </w:p>
    <w:p>
      <w:pPr>
        <w:pStyle w:val="TextBody"/>
        <w:bidi w:val="0"/>
        <w:spacing w:before="240" w:after="0"/>
        <w:jc w:val="left"/>
        <w:rPr/>
      </w:pPr>
      <w:r>
        <w:rPr/>
        <w:t>“</w:t>
      </w:r>
      <w:r>
        <w:rPr>
          <w:rFonts w:ascii="Times New Roman" w:hAnsi="Times New Roman"/>
          <w:sz w:val="20"/>
          <w:u w:val="single"/>
        </w:rPr>
        <w:t>Solicited Discounted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2.10(a)(ii)(D)(1)</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SONIA” means, with respect to any RFR Business Day, a rate per annum equal to the Sterling Overnight Index Average for such RFR Business Day published by the SONIA Administrator on the SONIA Administrator’s Website.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SONIA Administrator ” means the Bank of England (or any successor administrator of the Sterling Overnight Index Average).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color w:val="0000FF"/>
          <w:sz w:val="20"/>
          <w:u w:val="single"/>
          <w:bdr w:val="double" w:sz="2" w:space="1" w:color="000000"/>
        </w:rPr>
        <w:t>SONIA Administrator’s Website” means the Bank of England’s website, currently</w:t>
      </w:r>
      <w:r>
        <w:rPr>
          <w:rFonts w:ascii="Times New Roman" w:hAnsi="Times New Roman"/>
          <w:sz w:val="20"/>
        </w:rPr>
        <w:t xml:space="preserve"> </w:t>
      </w:r>
      <w:r>
        <w:rPr>
          <w:rFonts w:ascii="Times New Roman" w:hAnsi="Times New Roman"/>
          <w:color w:val="0000FF"/>
          <w:sz w:val="20"/>
          <w:u w:val="single"/>
          <w:bdr w:val="double" w:sz="2" w:space="1" w:color="000000"/>
        </w:rPr>
        <w:t>at http://www.bankofengland.co.uk, or any successor source for the Sterling Overnight Index Average identified as such by the SONIA Administrator from time to time.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Sale Proceeds</w:t>
      </w:r>
      <w:r>
        <w:rPr>
          <w:rFonts w:ascii="Times New Roman" w:hAnsi="Times New Roman"/>
          <w:sz w:val="20"/>
        </w:rPr>
        <w:t xml:space="preserve">” means the sum of the Net Proceeds received since the Effective Date by or on behalf of Bidco or any of the Restricted Subsidiaries in respect of any Prepayment Event described in clause (a) of the definition thereof that exceeds such amount required to be applied to prepay the Term Loans or be reinvested pursuant to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Amount</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Notice</w:t>
      </w:r>
      <w:r>
        <w:rPr>
          <w:rFonts w:ascii="Times New Roman" w:hAnsi="Times New Roman"/>
          <w:sz w:val="20"/>
        </w:rPr>
        <w:t xml:space="preserve">” means an irrevocable written notice of the Borrower Representative of Specified Discount made pursuant to </w:t>
      </w:r>
      <w:r>
        <w:rPr>
          <w:rFonts w:ascii="Times New Roman" w:hAnsi="Times New Roman"/>
          <w:sz w:val="20"/>
          <w:u w:val="single"/>
        </w:rPr>
        <w:t>Section 2.10(a)(ii)(B)</w:t>
      </w:r>
      <w:r>
        <w:rPr>
          <w:rFonts w:ascii="Times New Roman" w:hAnsi="Times New Roman"/>
          <w:sz w:val="20"/>
        </w:rPr>
        <w:t xml:space="preserve"> substantially in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Discount Prepayment Response</w:t>
      </w:r>
      <w:r>
        <w:rPr>
          <w:rFonts w:ascii="Times New Roman" w:hAnsi="Times New Roman"/>
          <w:sz w:val="20"/>
        </w:rPr>
        <w:t xml:space="preserve">” means the irrevocable written response by each Term Lender, substantially in the form of </w:t>
      </w:r>
      <w:r>
        <w:rPr>
          <w:rFonts w:ascii="Times New Roman" w:hAnsi="Times New Roman"/>
          <w:sz w:val="20"/>
          <w:u w:val="single"/>
        </w:rPr>
        <w:t>Exhibit K</w:t>
      </w:r>
      <w:r>
        <w:rPr>
          <w:rFonts w:ascii="Times New Roman" w:hAnsi="Times New Roman"/>
          <w:sz w:val="20"/>
        </w:rPr>
        <w:t xml:space="preserve">, to a Specified Discount Prepayment Notice. </w:t>
      </w:r>
    </w:p>
    <w:p>
      <w:pPr>
        <w:pStyle w:val="TextBody"/>
        <w:bidi w:val="0"/>
        <w:spacing w:before="240" w:after="0"/>
        <w:jc w:val="left"/>
        <w:rPr/>
      </w:pPr>
      <w:r>
        <w:rPr/>
        <w:t>“</w:t>
      </w:r>
      <w:r>
        <w:rPr>
          <w:rFonts w:ascii="Times New Roman" w:hAnsi="Times New Roman"/>
          <w:sz w:val="20"/>
          <w:u w:val="single"/>
        </w:rPr>
        <w:t>Specified Discount Prepayment Response Date</w:t>
      </w:r>
      <w:r>
        <w:rPr>
          <w:rFonts w:ascii="Times New Roman" w:hAnsi="Times New Roman"/>
          <w:sz w:val="20"/>
        </w:rPr>
        <w:t xml:space="preserve">” has the meaning assigned to such term in </w:t>
      </w:r>
      <w:r>
        <w:rPr>
          <w:rFonts w:ascii="Times New Roman" w:hAnsi="Times New Roman"/>
          <w:sz w:val="20"/>
          <w:u w:val="single"/>
        </w:rPr>
        <w:t>Section 2.10(a)(ii)(B)(1)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p>
    <w:p>
      <w:pPr>
        <w:pStyle w:val="TextBody"/>
        <w:bidi w:val="0"/>
        <w:spacing w:before="0" w:after="0"/>
        <w:jc w:val="left"/>
        <w:rPr/>
      </w:pPr>
      <w:r>
        <w:rPr/>
        <w:t>“</w:t>
      </w:r>
      <w:r>
        <w:rPr>
          <w:rFonts w:ascii="Times New Roman" w:hAnsi="Times New Roman"/>
          <w:sz w:val="20"/>
          <w:u w:val="single"/>
        </w:rPr>
        <w:t>Specified Discount Proration</w:t>
      </w:r>
      <w:r>
        <w:rPr>
          <w:rFonts w:ascii="Times New Roman" w:hAnsi="Times New Roman"/>
          <w:sz w:val="20"/>
        </w:rPr>
        <w:t xml:space="preserve">” has the meaning assigned to such term in </w:t>
      </w:r>
      <w:r>
        <w:rPr>
          <w:rFonts w:ascii="Times New Roman" w:hAnsi="Times New Roman"/>
          <w:sz w:val="20"/>
          <w:u w:val="single"/>
        </w:rPr>
        <w:t>Section 2.10(a)(ii)(B)(3)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Event of Default</w:t>
      </w:r>
      <w:r>
        <w:rPr>
          <w:rFonts w:ascii="Times New Roman" w:hAnsi="Times New Roman"/>
          <w:sz w:val="20"/>
        </w:rPr>
        <w:t xml:space="preserve">” means an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Transaction</w:t>
      </w:r>
      <w:r>
        <w:rPr>
          <w:rFonts w:ascii="Times New Roman" w:hAnsi="Times New Roman"/>
          <w:sz w:val="20"/>
        </w:rPr>
        <w:t xml:space="preserve">” means, with respect to any period,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 or after giving Pro Forma Effect thereto. </w:t>
      </w:r>
    </w:p>
    <w:p>
      <w:pPr>
        <w:pStyle w:val="TextBody"/>
        <w:bidi w:val="0"/>
        <w:spacing w:before="240" w:after="0"/>
        <w:jc w:val="left"/>
        <w:rPr/>
      </w:pPr>
      <w:r>
        <w:rPr/>
        <w:t>“</w:t>
      </w:r>
      <w:r>
        <w:rPr>
          <w:rFonts w:ascii="Times New Roman" w:hAnsi="Times New Roman"/>
          <w:sz w:val="20"/>
          <w:u w:val="single"/>
        </w:rPr>
        <w:t>Sponsor Management Agreement</w:t>
      </w:r>
      <w:r>
        <w:rPr>
          <w:rFonts w:ascii="Times New Roman" w:hAnsi="Times New Roman"/>
          <w:sz w:val="20"/>
        </w:rPr>
        <w:t xml:space="preserve">” means any management agreement between certain of the management companies associated with the Investors and Holdings, Bidco or its Restricted Subsidiaries. </w:t>
      </w:r>
    </w:p>
    <w:p>
      <w:pPr>
        <w:pStyle w:val="TextBody"/>
        <w:bidi w:val="0"/>
        <w:spacing w:before="240" w:after="0"/>
        <w:jc w:val="left"/>
        <w:rPr/>
      </w:pPr>
      <w:r>
        <w:rPr/>
        <w:t>“</w:t>
      </w:r>
      <w:r>
        <w:rPr>
          <w:rFonts w:ascii="Times New Roman" w:hAnsi="Times New Roman"/>
          <w:sz w:val="20"/>
          <w:u w:val="single"/>
        </w:rPr>
        <w:t>Spot Rate</w:t>
      </w:r>
      <w:r>
        <w:rPr>
          <w:rFonts w:ascii="Times New Roman" w:hAnsi="Times New Roman"/>
          <w:sz w:val="20"/>
        </w:rPr>
        <w:t xml:space="preserve">” means, on any day, with respect to any Alternative Currency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Administrative Agent for such purpose, or, at the discretion of the Administrative Agent, such Spot Rate shall instead be the arithmetic average of the spot rates of exchange of the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hAnsi="Times New Roman"/>
          <w:sz w:val="20"/>
          <w:u w:val="single"/>
        </w:rPr>
        <w:t>provided</w:t>
      </w:r>
      <w:r>
        <w:rPr>
          <w:rFonts w:ascii="Times New Roman" w:hAnsi="Times New Roman"/>
          <w:sz w:val="20"/>
        </w:rPr>
        <w:t xml:space="preserve"> that, if at the time of any such determination, for any reason, no such spot rate is being quoted, the Administrative Agent may use any other reasonable method it deems appropriate to determine such rate, and such determination shall be presumed correct absent manifest error. </w:t>
      </w:r>
    </w:p>
    <w:p>
      <w:pPr>
        <w:pStyle w:val="TextBody"/>
        <w:bidi w:val="0"/>
        <w:spacing w:before="240" w:after="0"/>
        <w:jc w:val="left"/>
        <w:rPr/>
      </w:pPr>
      <w:r>
        <w:rPr/>
        <w:t>“</w:t>
      </w:r>
      <w:r>
        <w:rPr>
          <w:rFonts w:ascii="Times New Roman" w:hAnsi="Times New Roman"/>
          <w:sz w:val="20"/>
          <w:u w:val="single"/>
        </w:rPr>
        <w:t>Squeeze-Out</w:t>
      </w:r>
      <w:r>
        <w:rPr>
          <w:rFonts w:ascii="Times New Roman" w:hAnsi="Times New Roman"/>
          <w:sz w:val="20"/>
        </w:rPr>
        <w:t xml:space="preserve">” means an acquisition of the outstanding shares in the Company that Bidco has not acquired pursuant to the procedures contained in sections 979 to 982 of the Companies Act 2006. </w:t>
      </w:r>
    </w:p>
    <w:p>
      <w:pPr>
        <w:pStyle w:val="TextBody"/>
        <w:bidi w:val="0"/>
        <w:spacing w:before="240" w:after="0"/>
        <w:jc w:val="left"/>
        <w:rPr/>
      </w:pPr>
      <w:r>
        <w:rPr/>
        <w:t>“</w:t>
      </w:r>
      <w:r>
        <w:rPr>
          <w:rFonts w:ascii="Times New Roman" w:hAnsi="Times New Roman"/>
          <w:sz w:val="20"/>
          <w:u w:val="single"/>
        </w:rPr>
        <w:t>Statutory Reserve Rate</w:t>
      </w:r>
      <w:r>
        <w:rPr>
          <w:rFonts w:ascii="Times New Roman" w:hAnsi="Times New Roman"/>
          <w:sz w:val="20"/>
        </w:rPr>
        <w:t xml:space="preserve">” means a fraction (expressed as a decimal), the numerator of which is the number one and the denominator of which is the number one </w:t>
      </w:r>
      <w:r>
        <w:rPr>
          <w:rFonts w:ascii="Times New Roman" w:hAnsi="Times New Roman"/>
          <w:sz w:val="20"/>
          <w:u w:val="single"/>
        </w:rPr>
        <w:t>minus</w:t>
      </w:r>
      <w:r>
        <w:rPr>
          <w:rFonts w:ascii="Times New Roman" w:hAnsi="Times New Roman"/>
          <w:sz w:val="20"/>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 </w:t>
      </w:r>
    </w:p>
    <w:p>
      <w:pPr>
        <w:pStyle w:val="TextBody"/>
        <w:bidi w:val="0"/>
        <w:spacing w:before="240" w:after="0"/>
        <w:jc w:val="left"/>
        <w:rPr/>
      </w:pPr>
      <w:r>
        <w:rPr/>
        <w:t>“</w:t>
      </w:r>
      <w:r>
        <w:rPr>
          <w:rFonts w:ascii="Times New Roman" w:hAnsi="Times New Roman"/>
          <w:sz w:val="20"/>
          <w:u w:val="single"/>
        </w:rPr>
        <w:t>Sterling</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240" w:after="0"/>
        <w:jc w:val="left"/>
        <w:rPr/>
      </w:pPr>
      <w:r>
        <w:rPr/>
        <w:t>“</w:t>
      </w:r>
      <w:r>
        <w:rPr>
          <w:rFonts w:ascii="Times New Roman" w:hAnsi="Times New Roman"/>
          <w:sz w:val="20"/>
          <w:u w:val="single"/>
        </w:rPr>
        <w:t>Subject Lien</w:t>
      </w:r>
      <w:r>
        <w:rPr>
          <w:rFonts w:ascii="Times New Roman" w:hAnsi="Times New Roman"/>
          <w:sz w:val="20"/>
        </w:rPr>
        <w:t xml:space="preserve">” has the meaning assigned to such term in </w:t>
      </w:r>
      <w:r>
        <w:rPr>
          <w:rFonts w:ascii="Times New Roman" w:hAnsi="Times New Roman"/>
          <w:sz w:val="20"/>
          <w:u w:val="single"/>
        </w:rPr>
        <w:t>Section 6.02(a)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p>
    <w:p>
      <w:pPr>
        <w:pStyle w:val="TextBody"/>
        <w:bidi w:val="0"/>
        <w:spacing w:before="0" w:after="0"/>
        <w:jc w:val="left"/>
        <w:rPr/>
      </w:pPr>
      <w:r>
        <w:rPr/>
        <w:t>“</w:t>
      </w:r>
      <w:r>
        <w:rPr>
          <w:rFonts w:ascii="Times New Roman" w:hAnsi="Times New Roman"/>
          <w:sz w:val="20"/>
          <w:u w:val="single"/>
        </w:rPr>
        <w:t>Submitted Amount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Submitted Discount</w:t>
      </w:r>
      <w:r>
        <w:rPr>
          <w:rFonts w:ascii="Times New Roman" w:hAnsi="Times New Roman"/>
          <w:sz w:val="20"/>
        </w:rPr>
        <w:t xml:space="preserve">” has the meaning assigned to such term in </w:t>
      </w:r>
      <w:r>
        <w:rPr>
          <w:rFonts w:ascii="Times New Roman" w:hAnsi="Times New Roman"/>
          <w:sz w:val="20"/>
          <w:u w:val="single"/>
        </w:rPr>
        <w:t>Section 2.10(a)(ii)(C)(1)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means, any Indebtedness (other than (x) any permitted intercompany Indebtedness owing to direct and indirect parent companies of Bidco, Bidco or any Restricted Subsidiary or (y) any Indebtedness in an aggregate principal amount not exceeding $250,000,000) of any Borrower or any other Guarantor which is by its terms subordinated in right of payment to the Loan Document Obligations. </w:t>
      </w:r>
    </w:p>
    <w:p>
      <w:pPr>
        <w:pStyle w:val="TextBody"/>
        <w:bidi w:val="0"/>
        <w:spacing w:before="240" w:after="0"/>
        <w:jc w:val="left"/>
        <w:rPr/>
      </w:pPr>
      <w:r>
        <w:rPr/>
        <w:t>“</w:t>
      </w:r>
      <w:r>
        <w:rPr>
          <w:rFonts w:ascii="Times New Roman" w:hAnsi="Times New Roman"/>
          <w:sz w:val="20"/>
          <w:u w:val="single"/>
        </w:rPr>
        <w:t>Subordinated Shareholder Liabilities</w:t>
      </w:r>
      <w:r>
        <w:rPr>
          <w:rFonts w:ascii="Times New Roman" w:hAnsi="Times New Roman"/>
          <w:sz w:val="20"/>
        </w:rPr>
        <w:t xml:space="preserve">” means any loan or other indebtedness owed by Bidco or a Borrower to Holdings or any other (direct or indirect) shareholder of Bidco or a Borrower, provided that such loan or indebtedness is secured in favor of the Collateral Agent, does not require interest payments to be made in cash and is subordinated on terms satisfactory to the Administrative Agent.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IFRS,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any subsidiary of Bidco (unless otherwise specified). </w:t>
      </w:r>
    </w:p>
    <w:p>
      <w:pPr>
        <w:pStyle w:val="TextBody"/>
        <w:bidi w:val="0"/>
        <w:spacing w:before="240" w:after="0"/>
        <w:jc w:val="left"/>
        <w:rPr/>
      </w:pPr>
      <w:r>
        <w:rPr/>
        <w:t>“</w:t>
      </w:r>
      <w:r>
        <w:rPr>
          <w:rFonts w:ascii="Times New Roman" w:hAnsi="Times New Roman"/>
          <w:sz w:val="20"/>
          <w:u w:val="single"/>
        </w:rPr>
        <w:t>Subsidiary Loan Party</w:t>
      </w:r>
      <w:r>
        <w:rPr>
          <w:rFonts w:ascii="Times New Roman" w:hAnsi="Times New Roman"/>
          <w:sz w:val="20"/>
        </w:rPr>
        <w:t xml:space="preserve">” means each Subsidiary of Bidco that is a party to the Guarantee Agreement. </w:t>
      </w:r>
    </w:p>
    <w:p>
      <w:pPr>
        <w:pStyle w:val="TextBody"/>
        <w:bidi w:val="0"/>
        <w:spacing w:before="240" w:after="0"/>
        <w:jc w:val="left"/>
        <w:rPr/>
      </w:pPr>
      <w:r>
        <w:rPr/>
        <w:t>“</w:t>
      </w:r>
      <w:r>
        <w:rPr>
          <w:rFonts w:ascii="Times New Roman" w:hAnsi="Times New Roman"/>
          <w:sz w:val="20"/>
          <w:u w:val="single"/>
        </w:rPr>
        <w:t>Successor Entity</w:t>
      </w:r>
      <w:r>
        <w:rPr>
          <w:rFonts w:ascii="Times New Roman" w:hAnsi="Times New Roman"/>
          <w:sz w:val="20"/>
        </w:rPr>
        <w:t xml:space="preserve">” has the meaning assigned to such term in </w:t>
      </w:r>
      <w:r>
        <w:rPr>
          <w:rFonts w:ascii="Times New Roman" w:hAnsi="Times New Roman"/>
          <w:sz w:val="20"/>
          <w:u w:val="single"/>
        </w:rPr>
        <w:t>Section 6.03(a)(iv)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Swap Agreement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p>
    <w:p>
      <w:pPr>
        <w:pStyle w:val="TextBody"/>
        <w:bidi w:val="0"/>
        <w:spacing w:before="0" w:after="0"/>
        <w:jc w:val="left"/>
        <w:rPr/>
      </w:pPr>
      <w:r>
        <w:rPr/>
        <w:t>“</w:t>
      </w:r>
      <w:r>
        <w:rPr>
          <w:rFonts w:ascii="Times New Roman" w:hAnsi="Times New Roman"/>
          <w:sz w:val="20"/>
          <w:u w:val="single"/>
        </w:rPr>
        <w:t>Swiss Franc</w:t>
      </w:r>
      <w:r>
        <w:rPr>
          <w:rFonts w:ascii="Times New Roman" w:hAnsi="Times New Roman"/>
          <w:sz w:val="20"/>
        </w:rPr>
        <w:t xml:space="preserve">” means the lawful currency of Switzerland. </w:t>
      </w:r>
    </w:p>
    <w:p>
      <w:pPr>
        <w:pStyle w:val="TextBody"/>
        <w:bidi w:val="0"/>
        <w:spacing w:before="240" w:after="0"/>
        <w:jc w:val="left"/>
        <w:rPr/>
      </w:pPr>
      <w:r>
        <w:rPr/>
        <w:t>“</w:t>
      </w:r>
      <w:r>
        <w:rPr>
          <w:rFonts w:ascii="Times New Roman" w:hAnsi="Times New Roman"/>
          <w:sz w:val="20"/>
          <w:u w:val="single"/>
        </w:rPr>
        <w:t>Swingline Commitment</w:t>
      </w:r>
      <w:r>
        <w:rPr>
          <w:rFonts w:ascii="Times New Roman" w:hAnsi="Times New Roman"/>
          <w:sz w:val="20"/>
        </w:rPr>
        <w:t xml:space="preserve">” means the commitment of the Swingline Lender to make Swingline Loans up to an aggregate principal amount not to exceed $150,000,000.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be its Applicable Percentage of the aggregate Swingline Exposure at such time. </w:t>
      </w:r>
    </w:p>
    <w:p>
      <w:pPr>
        <w:pStyle w:val="TextBody"/>
        <w:bidi w:val="0"/>
        <w:spacing w:before="240" w:after="0"/>
        <w:jc w:val="left"/>
        <w:rPr/>
      </w:pPr>
      <w:r>
        <w:rPr/>
        <w:t>“</w:t>
      </w:r>
      <w:r>
        <w:rPr>
          <w:rFonts w:ascii="Times New Roman" w:hAnsi="Times New Roman"/>
          <w:sz w:val="20"/>
          <w:u w:val="single"/>
        </w:rPr>
        <w:t>Swingline Lender</w:t>
      </w:r>
      <w:r>
        <w:rPr>
          <w:rFonts w:ascii="Times New Roman" w:hAnsi="Times New Roman"/>
          <w:sz w:val="20"/>
        </w:rPr>
        <w:t xml:space="preserve">” means (a) the Administrative Agent and (b) each Revolving Lender that shall have become a Swingline Lender hereunder as provided in Section 2.24(d) (other than any Person that shall have ceased to be a Swingline Lender as provided in </w:t>
      </w:r>
      <w:r>
        <w:rPr>
          <w:rFonts w:ascii="Times New Roman" w:hAnsi="Times New Roman"/>
          <w:sz w:val="20"/>
          <w:u w:val="single"/>
        </w:rPr>
        <w:t>Section 2.24(e)</w:t>
      </w:r>
      <w:r>
        <w:rPr>
          <w:rFonts w:ascii="Times New Roman" w:hAnsi="Times New Roman"/>
          <w:sz w:val="20"/>
        </w:rPr>
        <w:t xml:space="preserve">), each in its capacity as a lender of Swingline Loans hereunder.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w:t>
      </w:r>
      <w:r>
        <w:rPr>
          <w:rFonts w:ascii="Times New Roman" w:hAnsi="Times New Roman"/>
          <w:sz w:val="20"/>
          <w:u w:val="single"/>
        </w:rPr>
        <w:t>Section 2.24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Target Debt Refinancing Outside Date</w:t>
      </w:r>
      <w:r>
        <w:rPr>
          <w:rFonts w:ascii="Times New Roman" w:hAnsi="Times New Roman"/>
          <w:sz w:val="20"/>
        </w:rPr>
        <w:t xml:space="preserve">” means the date falling sixty (60) days following the Effective Date. </w:t>
      </w:r>
    </w:p>
    <w:p>
      <w:pPr>
        <w:pStyle w:val="TextBody"/>
        <w:bidi w:val="0"/>
        <w:spacing w:before="240" w:after="0"/>
        <w:jc w:val="left"/>
        <w:rPr/>
      </w:pPr>
      <w:r>
        <w:rPr/>
        <w:t>“</w:t>
      </w:r>
      <w:r>
        <w:rPr>
          <w:rFonts w:ascii="Times New Roman" w:hAnsi="Times New Roman"/>
          <w:sz w:val="20"/>
          <w:u w:val="single"/>
        </w:rPr>
        <w:t>Target Refinancing Indebtedness</w:t>
      </w:r>
      <w:r>
        <w:rPr>
          <w:rFonts w:ascii="Times New Roman" w:hAnsi="Times New Roman"/>
          <w:sz w:val="20"/>
        </w:rPr>
        <w:t xml:space="preserve">” means the indebtedness outstanding under each of (a) the Existing Revolving Facility Agreement, (b) the 2024 Notes, (c) the 2022 Notes, (d) 2011 Ex-Im Credit Agreement, (e) the 2014 Ex-Im Credit Agreement and (f) the Potential Rollover Instruments; </w:t>
      </w:r>
      <w:r>
        <w:rPr>
          <w:rFonts w:ascii="Times New Roman" w:hAnsi="Times New Roman"/>
          <w:sz w:val="20"/>
          <w:u w:val="single"/>
        </w:rPr>
        <w:t>provided</w:t>
      </w:r>
      <w:r>
        <w:rPr>
          <w:rFonts w:ascii="Times New Roman" w:hAnsi="Times New Roman"/>
          <w:sz w:val="20"/>
        </w:rPr>
        <w:t xml:space="preserve"> that, to the extent that any portion of the Potential Rollover Instruments for which Bidco has made an offer has not been refinanced prior to the Target Debt Refinancing Outside Date, Bidco may elect, by notice to the Administrative Agent, prior to the Target Debt Refinancing Outside Date that such portion of the Potential Rollover Instruments shall remain outstanding, in which case such portion of the Potential Rollover Instruments shall not constitute Target Refinancing Indebtedness. </w:t>
      </w:r>
    </w:p>
    <w:p>
      <w:pPr>
        <w:pStyle w:val="TextBody"/>
        <w:bidi w:val="0"/>
        <w:spacing w:before="240" w:after="0"/>
        <w:jc w:val="left"/>
        <w:rPr/>
      </w:pPr>
      <w:r>
        <w:rPr/>
        <w:t>“</w:t>
      </w:r>
      <w:r>
        <w:rPr>
          <w:rFonts w:ascii="Times New Roman" w:hAnsi="Times New Roman"/>
          <w:sz w:val="20"/>
          <w:u w:val="single"/>
        </w:rPr>
        <w:t>Target Shares</w:t>
      </w:r>
      <w:r>
        <w:rPr>
          <w:rFonts w:ascii="Times New Roman" w:hAnsi="Times New Roman"/>
          <w:sz w:val="20"/>
        </w:rPr>
        <w:t xml:space="preserve">” means 100% of the issued share capital in the Company. </w:t>
      </w:r>
    </w:p>
    <w:p>
      <w:pPr>
        <w:pStyle w:val="TextBody"/>
        <w:bidi w:val="0"/>
        <w:spacing w:before="240" w:after="0"/>
        <w:jc w:val="left"/>
        <w:rPr/>
      </w:pPr>
      <w:r>
        <w:rPr/>
        <w:t>“</w:t>
      </w:r>
      <w:r>
        <w:rPr>
          <w:rFonts w:ascii="Times New Roman" w:hAnsi="Times New Roman"/>
          <w:sz w:val="20"/>
          <w:u w:val="single"/>
        </w:rPr>
        <w:t>Tax Confirmation</w:t>
      </w:r>
      <w:r>
        <w:rPr>
          <w:rFonts w:ascii="Times New Roman" w:hAnsi="Times New Roman"/>
          <w:sz w:val="20"/>
        </w:rPr>
        <w:t>” means a confirmation by a Lender that it is beneficially entitled to interest payable to that Lender in respect of a Loan Document and is either: (i) a company resident in the United Kingdom for United Kingdom tax purposes;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United Kingdom Corporation Tax Act 2009 (“</w:t>
      </w:r>
      <w:r>
        <w:rPr>
          <w:rFonts w:ascii="Times New Roman" w:hAnsi="Times New Roman"/>
          <w:sz w:val="20"/>
          <w:u w:val="single"/>
        </w:rPr>
        <w:t>CTA</w:t>
      </w:r>
      <w:r>
        <w:rPr>
          <w:rFonts w:ascii="Times New Roman" w:hAnsi="Times New Roman"/>
          <w:sz w:val="20"/>
        </w:rPr>
        <w:t xml:space="preserve">”))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w:t>
      </w:r>
    </w:p>
    <w:p>
      <w:pPr>
        <w:pStyle w:val="TextBody"/>
        <w:bidi w:val="0"/>
        <w:spacing w:before="240" w:after="0"/>
        <w:jc w:val="left"/>
        <w:rPr/>
      </w:pPr>
      <w:r>
        <w:rPr/>
        <w:t>“</w:t>
      </w:r>
      <w:r>
        <w:rPr>
          <w:rFonts w:ascii="Times New Roman" w:hAnsi="Times New Roman"/>
          <w:sz w:val="20"/>
          <w:u w:val="single"/>
        </w:rPr>
        <w:t>Tax Distributions</w:t>
      </w:r>
      <w:r>
        <w:rPr>
          <w:rFonts w:ascii="Times New Roman" w:hAnsi="Times New Roman"/>
          <w:sz w:val="20"/>
        </w:rPr>
        <w:t xml:space="preserve">” has the meaning assigned to such term in </w:t>
      </w:r>
      <w:r>
        <w:rPr>
          <w:rFonts w:ascii="Times New Roman" w:hAnsi="Times New Roman"/>
          <w:sz w:val="20"/>
          <w:u w:val="single"/>
        </w:rPr>
        <w:t>Section 6.05(b)(xv)(B)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Group</w:t>
      </w:r>
      <w:r>
        <w:rPr>
          <w:rFonts w:ascii="Times New Roman" w:hAnsi="Times New Roman"/>
          <w:sz w:val="20"/>
        </w:rPr>
        <w:t xml:space="preserve">” has the meaning assigned to such term in </w:t>
      </w:r>
      <w:r>
        <w:rPr>
          <w:rFonts w:ascii="Times New Roman" w:hAnsi="Times New Roman"/>
          <w:sz w:val="20"/>
          <w:u w:val="single"/>
        </w:rPr>
        <w:t>Section 6.05(b)(xv)(B)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p>
    <w:p>
      <w:pPr>
        <w:pStyle w:val="TextBody"/>
        <w:bidi w:val="0"/>
        <w:spacing w:before="0" w:after="0"/>
        <w:jc w:val="left"/>
        <w:rPr/>
      </w:pPr>
      <w:r>
        <w:rPr/>
        <w:t>“</w:t>
      </w:r>
      <w:r>
        <w:rPr>
          <w:rFonts w:ascii="Times New Roman" w:hAnsi="Times New Roman"/>
          <w:sz w:val="20"/>
          <w:u w:val="single"/>
        </w:rPr>
        <w:t>Tax Structure Memorandum</w:t>
      </w:r>
      <w:r>
        <w:rPr>
          <w:rFonts w:ascii="Times New Roman" w:hAnsi="Times New Roman"/>
          <w:sz w:val="20"/>
        </w:rPr>
        <w:t xml:space="preserve">” means the tax structure memorandum prepared by PricewaterhouseCoopers LLP entitled “Project Triton - Structuring Strawman Paper” in connection with the Transactions.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charges or withholdings imposed by any Governmental Authority, including any interest, additions to tax or penalties applicable thereto.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Term Benchmark” when used in reference to any Loan or Borrowing, refers to whether such Loan, or the Loans comprising such Borrowing, are bearing interest at a rate determined by reference to Term SOFR or the Adjusted LIBO Rate.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Borrowers</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Term Commitment</w:t>
      </w:r>
      <w:r>
        <w:rPr>
          <w:rFonts w:ascii="Times New Roman" w:hAnsi="Times New Roman"/>
          <w:sz w:val="20"/>
        </w:rPr>
        <w:t xml:space="preserve">” means, with respect to each Lender, the commitment, if any, of such Lender to make a Term Loan hereunder, expressed as an amount representing the maximum principal amount of the Term Loan to be made by such Lender hereunder, as such commitment may be (a) reduced from time to time pursuant to </w:t>
      </w:r>
      <w:r>
        <w:rPr>
          <w:rFonts w:ascii="Times New Roman" w:hAnsi="Times New Roman"/>
          <w:sz w:val="20"/>
          <w:u w:val="single"/>
        </w:rPr>
        <w:t>Section 2.07</w:t>
      </w:r>
      <w:r>
        <w:rPr>
          <w:rFonts w:ascii="Times New Roman" w:hAnsi="Times New Roman"/>
          <w:sz w:val="20"/>
        </w:rPr>
        <w:t xml:space="preserve">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shall have assumed its Term Commitment, Incremental Facility Amendment, Loan Modification Agreement or Refinancing Amendment, as the case may be. As of the Effective Date, the total Term Commitment with respect to the Initial Term Loans was $1,750,000,000. As of the Amendment No. 1 Effective Date, the total Term Commitment with respect to the Amendment No. 1 Refinancing Term Loans is $1,736,875,000. </w:t>
      </w:r>
    </w:p>
    <w:p>
      <w:pPr>
        <w:pStyle w:val="TextBody"/>
        <w:bidi w:val="0"/>
        <w:spacing w:before="240" w:after="0"/>
        <w:jc w:val="left"/>
        <w:rPr/>
      </w:pPr>
      <w:r>
        <w:rPr/>
        <w:t>“</w:t>
      </w:r>
      <w:r>
        <w:rPr>
          <w:rFonts w:ascii="Times New Roman" w:hAnsi="Times New Roman"/>
          <w:sz w:val="20"/>
          <w:u w:val="single"/>
        </w:rPr>
        <w:t>Term Lender</w:t>
      </w:r>
      <w:r>
        <w:rPr>
          <w:rFonts w:ascii="Times New Roman" w:hAnsi="Times New Roman"/>
          <w:sz w:val="20"/>
        </w:rPr>
        <w:t xml:space="preserve">” means a Lender with a Term Commitment or an outstanding Term Loan. </w:t>
      </w:r>
    </w:p>
    <w:p>
      <w:pPr>
        <w:pStyle w:val="TextBody"/>
        <w:bidi w:val="0"/>
        <w:spacing w:before="240" w:after="0"/>
        <w:jc w:val="left"/>
        <w:rPr/>
      </w:pPr>
      <w:r>
        <w:rPr/>
        <w:t>“</w:t>
      </w:r>
      <w:r>
        <w:rPr>
          <w:rFonts w:ascii="Times New Roman" w:hAnsi="Times New Roman"/>
          <w:sz w:val="20"/>
          <w:u w:val="single"/>
        </w:rPr>
        <w:t>Term Loans</w:t>
      </w:r>
      <w:r>
        <w:rPr>
          <w:rFonts w:ascii="Times New Roman" w:hAnsi="Times New Roman"/>
          <w:sz w:val="20"/>
        </w:rPr>
        <w:t xml:space="preserve">” means Initial Term Loans, Other Term Loans (including the Amendment No. 1 Refinancing Term Loans) and Incremental Term Loans, as the context requires. </w:t>
      </w:r>
    </w:p>
    <w:p>
      <w:pPr>
        <w:pStyle w:val="TextBody"/>
        <w:bidi w:val="0"/>
        <w:spacing w:before="240" w:after="0"/>
        <w:jc w:val="left"/>
        <w:rPr/>
      </w:pPr>
      <w:r>
        <w:rPr/>
        <w:t>“</w:t>
      </w:r>
      <w:r>
        <w:rPr>
          <w:rFonts w:ascii="Times New Roman" w:hAnsi="Times New Roman"/>
          <w:sz w:val="20"/>
          <w:u w:val="single"/>
        </w:rPr>
        <w:t>Term Maturity Date</w:t>
      </w:r>
      <w:r>
        <w:rPr>
          <w:rFonts w:ascii="Times New Roman" w:hAnsi="Times New Roman"/>
          <w:sz w:val="20"/>
        </w:rPr>
        <w:t xml:space="preserve">” means (i) December 12, 2026 (or, if such day is not a Business Day, the immediately preceding Business Day) or (ii) with respect to any Term Lender that has the maturity date of its Term Loans extended pursuant to a Permitted Amendment, the extended maturity date set forth in any such Loan Modification Agreement.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Term SOFR” means, with respect to any Term SOFR Borrowing denominated in Dollars and for any Interest Period, the Term SOFR Reference Rate for a tenor comparable to the applicable Interest Period on the day (such day, the “Periodic Term SOFR Determination Day”)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published by the Term SOFR Administrator on the Business Day first preceding such Periodic Term SOFR Determination Day so long as such Business Day is not more than three (3) Business Days prior to such Periodic Term SOFR Determination Day; provided further that Term SOFR (or any applicable successor rate) for any Interest Period shall not be (x) less than 1.00% per annum with respect to any Amendment No. 1 Refinancing Term Loans and (y) less than 0.00% per annum with respect to any Revolving Loans.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Term SOFR Administrator” means CME Group Benchmark Administration Limited (CBA) (or a successor administrator of the Term SOFR Reference Rate selected by the Administrative Agent in its reasonable discretion).</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Term SOFR Reference Rate” means, for any day and time, with respect to any Term SOFR Borrowing for any Interest Period, </w:t>
      </w:r>
      <w:r>
        <w:rPr>
          <w:rFonts w:ascii="Times New Roman" w:hAnsi="Times New Roman"/>
          <w:color w:val="008000"/>
          <w:sz w:val="20"/>
          <w:u w:val="single"/>
        </w:rPr>
        <w:t xml:space="preserve">the rate per annum determined by the Administrative Agent </w:t>
      </w:r>
      <w:r>
        <w:rPr>
          <w:rFonts w:ascii="Times New Roman" w:hAnsi="Times New Roman"/>
          <w:color w:val="0000FF"/>
          <w:sz w:val="20"/>
          <w:u w:val="single"/>
          <w:bdr w:val="double" w:sz="2" w:space="1" w:color="000000"/>
        </w:rPr>
        <w:t>as the forward-looking term rate based on SOFR.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means, at any date of determination, the period of four consecutive fiscal quarters of Bidco then last ended as of such time for which financial statements have been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any date of determination before the delivery of the first financial statements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the Test Period shall be the period of four consecutive fiscal quarters of the Borrower then last ended as of such time for which financial statements are internally available. </w:t>
      </w:r>
    </w:p>
    <w:p>
      <w:pPr>
        <w:pStyle w:val="TextBody"/>
        <w:bidi w:val="0"/>
        <w:spacing w:before="240" w:after="0"/>
        <w:jc w:val="left"/>
        <w:rPr/>
      </w:pPr>
      <w:r>
        <w:rPr/>
        <w:t>“</w:t>
      </w:r>
      <w:r>
        <w:rPr>
          <w:rFonts w:ascii="Times New Roman" w:hAnsi="Times New Roman"/>
          <w:sz w:val="20"/>
          <w:u w:val="single"/>
        </w:rPr>
        <w:t>Ticking Fee Percentage</w:t>
      </w:r>
      <w:r>
        <w:rPr>
          <w:rFonts w:ascii="Times New Roman" w:hAnsi="Times New Roman"/>
          <w:sz w:val="20"/>
        </w:rPr>
        <w:t xml:space="preserve">” means, for any day, a percentage equal to (a) for the period commencing on the Allocation Date through (and including) the earliest to occur of (i) the Effective Date and (ii) the 45th day after the Allocation Date, 0%, (b) if the Effective Date has not occurred prior to the commencement of such period, for the period commencing on the 46th day after the Allocation Date through (and including) the earliest to occur of (i) the Effective Date and (ii) the 90th day after the Allocation Date, 50% of the Applicable Rate used to determine the interest rate applicable to Eurodollar Initial Term Loans, and (c) if the Effective Date has not occurred prior to the commencement of such period, for the period commencing on the 91st day after the Allocation Date through (but excluding) the Effective Date, the Applicable Rate used to determine the interest rate applicable to Eurodollar Initial Term Loans.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as of any date of determination, the ratio, on a Pro Forma Basis, of (a) the sum of (i) Consolidated Total Indebtedness as of such date and (ii) the Reserved Indebtedness Amount applicable at such time to the calculation of the Total Net Leverage Ratio with respect to commitments first obtained as of such date but not utilized as of such date (but only to the extent such commitments are being obtained in reliance on a test based on such ratio) to (b) Consolidated EBITDA for the most recently ended Test Period as of such date; </w:t>
      </w:r>
      <w:r>
        <w:rPr>
          <w:rFonts w:ascii="Times New Roman" w:hAnsi="Times New Roman"/>
          <w:sz w:val="20"/>
          <w:u w:val="single"/>
        </w:rPr>
        <w:t>provided</w:t>
      </w:r>
      <w:r>
        <w:rPr>
          <w:rFonts w:ascii="Times New Roman" w:hAnsi="Times New Roman"/>
          <w:sz w:val="20"/>
        </w:rPr>
        <w:t xml:space="preserve"> that prior to the expiration of the Certain Funds Period, any unused Initial Term Commitments (without duplication of any Indebtedness to be refinanced with the proceeds of such unused commitments) shall be included as Consolidated Total Indebtedness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p>
    <w:p>
      <w:pPr>
        <w:pStyle w:val="TextBody"/>
        <w:bidi w:val="0"/>
        <w:spacing w:before="0" w:after="0"/>
        <w:jc w:val="left"/>
        <w:rPr/>
      </w:pPr>
      <w:r>
        <w:rPr/>
        <w:t>“</w:t>
      </w:r>
      <w:r>
        <w:rPr>
          <w:rFonts w:ascii="Times New Roman" w:hAnsi="Times New Roman"/>
          <w:sz w:val="20"/>
          <w:u w:val="single"/>
        </w:rPr>
        <w:t>Transaction Costs</w:t>
      </w:r>
      <w:r>
        <w:rPr>
          <w:rFonts w:ascii="Times New Roman" w:hAnsi="Times New Roman"/>
          <w:sz w:val="20"/>
        </w:rPr>
        <w:t xml:space="preserve">” means all fees, costs and expenses incurred or payable by any parent entity of Holdings, Holdings, Bidco, the Borrowers or any Subsidiary in connection with the Transactions, including, without limitation, any upfront fees or original issue discount.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(a) the Financing Transactions, (b) the issuance of the Senior Secured Notes, (c) the Acquisition and the other transactions contemplated by the Acquisition Documents, (d) the Equity Contributions, (e) the Refinancing, (f) any step, circumstance, payment, event, reorganization or transaction contemplated by or relating to the Tax Structure Memorandum (other than any exit steps or cash repatriation described therein), including, in each case, any intermediate steps or actions necessary to implement the steps, circumstances, payments or transactions in relation thereto and/or described therein and (g) the payment of the Transaction Costs. </w:t>
      </w:r>
    </w:p>
    <w:p>
      <w:pPr>
        <w:pStyle w:val="TextBody"/>
        <w:bidi w:val="0"/>
        <w:spacing w:before="240" w:after="0"/>
        <w:jc w:val="left"/>
        <w:rPr/>
      </w:pPr>
      <w:r>
        <w:rPr/>
        <w:t>“</w:t>
      </w:r>
      <w:r>
        <w:rPr>
          <w:rFonts w:ascii="Times New Roman" w:hAnsi="Times New Roman"/>
          <w:sz w:val="20"/>
          <w:u w:val="single"/>
        </w:rPr>
        <w:t>Treasury Capital Stock</w:t>
      </w:r>
      <w:r>
        <w:rPr>
          <w:rFonts w:ascii="Times New Roman" w:hAnsi="Times New Roman"/>
          <w:sz w:val="20"/>
        </w:rPr>
        <w:t xml:space="preserve">” has the meaning assigned to such term in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when used in reference to any Loan or Borrowing, refers to whether the rate of interest on such Loan, or on the Loans comprising such Borrowing, is determined by reference to the Adjusted LIBO Rate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 Term SOFR,</w:t>
      </w:r>
      <w:r>
        <w:rPr>
          <w:rFonts w:ascii="Times New Roman" w:hAnsi="Times New Roman"/>
          <w:sz w:val="20"/>
        </w:rPr>
        <w:t xml:space="preserve"> the Alternate Base Rate</w:t>
      </w:r>
      <w:r>
        <w:rPr>
          <w:rFonts w:ascii="Times New Roman" w:hAnsi="Times New Roman"/>
          <w:color w:val="0000FF"/>
          <w:sz w:val="20"/>
          <w:u w:val="single"/>
          <w:bdr w:val="double" w:sz="2" w:space="1" w:color="000000"/>
        </w:rPr>
        <w:t xml:space="preserve"> or Daily Simple RFR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or “</w:t>
      </w:r>
      <w:r>
        <w:rPr>
          <w:rFonts w:ascii="Times New Roman" w:hAnsi="Times New Roman"/>
          <w:sz w:val="20"/>
          <w:u w:val="single"/>
        </w:rPr>
        <w:t>Uniform Commercial Code</w:t>
      </w:r>
      <w:r>
        <w:rPr>
          <w:rFonts w:ascii="Times New Roman" w:hAnsi="Times New Roman"/>
          <w:sz w:val="20"/>
        </w:rPr>
        <w:t xml:space="preserve">” means the Uniform Commercial Code as in effect from time to time in the State of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 </w:t>
      </w:r>
    </w:p>
    <w:p>
      <w:pPr>
        <w:pStyle w:val="TextBody"/>
        <w:bidi w:val="0"/>
        <w:spacing w:before="240" w:after="0"/>
        <w:jc w:val="left"/>
        <w:rPr/>
      </w:pPr>
      <w:r>
        <w:rPr/>
        <w:t>“</w:t>
      </w:r>
      <w:r>
        <w:rPr>
          <w:rFonts w:ascii="Times New Roman" w:hAnsi="Times New Roman"/>
          <w:sz w:val="20"/>
          <w:u w:val="single"/>
        </w:rPr>
        <w:t>UCP</w:t>
      </w:r>
      <w:r>
        <w:rPr>
          <w:rFonts w:ascii="Times New Roman" w:hAnsi="Times New Roman"/>
          <w:sz w:val="20"/>
        </w:rPr>
        <w:t xml:space="preserve">”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Undisclosed Administration</w:t>
      </w:r>
      <w:r>
        <w:rPr>
          <w:rFonts w:ascii="Times New Roman" w:hAnsi="Times New Roman"/>
          <w:sz w:val="20"/>
        </w:rPr>
        <w:t xml:space="preserve">”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left"/>
        <w:rPr/>
      </w:pPr>
      <w:r>
        <w:rPr/>
        <w:t>“</w:t>
      </w:r>
      <w:r>
        <w:rPr>
          <w:rFonts w:ascii="Times New Roman" w:hAnsi="Times New Roman"/>
          <w:sz w:val="20"/>
          <w:u w:val="single"/>
        </w:rPr>
        <w:t>United States Tax Compliance Certificate</w:t>
      </w:r>
      <w:r>
        <w:rPr>
          <w:rFonts w:ascii="Times New Roman" w:hAnsi="Times New Roman"/>
          <w:sz w:val="20"/>
        </w:rPr>
        <w:t xml:space="preserve">” has the meaning assigned to such term in </w:t>
      </w:r>
      <w:r>
        <w:rPr>
          <w:rFonts w:ascii="Times New Roman" w:hAnsi="Times New Roman"/>
          <w:sz w:val="20"/>
          <w:u w:val="single"/>
        </w:rPr>
        <w:t>Section 2.16(e)(ii)(B)(3)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p>
    <w:p>
      <w:pPr>
        <w:pStyle w:val="TextBody"/>
        <w:bidi w:val="0"/>
        <w:spacing w:before="0" w:after="0"/>
        <w:jc w:val="left"/>
        <w:rPr/>
      </w:pPr>
      <w:r>
        <w:rPr/>
        <w:t>“</w:t>
      </w:r>
      <w:r>
        <w:rPr>
          <w:rFonts w:ascii="Times New Roman" w:hAnsi="Times New Roman"/>
          <w:sz w:val="20"/>
          <w:u w:val="single"/>
        </w:rPr>
        <w:t>Unrestricted Subsidiary</w:t>
      </w:r>
      <w:r>
        <w:rPr>
          <w:rFonts w:ascii="Times New Roman" w:hAnsi="Times New Roman"/>
          <w:sz w:val="20"/>
        </w:rPr>
        <w:t xml:space="preserve">” means any Subsidiary designated by the Borrower as an Unrestricted Subsidiary pursuant to </w:t>
      </w:r>
      <w:r>
        <w:rPr>
          <w:rFonts w:ascii="Times New Roman" w:hAnsi="Times New Roman"/>
          <w:sz w:val="20"/>
          <w:u w:val="single"/>
        </w:rPr>
        <w:t>Section 5.13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as amended from time to time. </w:t>
      </w:r>
    </w:p>
    <w:p>
      <w:pPr>
        <w:pStyle w:val="TextBody"/>
        <w:bidi w:val="0"/>
        <w:spacing w:before="240" w:after="0"/>
        <w:jc w:val="left"/>
        <w:rPr/>
      </w:pPr>
      <w:r>
        <w:rPr/>
        <w:t>“</w:t>
      </w:r>
      <w:r>
        <w:rPr>
          <w:rFonts w:ascii="Times New Roman" w:hAnsi="Times New Roman"/>
          <w:sz w:val="20"/>
          <w:u w:val="single"/>
        </w:rPr>
        <w:t>U.K. Borrower</w:t>
      </w:r>
      <w:r>
        <w:rPr>
          <w:rFonts w:ascii="Times New Roman" w:hAnsi="Times New Roman"/>
          <w:sz w:val="20"/>
        </w:rPr>
        <w:t xml:space="preserve">” means a Borrower incorporated in the United Kingdom and/or tax resident in the United Kingdom (and for these purposes it shall be assumed that a Borrower incorporated in Guernsey is tax resident in the United Kingdom). </w:t>
      </w:r>
    </w:p>
    <w:p>
      <w:pPr>
        <w:pStyle w:val="TextBody"/>
        <w:bidi w:val="0"/>
        <w:spacing w:before="240" w:after="0"/>
        <w:jc w:val="left"/>
        <w:rPr/>
      </w:pPr>
      <w:r>
        <w:rPr/>
        <w:t>“</w:t>
      </w:r>
      <w:r>
        <w:rPr>
          <w:rFonts w:ascii="Times New Roman" w:hAnsi="Times New Roman"/>
          <w:sz w:val="20"/>
          <w:u w:val="single"/>
        </w:rPr>
        <w:t>U.K. Non-Bank Lender</w:t>
      </w:r>
      <w:r>
        <w:rPr>
          <w:rFonts w:ascii="Times New Roman" w:hAnsi="Times New Roman"/>
          <w:sz w:val="20"/>
        </w:rPr>
        <w:t xml:space="preserve">” means a Lender (a) which is: (i) a company resident in the United Kingdom for United Kingdom tax purposes, (ii) a partnership each 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(b) which has provided a Tax Confirmation, and (c) in respect of which an officer of HMRC has not given, or has given and has subsequently revoked, a direction under section 931 of the ITA which relates to the payment.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pPr>
      <w:r>
        <w:rPr/>
        <w:t>“</w:t>
      </w:r>
      <w:r>
        <w:rPr>
          <w:rFonts w:ascii="Times New Roman" w:hAnsi="Times New Roman"/>
          <w:sz w:val="20"/>
          <w:u w:val="single"/>
        </w:rPr>
        <w:t>U.S. Loan Party</w:t>
      </w:r>
      <w:r>
        <w:rPr>
          <w:rFonts w:ascii="Times New Roman" w:hAnsi="Times New Roman"/>
          <w:sz w:val="20"/>
        </w:rPr>
        <w:t xml:space="preserve">” means any Loan Party that is organized in the United States, any state thereof or the District of Columbia. </w:t>
      </w:r>
    </w:p>
    <w:p>
      <w:pPr>
        <w:pStyle w:val="TextBody"/>
        <w:bidi w:val="0"/>
        <w:spacing w:before="240" w:after="0"/>
        <w:jc w:val="left"/>
        <w:rPr/>
      </w:pPr>
      <w:r>
        <w:rPr/>
        <w:t>“</w:t>
      </w:r>
      <w:r>
        <w:rPr>
          <w:rFonts w:ascii="Times New Roman" w:hAnsi="Times New Roman"/>
          <w:sz w:val="20"/>
          <w:u w:val="single"/>
        </w:rPr>
        <w:t>U.S. Restricted Subsidiary</w:t>
      </w:r>
      <w:r>
        <w:rPr>
          <w:rFonts w:ascii="Times New Roman" w:hAnsi="Times New Roman"/>
          <w:sz w:val="20"/>
        </w:rPr>
        <w:t xml:space="preserve">” means any Subsidiary of Bidco that is organized in the United States, any state thereof or the District of Columbia, other than an Unrestricted Subsidiary. </w:t>
      </w:r>
    </w:p>
    <w:p>
      <w:pPr>
        <w:pStyle w:val="TextBody"/>
        <w:bidi w:val="0"/>
        <w:spacing w:before="240" w:after="0"/>
        <w:jc w:val="left"/>
        <w:rPr/>
      </w:pPr>
      <w:r>
        <w:rPr/>
        <w:t>“</w:t>
      </w:r>
      <w:r>
        <w:rPr>
          <w:rFonts w:ascii="Times New Roman" w:hAnsi="Times New Roman"/>
          <w:sz w:val="20"/>
          <w:u w:val="single"/>
        </w:rPr>
        <w:t>U.S. Special Resolution Regimes</w:t>
      </w:r>
      <w:r>
        <w:rPr>
          <w:rFonts w:ascii="Times New Roman" w:hAnsi="Times New Roman"/>
          <w:sz w:val="20"/>
        </w:rPr>
        <w:t xml:space="preserve">” has the meaning assigned to such term in </w:t>
      </w:r>
      <w:r>
        <w:rPr>
          <w:rFonts w:ascii="Times New Roman" w:hAnsi="Times New Roman"/>
          <w:sz w:val="20"/>
          <w:u w:val="single"/>
        </w:rPr>
        <w:t>Section 9.20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Viasat</w:t>
      </w:r>
      <w:r>
        <w:rPr>
          <w:rFonts w:ascii="Times New Roman" w:hAnsi="Times New Roman"/>
          <w:sz w:val="20"/>
        </w:rPr>
        <w:t xml:space="preserve">” means Viasat, Inc., a Delaware corporation. </w:t>
      </w:r>
    </w:p>
    <w:p>
      <w:pPr>
        <w:pStyle w:val="TextBody"/>
        <w:bidi w:val="0"/>
        <w:spacing w:before="240" w:after="0"/>
        <w:jc w:val="left"/>
        <w:rPr/>
      </w:pPr>
      <w:r>
        <w:rPr/>
        <w:t>“</w:t>
      </w:r>
      <w:r>
        <w:rPr>
          <w:rFonts w:ascii="Times New Roman" w:hAnsi="Times New Roman"/>
          <w:sz w:val="20"/>
          <w:u w:val="single"/>
        </w:rPr>
        <w:t>Viasat Acquisition</w:t>
      </w:r>
      <w:r>
        <w:rPr>
          <w:rFonts w:ascii="Times New Roman" w:hAnsi="Times New Roman"/>
          <w:sz w:val="20"/>
        </w:rPr>
        <w:t>” means the acquisition by Viasat, directly or indirectly, of 100% of the issued share capital in Connect Topco Limited, a private company limited by shares and incorporated in Guernsey, an indirect parent company of Initial Holdings, as disclosed in the Form 8-K of Viasat dated November 8, 2021 (the “</w:t>
      </w:r>
      <w:r>
        <w:rPr>
          <w:rFonts w:ascii="Times New Roman" w:hAnsi="Times New Roman"/>
          <w:sz w:val="20"/>
          <w:u w:val="single"/>
        </w:rPr>
        <w:t>Viasat Filing</w:t>
      </w:r>
      <w:r>
        <w:rPr>
          <w:rFonts w:ascii="Times New Roman" w:hAnsi="Times New Roman"/>
          <w:sz w:val="20"/>
        </w:rPr>
        <w:t xml:space="preserve">”) pursuant to the Purchase Agreement (as defined in the Viasat Filing). </w:t>
      </w:r>
    </w:p>
    <w:p>
      <w:pPr>
        <w:pStyle w:val="TextBody"/>
        <w:bidi w:val="0"/>
        <w:spacing w:before="240" w:after="0"/>
        <w:jc w:val="left"/>
        <w:rPr/>
      </w:pPr>
      <w:r>
        <w:rPr/>
        <w:t>“</w:t>
      </w:r>
      <w:r>
        <w:rPr>
          <w:rFonts w:ascii="Times New Roman" w:hAnsi="Times New Roman"/>
          <w:sz w:val="20"/>
          <w:u w:val="single"/>
        </w:rPr>
        <w:t>VAT</w:t>
      </w:r>
      <w:r>
        <w:rPr>
          <w:rFonts w:ascii="Times New Roman" w:hAnsi="Times New Roman"/>
          <w:sz w:val="20"/>
        </w:rPr>
        <w:t xml:space="preserve">” (a) any tax imposed in any member state of the European Union pursuant to EC Council Directive 2006/112 on the common system of value added tax and national legislation implementing that Directive or any predecessor to it or supplemental to that Directive; and (b) any other sales or turnover tax of a similar nature, whether imposed in a member state of the European Union in or, or levied in addition to, such tax referred to in paragraph (a) above, or imposed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p>
    <w:p>
      <w:pPr>
        <w:pStyle w:val="TextBody"/>
        <w:bidi w:val="0"/>
        <w:spacing w:before="0" w:after="0"/>
        <w:jc w:val="left"/>
        <w:rPr/>
      </w:pPr>
      <w:r>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240" w:after="0"/>
        <w:jc w:val="left"/>
        <w:rPr/>
      </w:pPr>
      <w:r>
        <w:rPr/>
        <w:t>“</w:t>
      </w:r>
      <w:r>
        <w:rPr>
          <w:rFonts w:ascii="Times New Roman" w:hAnsi="Times New Roman"/>
          <w:sz w:val="20"/>
          <w:u w:val="single"/>
        </w:rPr>
        <w:t>Wholly Owned Restricted Subsidiary</w:t>
      </w:r>
      <w:r>
        <w:rPr>
          <w:rFonts w:ascii="Times New Roman" w:hAnsi="Times New Roman"/>
          <w:sz w:val="20"/>
        </w:rPr>
        <w:t xml:space="preserve">” means any Restricted Subsidiary that is a Wholly Owned Subsidiary. </w:t>
      </w:r>
    </w:p>
    <w:p>
      <w:pPr>
        <w:pStyle w:val="TextBody"/>
        <w:bidi w:val="0"/>
        <w:spacing w:before="240" w:after="0"/>
        <w:jc w:val="left"/>
        <w:rPr/>
      </w:pPr>
      <w:r>
        <w:rPr/>
        <w:t>“</w:t>
      </w:r>
      <w:r>
        <w:rPr>
          <w:rFonts w:ascii="Times New Roman" w:hAnsi="Times New Roman"/>
          <w:sz w:val="20"/>
          <w:u w:val="single"/>
        </w:rPr>
        <w:t>Wholly Owned Subsidiary</w:t>
      </w:r>
      <w:r>
        <w:rPr>
          <w:rFonts w:ascii="Times New Roman" w:hAnsi="Times New Roman"/>
          <w:sz w:val="20"/>
        </w:rPr>
        <w:t xml:space="preserve">”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sz w:val="20"/>
          <w:u w:val="single"/>
        </w:rPr>
        <w:t>Yen</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shall mean the lawful currency of Japan. </w:t>
      </w:r>
    </w:p>
    <w:p>
      <w:pPr>
        <w:pStyle w:val="TextBody"/>
        <w:bidi w:val="0"/>
        <w:spacing w:before="360" w:after="0"/>
        <w:jc w:val="left"/>
        <w:rPr>
          <w:rFonts w:ascii="Times New Roman" w:hAnsi="Times New Roman"/>
          <w:sz w:val="20"/>
        </w:rPr>
      </w:pPr>
      <w:r>
        <w:rPr>
          <w:rFonts w:ascii="Times New Roman" w:hAnsi="Times New Roman"/>
          <w:sz w:val="20"/>
        </w:rPr>
        <w:t>SECTION 1.02    </w:t>
      </w:r>
      <w:r>
        <w:rPr>
          <w:rFonts w:ascii="Times New Roman" w:hAnsi="Times New Roman"/>
          <w:sz w:val="20"/>
          <w:u w:val="single"/>
        </w:rPr>
        <w:t>Classification of 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For purposes of this Agreement, Loans and Borrowings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Loan</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Loan</w:t>
      </w:r>
      <w:r>
        <w:rPr>
          <w:rFonts w:ascii="Times New Roman" w:hAnsi="Times New Roman"/>
          <w:sz w:val="20"/>
        </w:rPr>
        <w:t>”</w:t>
      </w:r>
      <w:r>
        <w:rPr>
          <w:rFonts w:ascii="Times New Roman" w:hAnsi="Times New Roman"/>
          <w:strike/>
          <w:color w:val="FF0000"/>
          <w:sz w:val="20"/>
        </w:rPr>
        <w:t xml:space="preserve"> or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“Term Benchmark Loan”</w:t>
      </w:r>
      <w:r>
        <w:rPr>
          <w:rFonts w:ascii="Times New Roman" w:hAnsi="Times New Roman"/>
          <w:b/>
          <w:color w:val="0000FF"/>
          <w:sz w:val="20"/>
          <w:u w:val="single"/>
          <w:bdr w:val="double" w:sz="2" w:space="1" w:color="000000"/>
        </w:rPr>
        <w:t>,</w:t>
      </w:r>
      <w:r>
        <w:rPr>
          <w:rFonts w:ascii="Times New Roman" w:hAnsi="Times New Roman"/>
          <w:b/>
          <w:color w:val="0000FF"/>
          <w:sz w:val="20"/>
        </w:rPr>
        <w:t xml:space="preserve"> </w:t>
      </w:r>
      <w:r>
        <w:rPr>
          <w:rFonts w:ascii="Times New Roman" w:hAnsi="Times New Roman"/>
          <w:sz w:val="20"/>
        </w:rPr>
        <w:t>“</w:t>
      </w:r>
      <w:r>
        <w:rPr>
          <w:rFonts w:ascii="Times New Roman" w:hAnsi="Times New Roman"/>
          <w:sz w:val="20"/>
          <w:u w:val="single"/>
        </w:rPr>
        <w:t xml:space="preserve">ABR </w:t>
      </w:r>
      <w:r>
        <w:rPr>
          <w:rFonts w:ascii="Times New Roman" w:hAnsi="Times New Roman"/>
          <w:color w:val="0000FF"/>
          <w:sz w:val="20"/>
          <w:u w:val="single"/>
          <w:bdr w:val="double" w:sz="2" w:space="1" w:color="000000"/>
        </w:rPr>
        <w:t xml:space="preserve">Loan” or “RFR </w:t>
      </w:r>
      <w:r>
        <w:rPr>
          <w:rFonts w:ascii="Times New Roman" w:hAnsi="Times New Roman"/>
          <w:sz w:val="20"/>
          <w:u w:val="single"/>
        </w:rPr>
        <w:t>Loan</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 xml:space="preserve">Eurodollar </w:t>
      </w:r>
      <w:r>
        <w:rPr>
          <w:rFonts w:ascii="Times New Roman" w:hAnsi="Times New Roman"/>
          <w:color w:val="0000FF"/>
          <w:sz w:val="20"/>
          <w:u w:val="single"/>
          <w:bdr w:val="double" w:sz="2" w:space="1" w:color="000000"/>
        </w:rPr>
        <w:t xml:space="preserve">Revolving Loan” or “Term Benchmark </w:t>
      </w:r>
      <w:r>
        <w:rPr>
          <w:rFonts w:ascii="Times New Roman" w:hAnsi="Times New Roman"/>
          <w:sz w:val="20"/>
          <w:u w:val="single"/>
        </w:rPr>
        <w:t>Revolving Loan</w:t>
      </w:r>
      <w:r>
        <w:rPr>
          <w:rFonts w:ascii="Times New Roman" w:hAnsi="Times New Roman"/>
          <w:sz w:val="20"/>
        </w:rPr>
        <w:t>”). Borrowings also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Borrowing</w:t>
      </w:r>
      <w:r>
        <w:rPr>
          <w:rFonts w:ascii="Times New Roman" w:hAnsi="Times New Roman"/>
          <w:sz w:val="20"/>
        </w:rPr>
        <w:t>” or “</w:t>
      </w:r>
      <w:r>
        <w:rPr>
          <w:rFonts w:ascii="Times New Roman" w:hAnsi="Times New Roman"/>
          <w:sz w:val="20"/>
          <w:u w:val="single"/>
        </w:rPr>
        <w:t>Term Borrowing</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Borrowing</w:t>
      </w:r>
      <w:r>
        <w:rPr>
          <w:rFonts w:ascii="Times New Roman" w:hAnsi="Times New Roman"/>
          <w:sz w:val="20"/>
        </w:rPr>
        <w:t>”</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“Term Benchmark Borrowing” or “RFR Borrowing”</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Eurodollar Revolving Borrowing</w:t>
      </w:r>
      <w:r>
        <w:rPr>
          <w:rFonts w:ascii="Times New Roman" w:hAnsi="Times New Roman"/>
          <w:sz w:val="20"/>
        </w:rPr>
        <w:t>”</w:t>
      </w:r>
      <w:r>
        <w:rPr>
          <w:rFonts w:ascii="Times New Roman" w:hAnsi="Times New Roman"/>
          <w:color w:val="0000FF"/>
          <w:sz w:val="20"/>
          <w:u w:val="single"/>
          <w:bdr w:val="double" w:sz="2" w:space="1" w:color="000000"/>
        </w:rPr>
        <w:t xml:space="preserve"> or “Term Benchmark Revolving Borrowing”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1.03    </w:t>
      </w:r>
      <w:r>
        <w:rPr>
          <w:rFonts w:ascii="Times New Roman" w:hAnsi="Times New Roman"/>
          <w:sz w:val="20"/>
          <w:u w:val="single"/>
        </w:rPr>
        <w:t>Terms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p>
    <w:p>
      <w:pPr>
        <w:pStyle w:val="TextBody"/>
        <w:bidi w:val="0"/>
        <w:spacing w:before="0" w:after="0"/>
        <w:jc w:val="left"/>
        <w:rPr>
          <w:rFonts w:ascii="Times New Roman" w:hAnsi="Times New Roman"/>
          <w:sz w:val="20"/>
        </w:rPr>
      </w:pPr>
      <w:r>
        <w:rPr>
          <w:rFonts w:ascii="Times New Roman" w:hAnsi="Times New Roman"/>
          <w:sz w:val="20"/>
        </w:rPr>
        <w:t xml:space="preserve">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360" w:after="0"/>
        <w:jc w:val="left"/>
        <w:rPr>
          <w:rFonts w:ascii="Times New Roman" w:hAnsi="Times New Roman"/>
          <w:sz w:val="20"/>
        </w:rPr>
      </w:pPr>
      <w:r>
        <w:rPr>
          <w:rFonts w:ascii="Times New Roman" w:hAnsi="Times New Roman"/>
          <w:sz w:val="20"/>
        </w:rPr>
        <w:t>SECTION 1.04    </w:t>
      </w:r>
      <w:r>
        <w:rPr>
          <w:rFonts w:ascii="Times New Roman" w:hAnsi="Times New Roman"/>
          <w:sz w:val="20"/>
          <w:u w:val="single"/>
        </w:rPr>
        <w:t>Accounting Terms; IFRS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IFRS, except as otherwise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 </w:t>
      </w:r>
    </w:p>
    <w:p>
      <w:pPr>
        <w:pStyle w:val="TextBody"/>
        <w:bidi w:val="0"/>
        <w:spacing w:before="360" w:after="0"/>
        <w:jc w:val="left"/>
        <w:rPr>
          <w:rFonts w:ascii="Times New Roman" w:hAnsi="Times New Roman"/>
          <w:sz w:val="20"/>
        </w:rPr>
      </w:pPr>
      <w:r>
        <w:rPr>
          <w:rFonts w:ascii="Times New Roman" w:hAnsi="Times New Roman"/>
          <w:sz w:val="20"/>
        </w:rPr>
        <w:t>SECTION 1.05    </w:t>
      </w:r>
      <w:r>
        <w:rPr>
          <w:rFonts w:ascii="Times New Roman" w:hAnsi="Times New Roman"/>
          <w:sz w:val="20"/>
          <w:u w:val="single"/>
        </w:rPr>
        <w:t>Effectuation of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references herein to Holdings, Bidco and the other Subsidiaries shall be deemed to be references to such Persons, and all the representations and warranties of Holdings, any Intermediate Parent, Bidco and the other Loan Parties contained in this Agreement and the other Loan Documents shall be deemed made, in each case, after giving effect to the Acquisition and the other Transactions to occur on the Effective Date, unless the context otherwise requires.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SECTION 1.06    </w:t>
      </w:r>
      <w:r>
        <w:rPr>
          <w:rFonts w:ascii="Times New Roman" w:hAnsi="Times New Roman"/>
          <w:sz w:val="20"/>
          <w:u w:val="single"/>
        </w:rPr>
        <w:t>Limited Condition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in this Agreement or any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Bidco (Bidco’s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xml:space="preserve">”),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p>
    <w:p>
      <w:pPr>
        <w:pStyle w:val="TextBody"/>
        <w:bidi w:val="0"/>
        <w:spacing w:before="0" w:after="0"/>
        <w:jc w:val="left"/>
        <w:rPr>
          <w:rFonts w:ascii="Times New Roman" w:hAnsi="Times New Roman"/>
          <w:sz w:val="20"/>
        </w:rPr>
      </w:pPr>
      <w:r>
        <w:rPr>
          <w:rFonts w:ascii="Times New Roman" w:hAnsi="Times New Roman"/>
          <w:sz w:val="20"/>
        </w:rPr>
        <w:t>deemed to be either (i) the date the definitive agreements for such Limited Condition Transaction are entered into (or, in respect of any transaction described in clause (b) of the definition of “Limited Condition Transaction”, delivery of irrevocable notice or similar event) or (ii) solely in connection with an acquisition to which the City Code applies, the date on which a “Rule 2.7 announcement” of a firm intention to make an offer in respect of a target company is made in compliance with the City Code (the “</w:t>
      </w:r>
      <w:r>
        <w:rPr>
          <w:rFonts w:ascii="Times New Roman" w:hAnsi="Times New Roman"/>
          <w:sz w:val="20"/>
          <w:u w:val="single"/>
        </w:rPr>
        <w:t>LCT Test Date</w:t>
      </w:r>
      <w:r>
        <w:rPr>
          <w:rFonts w:ascii="Times New Roman" w:hAnsi="Times New Roman"/>
          <w:sz w:val="20"/>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Bidco could have taken such action on the relevant LCT Test Date in compliance with such ratios and provisions, such provisions shall be deemed to have been complied with; </w:t>
      </w:r>
      <w:r>
        <w:rPr>
          <w:rFonts w:ascii="Times New Roman" w:hAnsi="Times New Roman"/>
          <w:i/>
          <w:sz w:val="20"/>
        </w:rPr>
        <w:t xml:space="preserve">provided </w:t>
      </w:r>
      <w:r>
        <w:rPr>
          <w:rFonts w:ascii="Times New Roman" w:hAnsi="Times New Roman"/>
          <w:sz w:val="20"/>
        </w:rPr>
        <w:t xml:space="preserve">that at the option of Bidco,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Bidco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Bidco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 (or, if applicable, the irrevocable notice or similar event is terminated or expires). </w:t>
      </w:r>
    </w:p>
    <w:p>
      <w:pPr>
        <w:pStyle w:val="TextBody"/>
        <w:bidi w:val="0"/>
        <w:spacing w:before="360" w:after="0"/>
        <w:jc w:val="left"/>
        <w:rPr>
          <w:rFonts w:ascii="Times New Roman" w:hAnsi="Times New Roman"/>
          <w:sz w:val="20"/>
        </w:rPr>
      </w:pPr>
      <w:r>
        <w:rPr>
          <w:rFonts w:ascii="Times New Roman" w:hAnsi="Times New Roman"/>
          <w:sz w:val="20"/>
        </w:rPr>
        <w:t>SECTION 1.07    </w:t>
      </w:r>
      <w:r>
        <w:rPr>
          <w:rFonts w:ascii="Times New Roman" w:hAnsi="Times New Roman"/>
          <w:sz w:val="20"/>
          <w:u w:val="single"/>
        </w:rPr>
        <w:t>Certain Determinations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compliance with any of the covenants set forth in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(including in connection with any Incremental Facility) at any time (whether at the time of incurrence or thereafter), any Lien, Investment, Indebtedness, Restricted Payment, Asset Sale or Affiliate transaction meets the criteria of one, or more than one, of the categories permitted pursuant to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(including in connection with any Incremental Facility), Bidco (i) shall in its sole discretion determine under which category such Lien (other than Liens securing the Secured Obligations), Investment, Indebtedness (other than Indebtedness incurred under the Loan Documents), Asset Sale, Restricted Payment or Affiliate transaction (or, in each case, any portion there) is permitted and (ii) shall be permitted, in its sole discretion, to make any redetermination and/or to divide, classify or reclassify under which category or categories such Lien, Investment, Indebtedness, Asset Sale, Restricted Payment or Affiliate transaction is permitted from time to time as it may determine and without notice to the Administrative Agent or any Lender, so long as at the time of such redesignation Bidco would be permitted to incur such Lien, Investment, Indebtedness or Restricted Payment under such category or categories, as applicable. For the avoidance of doubt, if the applicable date for meeting any requirement hereunder or under any other Loan Document falls on a day that is not a Business Day, compliance with such requirement shall not be required until noon on the first Business Day following such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p>
    <w:p>
      <w:pPr>
        <w:pStyle w:val="TextBody"/>
        <w:bidi w:val="0"/>
        <w:spacing w:before="0" w:after="0"/>
        <w:jc w:val="left"/>
        <w:rPr>
          <w:rFonts w:ascii="Times New Roman" w:hAnsi="Times New Roman"/>
          <w:sz w:val="20"/>
        </w:rPr>
      </w:pPr>
      <w:r>
        <w:rPr>
          <w:rFonts w:ascii="Times New Roman" w:hAnsi="Times New Roman"/>
          <w:sz w:val="20"/>
        </w:rPr>
        <w:t>(b)     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w:t>
      </w:r>
      <w:r>
        <w:rPr>
          <w:rFonts w:ascii="Times New Roman" w:hAnsi="Times New Roman"/>
          <w:sz w:val="20"/>
          <w:u w:val="single"/>
        </w:rPr>
        <w:t>Fixed Amounts</w:t>
      </w:r>
      <w:r>
        <w:rPr>
          <w:rFonts w:ascii="Times New Roman" w:hAnsi="Times New Roman"/>
          <w:sz w:val="20"/>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hAnsi="Times New Roman"/>
          <w:sz w:val="20"/>
          <w:u w:val="single"/>
        </w:rPr>
        <w:t>Incurrence Based Amounts</w:t>
      </w:r>
      <w:r>
        <w:rPr>
          <w:rFonts w:ascii="Times New Roman" w:hAnsi="Times New Roman"/>
          <w:sz w:val="2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 w:hAnsi="Times New Roman"/>
          <w:sz w:val="20"/>
          <w:u w:val="single"/>
        </w:rPr>
        <w:t>Section 6.01</w:t>
      </w:r>
      <w:r>
        <w:rPr>
          <w:rFonts w:ascii="Times New Roman" w:hAnsi="Times New Roman"/>
          <w:sz w:val="20"/>
        </w:rPr>
        <w:t xml:space="preserve"> or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Form Intercreditor Agreements shall be deemed to be reasonable and acceptable to the Administrative Agent and the Lenders, the Administrative Agent and the Lenders shall be deemed to have consented to the use of each such Form Intercreditor Agreement (and to the Administrative Agent’s execution thereof) in connection with any Indebtedness secured by the Collateral that is permitted to be incurred, issued and/or assumed by Bidco or any of its Subsidiaries pursuant to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Section 6.02</w:t>
      </w:r>
      <w:r>
        <w:rPr>
          <w:rFonts w:ascii="Times New Roman" w:hAnsi="Times New Roman"/>
          <w:sz w:val="20"/>
        </w:rPr>
        <w:t xml:space="preserve"> and the Administrative Agent shall be authorized to execute and deliver on behalf of the Secured Parties the applicable Form Intercreditor Agreements. </w:t>
      </w:r>
    </w:p>
    <w:p>
      <w:pPr>
        <w:pStyle w:val="TextBody"/>
        <w:bidi w:val="0"/>
        <w:spacing w:before="360" w:after="0"/>
        <w:jc w:val="left"/>
        <w:rPr>
          <w:rFonts w:ascii="Times New Roman" w:hAnsi="Times New Roman"/>
          <w:sz w:val="20"/>
        </w:rPr>
      </w:pPr>
      <w:r>
        <w:rPr>
          <w:rFonts w:ascii="Times New Roman" w:hAnsi="Times New Roman"/>
          <w:sz w:val="20"/>
        </w:rPr>
        <w:t>SECTION 1.08    </w:t>
      </w:r>
      <w:r>
        <w:rPr>
          <w:rFonts w:ascii="Times New Roman" w:hAnsi="Times New Roman"/>
          <w:sz w:val="20"/>
          <w:u w:val="single"/>
        </w:rPr>
        <w:t>Additional Alternative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and the Borrowers may from time to time request that Eurodollar </w:t>
      </w:r>
      <w:r>
        <w:rPr>
          <w:rFonts w:ascii="Times New Roman" w:hAnsi="Times New Roman"/>
          <w:color w:val="0000FF"/>
          <w:sz w:val="20"/>
          <w:u w:val="single"/>
          <w:bdr w:val="double" w:sz="2" w:space="1" w:color="000000"/>
        </w:rPr>
        <w:t>Revolving Loans or Term Benchmark</w:t>
      </w:r>
      <w:r>
        <w:rPr>
          <w:rFonts w:ascii="Times New Roman" w:hAnsi="Times New Roman"/>
          <w:sz w:val="20"/>
        </w:rPr>
        <w:t xml:space="preserve"> Revolving Loans be made and/or Letters of Credit be issued in a currency other than dollars or those specifically listed in the definition of “Alternative Currency.” In the case of any such request with respect to the making of Eurodollar Revolving Loans</w:t>
      </w:r>
      <w:r>
        <w:rPr>
          <w:rFonts w:ascii="Times New Roman" w:hAnsi="Times New Roman"/>
          <w:color w:val="0000FF"/>
          <w:sz w:val="20"/>
          <w:u w:val="single"/>
          <w:bdr w:val="double" w:sz="2" w:space="1" w:color="000000"/>
        </w:rPr>
        <w:t xml:space="preserve"> or Term Benchmark Revolving Loans</w:t>
      </w:r>
      <w:r>
        <w:rPr>
          <w:rFonts w:ascii="Times New Roman" w:hAnsi="Times New Roman"/>
          <w:sz w:val="20"/>
        </w:rPr>
        <w:t xml:space="preserve">, such request shall be subject to the approval of the Administrative Agent and all of the Revolving Lenders. In the case of any such request with respect to the issuance of Letters of Credit, such request shall be subject to the approval of the Administrative Agent, the applicable Issuing Bank and all of the Revolving Lenders. </w:t>
      </w:r>
    </w:p>
    <w:p>
      <w:pPr>
        <w:pStyle w:val="TextBody"/>
        <w:bidi w:val="0"/>
        <w:spacing w:before="240" w:after="0"/>
        <w:jc w:val="left"/>
        <w:rPr>
          <w:rFonts w:ascii="Times New Roman" w:hAnsi="Times New Roman"/>
          <w:sz w:val="20"/>
        </w:rPr>
      </w:pPr>
      <w:r>
        <w:rPr>
          <w:rFonts w:ascii="Times New Roman" w:hAnsi="Times New Roman"/>
          <w:sz w:val="20"/>
        </w:rPr>
        <w:t>(b)     Any such request shall be made to the Administrative Agent not later than 11:00 a.m. (New York City time), ten (10) Business Days prior to the date of the desired Revolving Borrowing or issuance of Letters of Credit (or such other time or date as may be agreed to by the Administrative Agent and, in the case of any such request pertaining to Letters of Credit, each Issuing Bank, in its or their sole discretion). In the case of any such request pertaining to Eurodollar Revolving Loans</w:t>
      </w:r>
      <w:r>
        <w:rPr>
          <w:rFonts w:ascii="Times New Roman" w:hAnsi="Times New Roman"/>
          <w:color w:val="0000FF"/>
          <w:sz w:val="20"/>
          <w:u w:val="single"/>
          <w:bdr w:val="double" w:sz="2" w:space="1" w:color="000000"/>
        </w:rPr>
        <w:t xml:space="preserve"> or Term Benchmark Revolving Loans</w:t>
      </w:r>
      <w:r>
        <w:rPr>
          <w:rFonts w:ascii="Times New Roman" w:hAnsi="Times New Roman"/>
          <w:sz w:val="20"/>
        </w:rPr>
        <w:t xml:space="preserve">, the Administrative Agent shall promptly notify each Revolving Lender thereof. In the case of any such request pertaining to Letters of Credit, the Administrative Agent shall promptly notify the applicable Issuing Bank thereof. Each Revolving Lender (in the case of any such request pertaining to Eurodollar </w:t>
      </w:r>
      <w:r>
        <w:rPr>
          <w:rFonts w:ascii="Times New Roman" w:hAnsi="Times New Roman"/>
          <w:color w:val="0000FF"/>
          <w:sz w:val="20"/>
          <w:u w:val="single"/>
          <w:bdr w:val="double" w:sz="2" w:space="1" w:color="000000"/>
        </w:rPr>
        <w:t xml:space="preserve">Revolving Loans or Term Benchmark </w:t>
      </w:r>
      <w:r>
        <w:rPr>
          <w:rFonts w:ascii="Times New Roman" w:hAnsi="Times New Roman"/>
          <w:sz w:val="20"/>
        </w:rPr>
        <w:t xml:space="preserve">Revolving Loans) or each Issuing Bank (in the case of a request pertaining to Letters of Credit) shall notify the Administrative Agent, not later than 11:00 a.m. (New York City time), two (2) Business Days after its receipt of such request as to whether it consents, in its sole discretion, to the making of Eurodollar Revolving Loans or </w:t>
      </w:r>
      <w:r>
        <w:rPr>
          <w:rFonts w:ascii="Times New Roman" w:hAnsi="Times New Roman"/>
          <w:color w:val="0000FF"/>
          <w:sz w:val="20"/>
          <w:u w:val="single"/>
          <w:bdr w:val="double" w:sz="2" w:space="1" w:color="000000"/>
        </w:rPr>
        <w:t xml:space="preserve">Term Benchmark Revolving Loans or </w:t>
      </w:r>
      <w:r>
        <w:rPr>
          <w:rFonts w:ascii="Times New Roman" w:hAnsi="Times New Roman"/>
          <w:sz w:val="20"/>
        </w:rPr>
        <w:t xml:space="preserve">the issuance of Letters of Credit, as the case may be, in such requested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p>
    <w:p>
      <w:pPr>
        <w:pStyle w:val="TextBody"/>
        <w:bidi w:val="0"/>
        <w:spacing w:before="0" w:after="0"/>
        <w:jc w:val="left"/>
        <w:rPr>
          <w:rFonts w:ascii="Times New Roman" w:hAnsi="Times New Roman"/>
          <w:sz w:val="20"/>
        </w:rPr>
      </w:pPr>
      <w:r>
        <w:rPr>
          <w:rFonts w:ascii="Times New Roman" w:hAnsi="Times New Roman"/>
          <w:sz w:val="20"/>
        </w:rPr>
        <w:t xml:space="preserve">(c)     Any failure by a Revolving Lender or an Issuing Bank, as the case may be, to respond to such request within the time period specified in the last sentence of clause (b) above shall be deemed to be a refusal by such Revolving Lender or such Issuing Bank, as the case may be, to permit Eurodollar Revolving Loans </w:t>
      </w:r>
      <w:r>
        <w:rPr>
          <w:rFonts w:ascii="Times New Roman" w:hAnsi="Times New Roman"/>
          <w:color w:val="0000FF"/>
          <w:sz w:val="20"/>
          <w:u w:val="single"/>
          <w:bdr w:val="double" w:sz="2" w:space="1" w:color="000000"/>
        </w:rPr>
        <w:t xml:space="preserve">or Term Benchmark Revolving Loans </w:t>
      </w:r>
      <w:r>
        <w:rPr>
          <w:rFonts w:ascii="Times New Roman" w:hAnsi="Times New Roman"/>
          <w:sz w:val="20"/>
        </w:rPr>
        <w:t xml:space="preserve">to be made or Letters of Credit to be issued in such requested currency. If the Administrative Agent and all the Revolving Lenders consent to making Eurodollar </w:t>
      </w:r>
      <w:r>
        <w:rPr>
          <w:rFonts w:ascii="Times New Roman" w:hAnsi="Times New Roman"/>
          <w:color w:val="0000FF"/>
          <w:sz w:val="20"/>
          <w:u w:val="single"/>
          <w:bdr w:val="double" w:sz="2" w:space="1" w:color="000000"/>
        </w:rPr>
        <w:t xml:space="preserve">Revolving Loans or Term Benchmark </w:t>
      </w:r>
      <w:r>
        <w:rPr>
          <w:rFonts w:ascii="Times New Roman" w:hAnsi="Times New Roman"/>
          <w:sz w:val="20"/>
        </w:rPr>
        <w:t xml:space="preserve">Revolving Loans in such requested currency, the Administrative Agent shall so notify Bidco and the Borrowers and such currency shall thereupon be deemed for all purposes to be an Alternative Currency hereunder for purposes of any Borrowings of Eurodollar Revolving </w:t>
      </w:r>
      <w:r>
        <w:rPr>
          <w:rFonts w:ascii="Times New Roman" w:hAnsi="Times New Roman"/>
          <w:color w:val="0000FF"/>
          <w:sz w:val="20"/>
          <w:u w:val="single"/>
          <w:bdr w:val="double" w:sz="2" w:space="1" w:color="000000"/>
        </w:rPr>
        <w:t xml:space="preserve">Loans or Term Benchmark Revolving </w:t>
      </w:r>
      <w:r>
        <w:rPr>
          <w:rFonts w:ascii="Times New Roman" w:hAnsi="Times New Roman"/>
          <w:sz w:val="20"/>
        </w:rPr>
        <w:t xml:space="preserve">Loans. If the Administrative Agent and each Issuing Bank consent to the issuance of Letters of Credit in such requested currency, the Administrative Agent shall so notify Bidco and the Borrowers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hAnsi="Times New Roman"/>
          <w:sz w:val="20"/>
          <w:u w:val="single"/>
        </w:rPr>
        <w:t>Section 1.08</w:t>
      </w:r>
      <w:r>
        <w:rPr>
          <w:rFonts w:ascii="Times New Roman" w:hAnsi="Times New Roman"/>
          <w:sz w:val="20"/>
        </w:rPr>
        <w:t xml:space="preserve">, the Administrative Agent shall promptly so notify Bidco and the Borrowers. </w:t>
      </w:r>
    </w:p>
    <w:p>
      <w:pPr>
        <w:pStyle w:val="TextBody"/>
        <w:bidi w:val="0"/>
        <w:spacing w:before="360" w:after="0"/>
        <w:jc w:val="left"/>
        <w:rPr>
          <w:rFonts w:ascii="Times New Roman" w:hAnsi="Times New Roman"/>
          <w:sz w:val="20"/>
        </w:rPr>
      </w:pPr>
      <w:r>
        <w:rPr>
          <w:rFonts w:ascii="Times New Roman" w:hAnsi="Times New Roman"/>
          <w:sz w:val="20"/>
        </w:rPr>
        <w:t>SECTION 1.09    </w:t>
      </w:r>
      <w:r>
        <w:rPr>
          <w:rFonts w:ascii="Times New Roman" w:hAnsi="Times New Roman"/>
          <w:sz w:val="20"/>
          <w:u w:val="single"/>
        </w:rPr>
        <w:t>Currency Equivalents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Wherever in this Agreement in connection with a Borrowing, conversion, continuation or prepayment of a Eurodollar </w:t>
      </w:r>
      <w:r>
        <w:rPr>
          <w:rFonts w:ascii="Times New Roman" w:hAnsi="Times New Roman"/>
          <w:color w:val="0000FF"/>
          <w:sz w:val="20"/>
          <w:u w:val="single"/>
          <w:bdr w:val="double" w:sz="2" w:space="1" w:color="000000"/>
        </w:rPr>
        <w:t xml:space="preserve">Loan or Term Benchmark </w:t>
      </w:r>
      <w:r>
        <w:rPr>
          <w:rFonts w:ascii="Times New Roman" w:hAnsi="Times New Roman"/>
          <w:sz w:val="20"/>
        </w:rPr>
        <w:t>Loan or the issuance, amendment or extension of a Letter of Credit, an amount, such as a required minimum or multiple amount, is expressed in dollars, but such Borrowing, Eurodollar Loan</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Term Benchmark Loan</w:t>
      </w:r>
      <w:r>
        <w:rPr>
          <w:rFonts w:ascii="Times New Roman" w:hAnsi="Times New Roman"/>
          <w:sz w:val="20"/>
        </w:rPr>
        <w:t xml:space="preserve">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 </w:t>
      </w:r>
    </w:p>
    <w:p>
      <w:pPr>
        <w:pStyle w:val="TextBody"/>
        <w:bidi w:val="0"/>
        <w:spacing w:before="360" w:after="0"/>
        <w:jc w:val="left"/>
        <w:rPr>
          <w:rFonts w:ascii="Times New Roman" w:hAnsi="Times New Roman"/>
          <w:sz w:val="20"/>
        </w:rPr>
      </w:pPr>
      <w:r>
        <w:rPr>
          <w:rFonts w:ascii="Times New Roman" w:hAnsi="Times New Roman"/>
          <w:sz w:val="20"/>
        </w:rPr>
        <w:t>SECTION 1.10    </w:t>
      </w:r>
      <w:r>
        <w:rPr>
          <w:rFonts w:ascii="Times New Roman" w:hAnsi="Times New Roman"/>
          <w:sz w:val="20"/>
          <w:u w:val="single"/>
        </w:rPr>
        <w:t>Divisions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hAnsi="Times New Roman"/>
          <w:sz w:val="20"/>
          <w:u w:val="single"/>
        </w:rPr>
        <w:t>Division</w:t>
      </w:r>
      <w:r>
        <w:rPr>
          <w:rFonts w:ascii="Times New Roman" w:hAnsi="Times New Roman"/>
          <w:sz w:val="20"/>
        </w:rPr>
        <w:t xml:space="preserve">”),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 </w:t>
      </w:r>
    </w:p>
    <w:p>
      <w:pPr>
        <w:pStyle w:val="TextBody"/>
        <w:bidi w:val="0"/>
        <w:spacing w:before="360" w:after="0"/>
        <w:jc w:val="left"/>
        <w:rPr>
          <w:rFonts w:ascii="Times New Roman" w:hAnsi="Times New Roman"/>
          <w:sz w:val="20"/>
        </w:rPr>
      </w:pPr>
      <w:r>
        <w:rPr>
          <w:rFonts w:ascii="Times New Roman" w:hAnsi="Times New Roman"/>
          <w:sz w:val="20"/>
        </w:rPr>
        <w:t>SECTION 1.11    </w:t>
      </w:r>
      <w:r>
        <w:rPr>
          <w:rFonts w:ascii="Times New Roman" w:hAnsi="Times New Roman"/>
          <w:sz w:val="20"/>
          <w:u w:val="single"/>
        </w:rPr>
        <w:t>Agreed Security Principles; Guarantee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Guarantee Agreement, the Security Documents, the determination of Collateral and assets that constitute Excluded Assets of any Non-U.S. Loan Party and each other guaranty and security document delivered or to be delivered under this Agreement, and any obligation to enter into such document or obligation and/or provide security in any Collateral, by any Non-U.S. Loan Party shall be subject in all respects to the Agreed Security Principles and the Guarantee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p>
    <w:p>
      <w:pPr>
        <w:pStyle w:val="TextBody"/>
        <w:bidi w:val="0"/>
        <w:spacing w:before="0" w:after="0"/>
        <w:jc w:val="left"/>
        <w:rPr>
          <w:rFonts w:ascii="Times New Roman" w:hAnsi="Times New Roman"/>
          <w:sz w:val="20"/>
        </w:rPr>
      </w:pPr>
      <w:r>
        <w:rPr>
          <w:rFonts w:ascii="Times New Roman" w:hAnsi="Times New Roman"/>
          <w:sz w:val="20"/>
        </w:rPr>
        <w:t>SECTION 1.12    </w:t>
      </w:r>
      <w:r>
        <w:rPr>
          <w:rFonts w:ascii="Times New Roman" w:hAnsi="Times New Roman"/>
          <w:sz w:val="20"/>
          <w:u w:val="single"/>
        </w:rPr>
        <w:t>Additional Borrowers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w:t>
      </w:r>
      <w:r>
        <w:rPr>
          <w:rFonts w:ascii="Times New Roman" w:hAnsi="Times New Roman"/>
          <w:sz w:val="20"/>
          <w:u w:val="single"/>
        </w:rPr>
        <w:t>Section 9.02</w:t>
      </w:r>
      <w:r>
        <w:rPr>
          <w:rFonts w:ascii="Times New Roman" w:hAnsi="Times New Roman"/>
          <w:sz w:val="20"/>
        </w:rPr>
        <w:t xml:space="preserve"> to the contrary, following the Effective Date, Bidco and the Borrowers may request that one or more Subsidiaries of Bidco that is a Restricted Subsidiary incorporated under the laws of England and Wales be added as an additional Revolving Borrower under the Revolving Facility by delivering to the Administrative Agent an Additional Borrower Agreement executed by such Subsidiary and the Borrower Representative. Such Subsidiary shall for all purposes of this Agreement be a Revolving Borrower and a Borrower hereunder after the latest of (i) five (5) Business Days (or such shorter period as the Administrative Agent shall agree) after delivery of such Additional Borrower Agreement and (ii)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without any written objection submitted by the Lenders or the Administrative Agent within five (5) Business Days of the date of receipt of such documentation and other information; </w:t>
      </w:r>
      <w:r>
        <w:rPr>
          <w:rFonts w:ascii="Times New Roman" w:hAnsi="Times New Roman"/>
          <w:i/>
          <w:sz w:val="20"/>
        </w:rPr>
        <w:t xml:space="preserve">provided </w:t>
      </w:r>
      <w:r>
        <w:rPr>
          <w:rFonts w:ascii="Times New Roman" w:hAnsi="Times New Roman"/>
          <w:sz w:val="20"/>
        </w:rPr>
        <w:t xml:space="preserve">that each Additional Borrower shall also be a Guarantor. Any obligations in respect of Borrowings by any Additional Borrower under this Agreement will constitute “Loan Document Obligations” for all purposes of the Loan Documents. Promptly following receipt of any Additional Borrower Agreement, the Administrative Agent shall send a copy thereof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Borrower Representative</w:t>
      </w:r>
      <w:r>
        <w:rPr>
          <w:rFonts w:ascii="Times New Roman" w:hAnsi="Times New Roman"/>
          <w:sz w:val="20"/>
        </w:rPr>
        <w:t>. Each Borrower hereby designates the Finco Borrower as its borrower representative (the “</w:t>
      </w:r>
      <w:r>
        <w:rPr>
          <w:rFonts w:ascii="Times New Roman" w:hAnsi="Times New Roman"/>
          <w:sz w:val="20"/>
          <w:u w:val="single"/>
        </w:rPr>
        <w:t>Borrower Representative</w:t>
      </w:r>
      <w:r>
        <w:rPr>
          <w:rFonts w:ascii="Times New Roman" w:hAnsi="Times New Roman"/>
          <w:sz w:val="20"/>
        </w:rPr>
        <w:t xml:space="preserve">”). The Borrower Representative may act as agent on behalf of each of the Borrowers for the purposes of issuing notices of Borrowing and notices of conversion/continuation of any Loans pursuant to </w:t>
      </w:r>
      <w:r>
        <w:rPr>
          <w:rFonts w:ascii="Times New Roman" w:hAnsi="Times New Roman"/>
          <w:sz w:val="20"/>
          <w:u w:val="single"/>
        </w:rPr>
        <w:t>Section 2.02</w:t>
      </w:r>
      <w:r>
        <w:rPr>
          <w:rFonts w:ascii="Times New Roman" w:hAnsi="Times New Roman"/>
          <w:sz w:val="20"/>
        </w:rPr>
        <w:t xml:space="preserve"> or </w:t>
      </w:r>
      <w:r>
        <w:rPr>
          <w:rFonts w:ascii="Times New Roman" w:hAnsi="Times New Roman"/>
          <w:sz w:val="20"/>
          <w:u w:val="single"/>
        </w:rPr>
        <w:t>2.03</w:t>
      </w:r>
      <w:r>
        <w:rPr>
          <w:rFonts w:ascii="Times New Roman" w:hAnsi="Times New Roman"/>
          <w:sz w:val="20"/>
        </w:rPr>
        <w:t xml:space="preserve">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and certifications)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 </w:t>
      </w:r>
    </w:p>
    <w:p>
      <w:pPr>
        <w:pStyle w:val="TextBody"/>
        <w:bidi w:val="0"/>
        <w:spacing w:before="360" w:after="0"/>
        <w:jc w:val="left"/>
        <w:rPr>
          <w:rFonts w:ascii="Times New Roman" w:hAnsi="Times New Roman"/>
          <w:sz w:val="20"/>
        </w:rPr>
      </w:pPr>
      <w:r>
        <w:rPr>
          <w:rFonts w:ascii="Times New Roman" w:hAnsi="Times New Roman"/>
          <w:sz w:val="20"/>
        </w:rPr>
        <w:t>SECTION 1.14    </w:t>
      </w:r>
      <w:r>
        <w:rPr>
          <w:rFonts w:ascii="Times New Roman" w:hAnsi="Times New Roman"/>
          <w:sz w:val="20"/>
          <w:u w:val="single"/>
        </w:rPr>
        <w:t>Guernsey Customary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Party organized in Guernsey irrevocably waives and abandons any and all rights which it may at any time have under the existing or future laws of Guernsey: </w:t>
      </w:r>
    </w:p>
    <w:p>
      <w:pPr>
        <w:pStyle w:val="TextBody"/>
        <w:bidi w:val="0"/>
        <w:spacing w:before="120" w:after="0"/>
        <w:jc w:val="left"/>
        <w:rPr>
          <w:rFonts w:ascii="Times New Roman" w:hAnsi="Times New Roman"/>
          <w:sz w:val="20"/>
        </w:rPr>
      </w:pPr>
      <w:r>
        <w:rPr>
          <w:rFonts w:ascii="Times New Roman" w:hAnsi="Times New Roman"/>
          <w:sz w:val="20"/>
        </w:rPr>
        <w:t xml:space="preserve">(i)     whether by virtue of the </w:t>
      </w:r>
      <w:r>
        <w:rPr>
          <w:rFonts w:ascii="Times New Roman" w:hAnsi="Times New Roman"/>
          <w:i/>
          <w:sz w:val="20"/>
        </w:rPr>
        <w:t xml:space="preserve">droit de discussion </w:t>
      </w:r>
      <w:r>
        <w:rPr>
          <w:rFonts w:ascii="Times New Roman" w:hAnsi="Times New Roman"/>
          <w:sz w:val="20"/>
        </w:rPr>
        <w:t xml:space="preserve">or otherwise, to require that recourse be had to the assets of any other person party to any of the Loan Documents before any claim in enforced against such Guarantor in respect of the obligations assumed by such Guarantor under or in connection with any Loan Document. Each Guarantor organized in Guernsey undertakes that, if any enforcement proceedings are initiated by any Lender, Secured Party, the Administrative Agent, the Collateral Agent or any finance party against that Guarantor in respect of any such obligations, that Guarantor shall not claim that any other party to any of the Loan Documents be made a party to such proceedings, and each such Guarantor agrees to be bound by the Loan Documents whether or not any such Guarantor or other person is made a party to any legal proceedings for the recovery of amounts due or owing or for the enforcement of obligations owed to such Lender, Secured Party, the Administrative Agent, the Collateral Agent or any finance party and whether the formalities required by any existing or future law of Guernsey, in regard to the rights or obligations of sureties shall or shall not have been observed;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p>
    <w:p>
      <w:pPr>
        <w:pStyle w:val="TextBody"/>
        <w:bidi w:val="0"/>
        <w:spacing w:before="0" w:after="0"/>
        <w:jc w:val="left"/>
        <w:rPr>
          <w:rFonts w:ascii="Times New Roman" w:hAnsi="Times New Roman"/>
          <w:sz w:val="20"/>
        </w:rPr>
      </w:pPr>
      <w:r>
        <w:rPr>
          <w:rFonts w:ascii="Times New Roman" w:hAnsi="Times New Roman"/>
          <w:sz w:val="20"/>
        </w:rPr>
        <w:t xml:space="preserve">(ii)     whether by virtue of </w:t>
      </w:r>
      <w:r>
        <w:rPr>
          <w:rFonts w:ascii="Times New Roman" w:hAnsi="Times New Roman"/>
          <w:i/>
          <w:sz w:val="20"/>
        </w:rPr>
        <w:t xml:space="preserve">the droit de division </w:t>
      </w:r>
      <w:r>
        <w:rPr>
          <w:rFonts w:ascii="Times New Roman" w:hAnsi="Times New Roman"/>
          <w:sz w:val="20"/>
        </w:rPr>
        <w:t xml:space="preserve">or otherwise to require that any liability under any guarantee or indemnity given in or in connection with any Loan Document be divided or apportioned with any other person or reduced in any manner. </w:t>
      </w:r>
    </w:p>
    <w:p>
      <w:pPr>
        <w:pStyle w:val="TextBody"/>
        <w:bidi w:val="0"/>
        <w:spacing w:before="240" w:after="0"/>
        <w:jc w:val="left"/>
        <w:rPr>
          <w:rFonts w:ascii="Times New Roman" w:hAnsi="Times New Roman"/>
          <w:sz w:val="20"/>
        </w:rPr>
      </w:pPr>
      <w:r>
        <w:rPr>
          <w:rFonts w:ascii="Times New Roman" w:hAnsi="Times New Roman"/>
          <w:sz w:val="20"/>
        </w:rPr>
        <w:t xml:space="preserve">(b)    This waiver applies irrespective of any law or any provision of a Loan Document to the contrary. </w:t>
      </w:r>
    </w:p>
    <w:p>
      <w:pPr>
        <w:pStyle w:val="TextBody"/>
        <w:bidi w:val="0"/>
        <w:spacing w:before="360" w:after="0"/>
        <w:jc w:val="left"/>
        <w:rPr>
          <w:rFonts w:ascii="Times New Roman" w:hAnsi="Times New Roman"/>
          <w:sz w:val="20"/>
        </w:rPr>
      </w:pPr>
      <w:r>
        <w:rPr>
          <w:rFonts w:ascii="Times New Roman" w:hAnsi="Times New Roman"/>
          <w:color w:val="0000FF"/>
          <w:sz w:val="20"/>
          <w:u w:val="single"/>
          <w:bdr w:val="double" w:sz="2" w:space="1" w:color="000000"/>
        </w:rPr>
        <w:t>SECTION 1.15</w:t>
      </w:r>
      <w:r>
        <w:rPr>
          <w:rFonts w:ascii="Times New Roman" w:hAnsi="Times New Roman"/>
          <w:sz w:val="20"/>
        </w:rPr>
        <w:t>    </w:t>
      </w:r>
      <w:r>
        <w:rPr>
          <w:rFonts w:ascii="Times New Roman" w:hAnsi="Times New Roman"/>
          <w:color w:val="0000FF"/>
          <w:sz w:val="20"/>
          <w:u w:val="single"/>
          <w:bdr w:val="double" w:sz="2" w:space="1" w:color="000000"/>
        </w:rPr>
        <w:t>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color w:val="0000FF"/>
          <w:sz w:val="20"/>
          <w:u w:val="single"/>
          <w:bdr w:val="double" w:sz="2" w:space="1" w:color="000000"/>
        </w:rPr>
        <w:t>Upon the occurrence of a Benchmark Transition Event or an Early Opt-in Election, Section 2.13 provides a mechanism for determining an alternative rate of interest. The Administrative Agent will promptly notify Bidco and the Borrowers, pursuant to Section 2.13, of any change to the reference rate upon which the interest rate on Term Benchmark Loans is based. However, the Administrative Agent does not warrant or accept any responsibility for, and shall not have any liability with respect to, the administration, submission or any other matter related to the secured overnight financing rate or other rates in the definition of “Term SOFR” or with respect to any alternative or successor rate thereto, or replacement rate thereof (including, without limitation, (i) any such alternative, successor or replacement rate implemented pursuant to Section 2.13(e), whether upon the occurrence of a Benchmark Transition Event or an Early Opt-in Election, and (ii) the implementation of any Benchmark Replacement Conforming Changes pursuant to Section 2.13(h)), including without limitation, whether the composition or characteristics of any such alternative, successor or replacement reference rate will be similar to, or produce the same value or economic equivalence of Term SOFR or have the same volume or liquidity as did the secured overnight financing rate or euro interbank offered rate, as applicable, prior to its discontinuance or unavailability.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color w:val="0000FF"/>
          <w:sz w:val="20"/>
          <w:u w:val="single"/>
          <w:bdr w:val="double" w:sz="2" w:space="1" w:color="000000"/>
        </w:rPr>
        <w:t>Notwithstanding anything contained in this Agreement to the contrary, until such time as a rate replacement for Borrowings in Swiss Francs and Yen has been implemented in accordance with Section 2.13 hereof, the Borrowers shall not be entitled to request a Borrowing denominated in Swiss Francs or Yen and no Lender shall have any obligation to make Loans in Swiss Francs or Yen. Following the implementation of a rate replacement for Borrowings in Swiss Francs or Yen, as applicable, in accordance with Section 2.13 hereof (which, for the avoidance of doubt, shall not be based on the LIBO Rate), the Borrowers shall be entitled to request a Borrowing denominated in Swiss Francs or Yen, as applicable, and each Revolving Lender’s obligation to make Revolving Loans in Swiss Francs or Yen, as applicable, in accordance with the terms and conditions of this Agreement shall be in full force in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color w:val="0000FF"/>
          <w:sz w:val="20"/>
          <w:u w:val="single"/>
          <w:bdr w:val="double" w:sz="2" w:space="1" w:color="000000"/>
        </w:rPr>
        <w:t>From and after the Amendment No. 3 Transition Date, the Borrowers shall not be entitled to request a Eurodollar Borrowing denominated in U.S. Dollars and no Lender shall have any obligation to make Eurodollar Loans denominated in U.S. Dollars.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set forth herein, (a) each Term Lender agrees to make Initial Term Loans to the applicable Term Borrower (i) in one drawing in connection with the Transactions on the Effective Date and (ii) in one additional drawing as a Certain Funds Utilization in connection with the Refinancing on or after the Effective Date until the Initial Term Commitment Expiration Date, each denominated in dollars and in an aggregate principal amount not exceeding such Term Lender’s then unused Initial Term Commitment and (b) each Revolving Lender agrees to make Revolving Loans to the applicable Revolving Borrower denominated in dollars or an Alternative Currency from time to time during the Revolving Availability Period in an aggregate principal amount which will not result in such Revolving Lender’s Revolving Exposure exceeding such Revolving Lender’s Revolving Commitment. Within the foregoing limits and subject to the terms and conditions set forth herein, the Revolving Borrowers may borrow, prepay and reborrow Revolving Loans. Amounts repaid or prepaid in respect of Term Loans may not be reborrowed. </w:t>
      </w:r>
    </w:p>
    <w:p>
      <w:pPr>
        <w:pStyle w:val="TextBody"/>
        <w:bidi w:val="0"/>
        <w:spacing w:before="360" w:after="0"/>
        <w:jc w:val="left"/>
        <w:rPr>
          <w:rFonts w:ascii="Times New Roman" w:hAnsi="Times New Roman"/>
          <w:sz w:val="20"/>
        </w:rPr>
      </w:pPr>
      <w:r>
        <w:rPr>
          <w:rFonts w:ascii="Times New Roman" w:hAnsi="Times New Roman"/>
          <w:sz w:val="20"/>
        </w:rPr>
        <w:t>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other than as expressly provided in </w:t>
      </w:r>
      <w:r>
        <w:rPr>
          <w:rFonts w:ascii="Times New Roman" w:hAnsi="Times New Roman"/>
          <w:sz w:val="20"/>
          <w:u w:val="single"/>
        </w:rPr>
        <w:t>Section 2.21(a)(iv)</w:t>
      </w:r>
      <w:r>
        <w:rPr>
          <w:rFonts w:ascii="Times New Roman" w:hAnsi="Times New Roman"/>
          <w:sz w:val="20"/>
        </w:rPr>
        <w:t xml:space="preserve"> with respect to a Defaulting Lender, no Lender shall be responsible for any other Lender’s failure to make Loans as required hereby.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2.13</w:t>
      </w:r>
      <w:r>
        <w:rPr>
          <w:rFonts w:ascii="Times New Roman" w:hAnsi="Times New Roman"/>
          <w:sz w:val="20"/>
        </w:rPr>
        <w:t>, each Revolving Borrowing and Term Borrowing shall be comprised entirely of ABR Loans</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Eurodollar </w:t>
      </w:r>
      <w:r>
        <w:rPr>
          <w:rFonts w:ascii="Times New Roman" w:hAnsi="Times New Roman"/>
          <w:color w:val="0000FF"/>
          <w:sz w:val="20"/>
          <w:u w:val="single"/>
          <w:bdr w:val="double" w:sz="2" w:space="1" w:color="000000"/>
        </w:rPr>
        <w:t xml:space="preserve">Loans, Term Benchmark Loans or RFR </w:t>
      </w:r>
      <w:r>
        <w:rPr>
          <w:rFonts w:ascii="Times New Roman" w:hAnsi="Times New Roman"/>
          <w:sz w:val="20"/>
        </w:rPr>
        <w:t xml:space="preserve">Loans as the Borrowers may request in accordance herewith. Each Swingline Loan shall be an ABR Loan. Each Revolving Borrowing in an Alternative Currency </w:t>
      </w:r>
      <w:r>
        <w:rPr>
          <w:rFonts w:ascii="Times New Roman" w:hAnsi="Times New Roman"/>
          <w:color w:val="0000FF"/>
          <w:sz w:val="20"/>
          <w:u w:val="single"/>
          <w:bdr w:val="double" w:sz="2" w:space="1" w:color="000000"/>
        </w:rPr>
        <w:t xml:space="preserve">(other than Sterling) </w:t>
      </w:r>
      <w:r>
        <w:rPr>
          <w:rFonts w:ascii="Times New Roman" w:hAnsi="Times New Roman"/>
          <w:sz w:val="20"/>
        </w:rPr>
        <w:t>shall be a Eurodollar Loan</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or Term Benchmark Loan. Each Revolving Borrowing in Sterling shall be an RFR Loan.</w:t>
      </w:r>
      <w:r>
        <w:rPr>
          <w:rFonts w:ascii="Times New Roman" w:hAnsi="Times New Roman"/>
          <w:sz w:val="20"/>
        </w:rPr>
        <w:t xml:space="preserve"> Each Lender at its option may make any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Borrowers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Eurodollar </w:t>
      </w:r>
      <w:r>
        <w:rPr>
          <w:rFonts w:ascii="Times New Roman" w:hAnsi="Times New Roman"/>
          <w:color w:val="0000FF"/>
          <w:sz w:val="20"/>
          <w:u w:val="single"/>
          <w:bdr w:val="double" w:sz="2" w:space="1" w:color="000000"/>
        </w:rPr>
        <w:t>Borrowing, Term Benchmark Borrowing or RFR</w:t>
      </w:r>
      <w:r>
        <w:rPr>
          <w:rFonts w:ascii="Times New Roman" w:hAnsi="Times New Roman"/>
          <w:sz w:val="20"/>
        </w:rPr>
        <w:t xml:space="preserve"> Borrowing, such Borrowing shall be in an aggregate amount that is an integral multiple of the Borrowing Multiple and not less than the Borrowing Minimum; </w:t>
      </w:r>
      <w:r>
        <w:rPr>
          <w:rFonts w:ascii="Times New Roman" w:hAnsi="Times New Roman"/>
          <w:sz w:val="20"/>
          <w:u w:val="single"/>
        </w:rPr>
        <w:t>provided</w:t>
      </w:r>
      <w:r>
        <w:rPr>
          <w:rFonts w:ascii="Times New Roman" w:hAnsi="Times New Roman"/>
          <w:sz w:val="20"/>
        </w:rPr>
        <w:t xml:space="preserve"> that a Eurodollar Borrowing</w:t>
      </w:r>
      <w:r>
        <w:rPr>
          <w:rFonts w:ascii="Times New Roman" w:hAnsi="Times New Roman"/>
          <w:color w:val="0000FF"/>
          <w:sz w:val="20"/>
          <w:u w:val="single"/>
          <w:bdr w:val="double" w:sz="2" w:space="1" w:color="000000"/>
        </w:rPr>
        <w:t xml:space="preserve">, Term Benchmark Borrowing or RFR Borrowing </w:t>
      </w:r>
      <w:r>
        <w:rPr>
          <w:rFonts w:ascii="Times New Roman" w:hAnsi="Times New Roman"/>
          <w:sz w:val="20"/>
        </w:rPr>
        <w:t xml:space="preserve">that results from a continuation of an outstanding Eurodollar </w:t>
      </w:r>
      <w:r>
        <w:rPr>
          <w:rFonts w:ascii="Times New Roman" w:hAnsi="Times New Roman"/>
          <w:color w:val="0000FF"/>
          <w:sz w:val="20"/>
          <w:u w:val="single"/>
          <w:bdr w:val="double" w:sz="2" w:space="1" w:color="000000"/>
        </w:rPr>
        <w:t>Borrowing, Term Benchmark Borrowing or RFR</w:t>
      </w:r>
      <w:r>
        <w:rPr>
          <w:rFonts w:ascii="Times New Roman" w:hAnsi="Times New Roman"/>
          <w:sz w:val="20"/>
        </w:rPr>
        <w:t xml:space="preserve">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ten Eurodollar Borrowings</w:t>
      </w:r>
      <w:r>
        <w:rPr>
          <w:rFonts w:ascii="Times New Roman" w:hAnsi="Times New Roman"/>
          <w:color w:val="0000FF"/>
          <w:sz w:val="20"/>
          <w:u w:val="single"/>
          <w:bdr w:val="double" w:sz="2" w:space="1" w:color="000000"/>
        </w:rPr>
        <w:t>, Term Benchmark Borrowings or RFR Borrowings</w:t>
      </w:r>
      <w:r>
        <w:rPr>
          <w:rFonts w:ascii="Times New Roman" w:hAnsi="Times New Roman"/>
          <w:sz w:val="20"/>
        </w:rPr>
        <w:t xml:space="preserve"> outstanding. Notwithstanding anything to the contrary herein, an ABR Revolving Borrowing (including a Borrowing of Swingline Loans) may be in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p>
    <w:p>
      <w:pPr>
        <w:pStyle w:val="TextBody"/>
        <w:bidi w:val="0"/>
        <w:spacing w:before="0" w:after="0"/>
        <w:jc w:val="left"/>
        <w:rPr>
          <w:rFonts w:ascii="Times New Roman" w:hAnsi="Times New Roman"/>
          <w:sz w:val="20"/>
        </w:rPr>
      </w:pPr>
      <w:r>
        <w:rPr>
          <w:rFonts w:ascii="Times New Roman" w:hAnsi="Times New Roman"/>
          <w:sz w:val="20"/>
        </w:rPr>
        <w:t xml:space="preserve">aggregate amount equal to the entire unused balance of the aggregate Revolving Commitments (and/or the Swingline Commitments, as applicable) or that is required to finance the reimbursement of a LC Disbursement as contemplated by </w:t>
      </w:r>
      <w:r>
        <w:rPr>
          <w:rFonts w:ascii="Times New Roman" w:hAnsi="Times New Roman"/>
          <w:sz w:val="20"/>
          <w:u w:val="single"/>
        </w:rPr>
        <w:t>Section 2.04(f)</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request a Revolving Borrowing or Term Borrowing, the applicable Borrower shall deliver by hand delivery, facsimile or other electronic transmission to the Administrative Agent a written Borrowing Request signed by the applicable Borrower substantially in the form of </w:t>
      </w:r>
      <w:r>
        <w:rPr>
          <w:rFonts w:ascii="Times New Roman" w:hAnsi="Times New Roman"/>
          <w:sz w:val="20"/>
          <w:u w:val="single"/>
        </w:rPr>
        <w:t>Exhibit T</w:t>
      </w:r>
      <w:r>
        <w:rPr>
          <w:rFonts w:ascii="Times New Roman" w:hAnsi="Times New Roman"/>
          <w:sz w:val="20"/>
        </w:rPr>
        <w:t xml:space="preserve"> (a) in the case of a Eurodollar Borrowing </w:t>
      </w:r>
      <w:r>
        <w:rPr>
          <w:rFonts w:ascii="Times New Roman" w:hAnsi="Times New Roman"/>
          <w:color w:val="0000FF"/>
          <w:sz w:val="20"/>
          <w:u w:val="single"/>
          <w:bdr w:val="double" w:sz="2" w:space="1" w:color="000000"/>
        </w:rPr>
        <w:t xml:space="preserve">or Term Benchmark Borrowing </w:t>
      </w:r>
      <w:r>
        <w:rPr>
          <w:rFonts w:ascii="Times New Roman" w:hAnsi="Times New Roman"/>
          <w:sz w:val="20"/>
        </w:rPr>
        <w:t xml:space="preserve">in dollars, not later than 2:00 p.m., New York City time, three (3) Business Days before the date of the proposed Borrowing (or, in the case of any Eurodollar Borrowing </w:t>
      </w:r>
      <w:r>
        <w:rPr>
          <w:rFonts w:ascii="Times New Roman" w:hAnsi="Times New Roman"/>
          <w:color w:val="0000FF"/>
          <w:sz w:val="20"/>
          <w:u w:val="single"/>
          <w:bdr w:val="double" w:sz="2" w:space="1" w:color="000000"/>
        </w:rPr>
        <w:t xml:space="preserve">or Term Benchmark Borrowing </w:t>
      </w:r>
      <w:r>
        <w:rPr>
          <w:rFonts w:ascii="Times New Roman" w:hAnsi="Times New Roman"/>
          <w:sz w:val="20"/>
        </w:rPr>
        <w:t xml:space="preserve">in dollars to be made on the Effective Date or in the sole discretion of the Administrative Agent, one (1) Business Day), (b) in the case of a </w:t>
      </w:r>
      <w:r>
        <w:rPr>
          <w:rFonts w:ascii="Times New Roman" w:hAnsi="Times New Roman"/>
          <w:strike/>
          <w:color w:val="FF0000"/>
          <w:sz w:val="20"/>
        </w:rPr>
        <w:t>Eurodollar</w:t>
      </w:r>
      <w:r>
        <w:rPr>
          <w:rFonts w:ascii="Times New Roman" w:hAnsi="Times New Roman"/>
          <w:color w:val="0000FF"/>
          <w:sz w:val="20"/>
          <w:u w:val="single"/>
          <w:bdr w:val="double" w:sz="2" w:space="1" w:color="000000"/>
        </w:rPr>
        <w:t>Term Benchmark</w:t>
      </w:r>
      <w:r>
        <w:rPr>
          <w:rFonts w:ascii="Times New Roman" w:hAnsi="Times New Roman"/>
          <w:sz w:val="20"/>
        </w:rPr>
        <w:t xml:space="preserve"> Borrowing in an Alternative Currency </w:t>
      </w:r>
      <w:r>
        <w:rPr>
          <w:rFonts w:ascii="Times New Roman" w:hAnsi="Times New Roman"/>
          <w:color w:val="0000FF"/>
          <w:sz w:val="20"/>
          <w:u w:val="single"/>
          <w:bdr w:val="double" w:sz="2" w:space="1" w:color="000000"/>
        </w:rPr>
        <w:t>(</w:t>
      </w:r>
      <w:r>
        <w:rPr>
          <w:rFonts w:ascii="Times New Roman" w:hAnsi="Times New Roman"/>
          <w:sz w:val="20"/>
        </w:rPr>
        <w:t>other than Yen</w:t>
      </w:r>
      <w:r>
        <w:rPr>
          <w:rFonts w:ascii="Times New Roman" w:hAnsi="Times New Roman"/>
          <w:color w:val="0000FF"/>
          <w:sz w:val="20"/>
          <w:u w:val="single"/>
          <w:bdr w:val="double" w:sz="2" w:space="1" w:color="000000"/>
        </w:rPr>
        <w:t xml:space="preserve">) or an RFR Borrowing </w:t>
      </w:r>
      <w:r>
        <w:rPr>
          <w:rFonts w:ascii="Times New Roman" w:hAnsi="Times New Roman"/>
          <w:sz w:val="20"/>
        </w:rPr>
        <w:t>, not later than 2:00 p.m., New York City time, four (4) Business Days before the date of the proposed Borrowing (</w:t>
      </w:r>
      <w:r>
        <w:rPr>
          <w:rFonts w:ascii="Times New Roman" w:hAnsi="Times New Roman"/>
          <w:color w:val="0000FF"/>
          <w:sz w:val="20"/>
          <w:u w:val="single"/>
          <w:bdr w:val="double" w:sz="2" w:space="1" w:color="000000"/>
        </w:rPr>
        <w:t>(</w:t>
      </w:r>
      <w:r>
        <w:rPr>
          <w:rFonts w:ascii="Times New Roman" w:hAnsi="Times New Roman"/>
          <w:sz w:val="20"/>
        </w:rPr>
        <w:t>or</w:t>
      </w:r>
      <w:r>
        <w:rPr>
          <w:rFonts w:ascii="Times New Roman" w:hAnsi="Times New Roman"/>
          <w:color w:val="0000FF"/>
          <w:sz w:val="20"/>
          <w:u w:val="single"/>
          <w:bdr w:val="double" w:sz="2" w:space="1" w:color="000000"/>
        </w:rPr>
        <w:t>, in the case of any RFR Borrowing to be made on the Effective Date, one (1) Business Day) or, in any other case,</w:t>
      </w:r>
      <w:r>
        <w:rPr>
          <w:rFonts w:ascii="Times New Roman" w:hAnsi="Times New Roman"/>
          <w:sz w:val="20"/>
        </w:rPr>
        <w:t xml:space="preserve"> any shorter period agreed by the Administrative Agent and the Revolving Lenders in their sole discretion), (c) in the case of a </w:t>
      </w:r>
      <w:r>
        <w:rPr>
          <w:rFonts w:ascii="Times New Roman" w:hAnsi="Times New Roman"/>
          <w:strike/>
          <w:color w:val="FF0000"/>
          <w:sz w:val="20"/>
        </w:rPr>
        <w:t>Eurodollar</w:t>
      </w:r>
      <w:r>
        <w:rPr>
          <w:rFonts w:ascii="Times New Roman" w:hAnsi="Times New Roman"/>
          <w:color w:val="0000FF"/>
          <w:sz w:val="20"/>
          <w:u w:val="single"/>
          <w:bdr w:val="double" w:sz="2" w:space="1" w:color="000000"/>
        </w:rPr>
        <w:t>Term Benchmark</w:t>
      </w:r>
      <w:r>
        <w:rPr>
          <w:rFonts w:ascii="Times New Roman" w:hAnsi="Times New Roman"/>
          <w:sz w:val="20"/>
        </w:rPr>
        <w:t xml:space="preserve"> Borrowing in Yen, not later than 2:00 p.m., New York City time, five (5) Business Days before the date of the proposed Borrowing (or any shorter period agreed by the Administrative Agent and the Revolving Lenders in their sole discretion) or (d) in the case of an ABR Borrowing, not later than 11:00 a.m., New York City time, on the date of the proposed Borrowing. Each such written Borrowing Request shall specify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    specifying the Class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w:t>
      </w:r>
      <w:r>
        <w:rPr>
          <w:rFonts w:ascii="Times New Roman" w:hAnsi="Times New Roman"/>
          <w:strike/>
          <w:color w:val="FF0000"/>
          <w:sz w:val="20"/>
        </w:rPr>
        <w:t>or a</w:t>
      </w:r>
      <w:r>
        <w:rPr>
          <w:rFonts w:ascii="Times New Roman" w:hAnsi="Times New Roman"/>
          <w:color w:val="0000FF"/>
          <w:sz w:val="20"/>
          <w:u w:val="single"/>
          <w:bdr w:val="double" w:sz="2" w:space="1" w:color="000000"/>
        </w:rPr>
        <w:t>,</w:t>
      </w:r>
      <w:r>
        <w:rPr>
          <w:rFonts w:ascii="Times New Roman" w:hAnsi="Times New Roman"/>
          <w:sz w:val="20"/>
        </w:rPr>
        <w:t xml:space="preserve"> Eurodollar Borrowing</w:t>
      </w:r>
      <w:r>
        <w:rPr>
          <w:rFonts w:ascii="Times New Roman" w:hAnsi="Times New Roman"/>
          <w:color w:val="0000FF"/>
          <w:sz w:val="20"/>
          <w:u w:val="single"/>
          <w:bdr w:val="double" w:sz="2" w:space="1" w:color="000000"/>
        </w:rPr>
        <w:t>, Term Benchmark Borrowing or an RFR Borrowing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Eurodollar </w:t>
      </w:r>
      <w:r>
        <w:rPr>
          <w:rFonts w:ascii="Times New Roman" w:hAnsi="Times New Roman"/>
          <w:color w:val="0000FF"/>
          <w:sz w:val="20"/>
          <w:u w:val="single"/>
          <w:bdr w:val="double" w:sz="2" w:space="1" w:color="000000"/>
        </w:rPr>
        <w:t xml:space="preserve">Borrowing, Term Benchmark Borrowing or an RFR </w:t>
      </w:r>
      <w:r>
        <w:rPr>
          <w:rFonts w:ascii="Times New Roman" w:hAnsi="Times New Roman"/>
          <w:sz w:val="20"/>
        </w:rPr>
        <w:t xml:space="preserve">Borrowing,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(vi)    in the case of a Borrowing of Revolving Loans, the currency of such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(vii)     the location and number of the applicable Borrower’s account or accounts to which funds are to be disbursed, which shall comply with the requirements of </w:t>
      </w:r>
      <w:r>
        <w:rPr>
          <w:rFonts w:ascii="Times New Roman" w:hAnsi="Times New Roman"/>
          <w:sz w:val="20"/>
          <w:u w:val="single"/>
        </w:rPr>
        <w:t>Section 2.05</w:t>
      </w:r>
      <w:r>
        <w:rPr>
          <w:rFonts w:ascii="Times New Roman" w:hAnsi="Times New Roman"/>
          <w:sz w:val="20"/>
        </w:rPr>
        <w:t xml:space="preserve">, or, in the case of any ABR Revolving Borrowing or Swingline Loan requested to finance the reimbursement of an LC Disbursement as provided in </w:t>
      </w:r>
      <w:r>
        <w:rPr>
          <w:rFonts w:ascii="Times New Roman" w:hAnsi="Times New Roman"/>
          <w:sz w:val="20"/>
          <w:u w:val="single"/>
        </w:rPr>
        <w:t>Section 2.04(f)</w:t>
      </w:r>
      <w:r>
        <w:rPr>
          <w:rFonts w:ascii="Times New Roman" w:hAnsi="Times New Roman"/>
          <w:sz w:val="20"/>
        </w:rPr>
        <w:t xml:space="preserve">, the identity of the Issuing Bank that made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(viii)    that as of the date of such Borrowing, with respect to any other Borrowing after the Effective Date (other than a Certain Funds Utilization), the conditions set forth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4.02(b)</w:t>
      </w:r>
      <w:r>
        <w:rPr>
          <w:rFonts w:ascii="Times New Roman" w:hAnsi="Times New Roman"/>
          <w:sz w:val="20"/>
        </w:rPr>
        <w:t xml:space="preserve"> are satisfied;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p>
    <w:p>
      <w:pPr>
        <w:pStyle w:val="TextBody"/>
        <w:bidi w:val="0"/>
        <w:spacing w:before="0" w:after="0"/>
        <w:jc w:val="left"/>
        <w:rPr>
          <w:rFonts w:ascii="Times New Roman" w:hAnsi="Times New Roman"/>
          <w:sz w:val="20"/>
        </w:rPr>
      </w:pPr>
      <w:r>
        <w:rPr>
          <w:rFonts w:ascii="Times New Roman" w:hAnsi="Times New Roman"/>
          <w:sz w:val="20"/>
        </w:rPr>
        <w:t xml:space="preserve">(ix)    that as of the date of such Borrowing, only in respect of a Certain Funds Utilization, the conditions set forth in clauses (i) and (k) of </w:t>
      </w:r>
      <w:r>
        <w:rPr>
          <w:rFonts w:ascii="Times New Roman" w:hAnsi="Times New Roman"/>
          <w:sz w:val="20"/>
          <w:u w:val="single"/>
        </w:rPr>
        <w:t>Section 4.01</w:t>
      </w:r>
      <w:r>
        <w:rPr>
          <w:rFonts w:ascii="Times New Roman" w:hAnsi="Times New Roman"/>
          <w:sz w:val="20"/>
        </w:rPr>
        <w:t xml:space="preserve"> are satisfied. </w:t>
      </w:r>
    </w:p>
    <w:p>
      <w:pPr>
        <w:pStyle w:val="TextBody"/>
        <w:bidi w:val="0"/>
        <w:spacing w:before="240" w:after="0"/>
        <w:jc w:val="left"/>
        <w:rPr>
          <w:rFonts w:ascii="Times New Roman" w:hAnsi="Times New Roman"/>
          <w:sz w:val="20"/>
        </w:rPr>
      </w:pPr>
      <w:r>
        <w:rPr>
          <w:rFonts w:ascii="Times New Roman" w:hAnsi="Times New Roman"/>
          <w:sz w:val="20"/>
        </w:rPr>
        <w:t>If no election as to the Type of Borrowing is specified as to any Borrowing, then the requested Borrowing shall be a Eurodollar Borrowing</w:t>
      </w:r>
      <w:r>
        <w:rPr>
          <w:rFonts w:ascii="Times New Roman" w:hAnsi="Times New Roman"/>
          <w:color w:val="0000FF"/>
          <w:sz w:val="20"/>
          <w:u w:val="single"/>
          <w:bdr w:val="double" w:sz="2" w:space="1" w:color="000000"/>
        </w:rPr>
        <w:t xml:space="preserve"> or Term Benchmark Borrowing unless the currency of such Borrowing is Sterling in which case the requested Borrowing shall be an RFR Borrowing</w:t>
      </w:r>
      <w:r>
        <w:rPr>
          <w:rFonts w:ascii="Times New Roman" w:hAnsi="Times New Roman"/>
          <w:sz w:val="20"/>
        </w:rPr>
        <w:t>. If no Interest Period is specified with respect to any requested Eurodollar Borrowing</w:t>
      </w:r>
      <w:r>
        <w:rPr>
          <w:rFonts w:ascii="Times New Roman" w:hAnsi="Times New Roman"/>
          <w:color w:val="0000FF"/>
          <w:sz w:val="20"/>
          <w:u w:val="single"/>
          <w:bdr w:val="double" w:sz="2" w:space="1" w:color="000000"/>
        </w:rPr>
        <w:t xml:space="preserve"> or Term Benchmark Borrowing or an RFR Borrowing</w:t>
      </w:r>
      <w:r>
        <w:rPr>
          <w:rFonts w:ascii="Times New Roman" w:hAnsi="Times New Roman"/>
          <w:sz w:val="20"/>
        </w:rPr>
        <w:t xml:space="preserve">, then the applicable Borrower shall be deemed to have selected an Interest Period of one month’s duration. Promptly following receipt of a Borrowing Request in accordance with this </w:t>
      </w:r>
      <w:r>
        <w:rPr>
          <w:rFonts w:ascii="Times New Roman" w:hAnsi="Times New Roman"/>
          <w:sz w:val="20"/>
          <w:u w:val="single"/>
        </w:rPr>
        <w:t>Section 2.03</w:t>
      </w:r>
      <w:r>
        <w:rPr>
          <w:rFonts w:ascii="Times New Roman" w:hAnsi="Times New Roman"/>
          <w:sz w:val="20"/>
        </w:rPr>
        <w:t xml:space="preserve">, the Administrative Agent shall advise each Lender of the applicable Class of the details thereof and of the amount of such Lender’s Loan to be made as part of the requested Borrowing. </w:t>
      </w:r>
    </w:p>
    <w:p>
      <w:pPr>
        <w:pStyle w:val="TextBody"/>
        <w:bidi w:val="0"/>
        <w:spacing w:before="360" w:after="0"/>
        <w:jc w:val="left"/>
        <w:rPr>
          <w:rFonts w:ascii="Times New Roman" w:hAnsi="Times New Roman"/>
          <w:sz w:val="20"/>
        </w:rPr>
      </w:pPr>
      <w:r>
        <w:rPr>
          <w:rFonts w:ascii="Times New Roman" w:hAnsi="Times New Roman"/>
          <w:sz w:val="20"/>
        </w:rPr>
        <w:t>SECTION 2.04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General</w:t>
      </w:r>
      <w:r>
        <w:rPr>
          <w:rFonts w:ascii="Times New Roman" w:hAnsi="Times New Roman"/>
          <w:sz w:val="20"/>
        </w:rPr>
        <w:t xml:space="preserve">. Subject to the terms and conditions set forth herein (including </w:t>
      </w:r>
      <w:r>
        <w:rPr>
          <w:rFonts w:ascii="Times New Roman" w:hAnsi="Times New Roman"/>
          <w:sz w:val="20"/>
          <w:u w:val="single"/>
        </w:rPr>
        <w:t>Section 2.21</w:t>
      </w:r>
      <w:r>
        <w:rPr>
          <w:rFonts w:ascii="Times New Roman" w:hAnsi="Times New Roman"/>
          <w:sz w:val="20"/>
        </w:rPr>
        <w:t xml:space="preserve">), each Issuing Bank agrees, in reliance upon the agreements of the Revolving Lenders (with respect to Letters of Credit) and the Revolving Borrowers set forth in this </w:t>
      </w:r>
      <w:r>
        <w:rPr>
          <w:rFonts w:ascii="Times New Roman" w:hAnsi="Times New Roman"/>
          <w:sz w:val="20"/>
          <w:u w:val="single"/>
        </w:rPr>
        <w:t>Section 2.04</w:t>
      </w:r>
      <w:r>
        <w:rPr>
          <w:rFonts w:ascii="Times New Roman" w:hAnsi="Times New Roman"/>
          <w:sz w:val="20"/>
        </w:rPr>
        <w:t xml:space="preserve"> and elsewhere in the Loan Documents, to issue Letters of Credit denominated in dollars or an Alternative Currency for the applicable Revolving Borrower’s own account (or for the account of any Subsidiary of Bidco so long as Bidco is an obligor in respect of all Loan Document Obligations arising under or in respect of such Letter of Credit), in a form reasonably acceptable to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Bidco to, or entered into by any Revolving Borrower with, the applicable Issuing Bank relating to any Letter of Credit, including the Existing Letters of Credit,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Amendment, Renewal or Extension; Certain Conditions</w:t>
      </w:r>
      <w:r>
        <w:rPr>
          <w:rFonts w:ascii="Times New Roman" w:hAnsi="Times New Roman"/>
          <w:sz w:val="20"/>
        </w:rPr>
        <w:t xml:space="preserve">. To request the issuance of a Letter of Credit (or the amendment, renewal or extension of an outstanding Letter of Credit), the applicable Revolving Borrower shall deliver in writing by hand delivery or facsimile (or transmit by electronic communication, if arrangements for doing so have been approved by the recipient) to the applicable Issuing Bank and the Administrative Agent (at least four (4)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w:t>
      </w:r>
      <w:r>
        <w:rPr>
          <w:rFonts w:ascii="Times New Roman" w:hAnsi="Times New Roman"/>
          <w:sz w:val="20"/>
          <w:u w:val="single"/>
        </w:rPr>
        <w:t>Section 2.04</w:t>
      </w:r>
      <w:r>
        <w:rPr>
          <w:rFonts w:ascii="Times New Roman" w:hAnsi="Times New Roman"/>
          <w:sz w:val="20"/>
        </w:rPr>
        <w:t xml:space="preserve">), the amount and currency of such Letter of Credit, the name and address of the beneficiary thereof and such other information as shall be necessary to prepare, amend, renew or extend, as the case may be, such Letter of Credit. Each such notice shall be in the form of </w:t>
      </w:r>
      <w:r>
        <w:rPr>
          <w:rFonts w:ascii="Times New Roman" w:hAnsi="Times New Roman"/>
          <w:sz w:val="20"/>
          <w:u w:val="single"/>
        </w:rPr>
        <w:t>Exhibit U</w:t>
      </w:r>
      <w:r>
        <w:rPr>
          <w:rFonts w:ascii="Times New Roman" w:hAnsi="Times New Roman"/>
          <w:sz w:val="20"/>
        </w:rPr>
        <w:t>, appropriately completed (each, a “</w:t>
      </w:r>
      <w:r>
        <w:rPr>
          <w:rFonts w:ascii="Times New Roman" w:hAnsi="Times New Roman"/>
          <w:sz w:val="20"/>
          <w:u w:val="single"/>
        </w:rPr>
        <w:t>Letter of Credit Request</w:t>
      </w:r>
      <w:r>
        <w:rPr>
          <w:rFonts w:ascii="Times New Roman" w:hAnsi="Times New Roman"/>
          <w:sz w:val="20"/>
        </w:rPr>
        <w:t xml:space="preserve">”). If requested by the applicable Issuing Bank, the applicable Revolving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applicable Revolving Borrower shall be deemed to represent and warrant that), after giving effect to such issuance, amendment, renewal or extension, (i) the aggregate Revolving Exposures shall not exceed the aggregate Revolving Commitments, (ii) the aggregate LC Exposure shall not exceed the Letter of Credit Sublimit, and (iii) unless otherwise agreed by such Issuing Bank in its sole discretion,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p>
    <w:p>
      <w:pPr>
        <w:pStyle w:val="TextBody"/>
        <w:bidi w:val="0"/>
        <w:spacing w:before="0" w:after="0"/>
        <w:jc w:val="left"/>
        <w:rPr>
          <w:rFonts w:ascii="Times New Roman" w:hAnsi="Times New Roman"/>
          <w:sz w:val="20"/>
        </w:rPr>
      </w:pPr>
      <w:r>
        <w:rPr>
          <w:rFonts w:ascii="Times New Roman" w:hAnsi="Times New Roman"/>
          <w:sz w:val="20"/>
        </w:rPr>
        <w:t xml:space="preserve">Fronting Exposure of such Issuing Bank (or of such Issuing Bank’s applicable affiliate) shall not exceed the LC Commitment of such Issuing Bank.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such Letter of Credit is to be denominated in a currency other than dollars or an Alternative Currency, (iv) except as otherwise agreed by the Administrative Agent and such Issuing Bank, the Letter of Credit is in an initial stated amount less than $100,000, in the case of a commercial Letter of Credit, or $500,000, in the case of a standby Letter of Credit, or (v) with respect to Letters of Credit, any Lender is at that time a Defaulting Lender, if after giving effect to </w:t>
      </w:r>
      <w:r>
        <w:rPr>
          <w:rFonts w:ascii="Times New Roman" w:hAnsi="Times New Roman"/>
          <w:sz w:val="20"/>
          <w:u w:val="single"/>
        </w:rPr>
        <w:t>Section 2.21(a)(iv)</w:t>
      </w:r>
      <w:r>
        <w:rPr>
          <w:rFonts w:ascii="Times New Roman" w:hAnsi="Times New Roman"/>
          <w:sz w:val="20"/>
        </w:rPr>
        <w:t xml:space="preserve">, any Defaulting Lender Fronting Exposure remains outstanding, unless such Issuing Bank has entered into arrangements, including the delivery of cash collateral, reasonably satisfactory to such Issuing Bank with the applicable Revolving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Notwithstanding anything to the contrary herein, Barclays and UBS AG, Stamford Branch and their respective Affiliates shall not be under any obligation to issue bank guarantees or commercial Letters of Credit without their prior written consent. The Existing Letters of Credit shall, as of the Effective Date, be deemed to have been issued as Letters of Credit hereunder and subject to and governed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Each Issuing Bank agrees that it shall not permit any issuance, amendment, renewal or extension of a Letter of Credit to occur unless it shall have given to the Administrative Agent written notice thereof required under paragraph (m)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 Date</w:t>
      </w:r>
      <w:r>
        <w:rPr>
          <w:rFonts w:ascii="Times New Roman" w:hAnsi="Times New Roman"/>
          <w:sz w:val="20"/>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the fifth (5th) Business Day prior to the Revolving Maturity Date; </w:t>
      </w:r>
      <w:r>
        <w:rPr>
          <w:rFonts w:ascii="Times New Roman" w:hAnsi="Times New Roman"/>
          <w:sz w:val="20"/>
          <w:u w:val="single"/>
        </w:rPr>
        <w:t>provided</w:t>
      </w:r>
      <w:r>
        <w:rPr>
          <w:rFonts w:ascii="Times New Roman" w:hAnsi="Times New Roman"/>
          <w:sz w:val="20"/>
        </w:rPr>
        <w:t xml:space="preserve"> that if such expiry date is not a Business Day, such Letter of Credit shall expire at or prior to the close of business on the next succeeding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Letter of Credit may, upon the request of a Revolving Borrower, include a provision whereby such Letter of Credit shall be renewed or extended automatically for additional consecutive periods of one year or less (but not beyond the date that is the fifth (5th) Business Day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Letter of Credit shall not be required to expire on such fifth (5th) Business Day prior to the Revolving Maturity Date if such Letter of Credit is cash collateralized or backstopped in an amount,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p>
    <w:p>
      <w:pPr>
        <w:pStyle w:val="TextBody"/>
        <w:bidi w:val="0"/>
        <w:spacing w:before="0" w:after="0"/>
        <w:jc w:val="left"/>
        <w:rPr>
          <w:rFonts w:ascii="Times New Roman" w:hAnsi="Times New Roman"/>
          <w:sz w:val="20"/>
        </w:rPr>
      </w:pPr>
      <w:r>
        <w:rPr>
          <w:rFonts w:ascii="Times New Roman" w:hAnsi="Times New Roman"/>
          <w:sz w:val="20"/>
        </w:rPr>
        <w:t xml:space="preserve">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Participations in Letters of Credit</w:t>
      </w:r>
      <w:r>
        <w:rPr>
          <w:rFonts w:ascii="Times New Roman" w:hAnsi="Times New Roman"/>
          <w:sz w:val="20"/>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Revolving Borrowers on the date due as provided in paragraph (f) of this </w:t>
      </w:r>
      <w:r>
        <w:rPr>
          <w:rFonts w:ascii="Times New Roman" w:hAnsi="Times New Roman"/>
          <w:sz w:val="20"/>
          <w:u w:val="single"/>
        </w:rPr>
        <w:t>Section 2.04</w:t>
      </w:r>
      <w:r>
        <w:rPr>
          <w:rFonts w:ascii="Times New Roman" w:hAnsi="Times New Roman"/>
          <w:sz w:val="20"/>
        </w:rPr>
        <w:t xml:space="preserve">, or of any reimbursement payment required to be refunded to the Revolving Borrowers for any reason.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Reimbursement of LC Disbursements</w:t>
      </w:r>
      <w:r>
        <w:rPr>
          <w:rFonts w:ascii="Times New Roman" w:hAnsi="Times New Roman"/>
          <w:sz w:val="20"/>
        </w:rPr>
        <w:t>. If an Issuing Bank shall make any LC Disbursement in respect of a Letter of Credit, the Revolving Borrowers shall reimburse such LC Disbursement by paying to the Administrative Agent an amount (in same day funds) equal to such LC Disbursement not later than 1:00 p.m., New York City time, on the Business Day immediately following the day that the applicable Revolving Borrower receives notice of such LC Disbursement (the “</w:t>
      </w:r>
      <w:r>
        <w:rPr>
          <w:rFonts w:ascii="Times New Roman" w:hAnsi="Times New Roman"/>
          <w:sz w:val="20"/>
          <w:u w:val="single"/>
        </w:rPr>
        <w:t>LC</w:t>
      </w:r>
      <w:r>
        <w:rPr>
          <w:rFonts w:ascii="Times New Roman" w:hAnsi="Times New Roman"/>
          <w:sz w:val="20"/>
        </w:rPr>
        <w:t xml:space="preserve"> </w:t>
      </w:r>
      <w:r>
        <w:rPr>
          <w:rFonts w:ascii="Times New Roman" w:hAnsi="Times New Roman"/>
          <w:sz w:val="20"/>
          <w:u w:val="single"/>
        </w:rPr>
        <w:t>Reimbursement Date</w:t>
      </w:r>
      <w:r>
        <w:rPr>
          <w:rFonts w:ascii="Times New Roman" w:hAnsi="Times New Roman"/>
          <w:sz w:val="20"/>
        </w:rPr>
        <w:t xml:space="preserve">”), together with accrued interest or fees thereon in accordance with clause (i) of this </w:t>
      </w:r>
      <w:r>
        <w:rPr>
          <w:rFonts w:ascii="Times New Roman" w:hAnsi="Times New Roman"/>
          <w:sz w:val="20"/>
          <w:u w:val="single"/>
        </w:rPr>
        <w:t>Section 2.04</w:t>
      </w:r>
      <w:r>
        <w:rPr>
          <w:rFonts w:ascii="Times New Roman" w:hAnsi="Times New Roman"/>
          <w:sz w:val="20"/>
        </w:rPr>
        <w:t xml:space="preserve">. Each reimbursement of an LC Disbursement shall be denominated in the currency in which such LC Disbursement was made. Anything contained herein to the contrary notwithstanding, (i) unless the Revolving Borrowers shall have notified the Administrative Agent and the applicable Issuing Bank prior to 1:00 p.m., New York City time, on the date such LC Disbursement is made that the applicable Revolving Borrower intends to reimburse the applicable Issuing Bank for the amount of the LC Disbursement (including any accrued interest or fees thereon) with funds other than the proceeds of Revolving Loans, the applicable Revolving Borrower shall be deemed to have given a timely Borrowing Request to the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w:t>
      </w:r>
      <w:r>
        <w:rPr>
          <w:rFonts w:ascii="Times New Roman" w:hAnsi="Times New Roman"/>
          <w:sz w:val="20"/>
          <w:u w:val="single"/>
        </w:rPr>
        <w:t>Section 4.02</w:t>
      </w:r>
      <w:r>
        <w:rPr>
          <w:rFonts w:ascii="Times New Roman" w:hAnsi="Times New Roman"/>
          <w:sz w:val="20"/>
        </w:rPr>
        <w:t xml:space="preserve">,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 the amount of such LC Disbursement (together with any accrued interest or fees thereon); </w:t>
      </w:r>
      <w:r>
        <w:rPr>
          <w:rFonts w:ascii="Times New Roman" w:hAnsi="Times New Roman"/>
          <w:sz w:val="20"/>
          <w:u w:val="single"/>
        </w:rPr>
        <w:t>provided</w:t>
      </w:r>
      <w:r>
        <w:rPr>
          <w:rFonts w:ascii="Times New Roman" w:hAnsi="Times New Roman"/>
          <w:sz w:val="20"/>
        </w:rPr>
        <w:t xml:space="preserve"> that if for any reason proceeds of Revolving Loans are not received by the applicable Issuing Bank on the LC Reimbursement Date in an amount equal to such LC Disbursement (together with any accrued interest or fees thereon), the Revolving Borrowers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xml:space="preserve">. The Revolving Borrowers’ obligation to reimburse LC Disbursements as provided in paragraph (f) of this </w:t>
      </w:r>
      <w:r>
        <w:rPr>
          <w:rFonts w:ascii="Times New Roman" w:hAnsi="Times New Roman"/>
          <w:sz w:val="20"/>
          <w:u w:val="single"/>
        </w:rPr>
        <w:t>Section 2.04</w:t>
      </w:r>
      <w:r>
        <w:rPr>
          <w:rFonts w:ascii="Times New Roman" w:hAnsi="Times New Roman"/>
          <w:sz w:val="20"/>
        </w:rPr>
        <w:t xml:space="preserve">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Revolving Borrowers or any Lender may have at any time against a beneficiary or any transferee of any Letter of Credit (or any Persons for whom any such transferee may be acting), any Issuing Bank, any Lender or any other Person or, in the case of a Lender, against the Revolving Borrowers, whether in connection herewith, the transactions contemplated herein or any unrelated transaction (including any underlying transaction between Bidco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strictly with the terms of such Letter of Credit (</w:t>
      </w:r>
      <w:r>
        <w:rPr>
          <w:rFonts w:ascii="Times New Roman" w:hAnsi="Times New Roman"/>
          <w:sz w:val="20"/>
          <w:u w:val="single"/>
        </w:rPr>
        <w:t>provided</w:t>
      </w:r>
      <w:r>
        <w:rPr>
          <w:rFonts w:ascii="Times New Roman" w:hAnsi="Times New Roman"/>
          <w:sz w:val="20"/>
        </w:rPr>
        <w:t xml:space="preserve"> that the Revolving Borrowers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Times New Roman" w:hAnsi="Times New Roman"/>
          <w:sz w:val="20"/>
          <w:u w:val="single"/>
        </w:rPr>
        <w:t>Section 2.04</w:t>
      </w:r>
      <w:r>
        <w:rPr>
          <w:rFonts w:ascii="Times New Roman" w:hAnsi="Times New Roman"/>
          <w:sz w:val="20"/>
        </w:rPr>
        <w:t xml:space="preserve">, constitute a legal or equitable discharge of, or provide a right of setoff against, the Revolving Borrowers’ obligations hereunder. As between the Revolving Borrowers and any Issuing Bank, the Revolving Borrowers assume all risks of the acts and omissions of, or misuse of the Letters of Credit issued by such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Revolving Borrowers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p>
    <w:p>
      <w:pPr>
        <w:pStyle w:val="TextBody"/>
        <w:bidi w:val="0"/>
        <w:spacing w:before="0" w:after="0"/>
        <w:jc w:val="left"/>
        <w:rPr>
          <w:rFonts w:ascii="Times New Roman" w:hAnsi="Times New Roman"/>
          <w:sz w:val="20"/>
        </w:rPr>
      </w:pPr>
      <w:r>
        <w:rPr>
          <w:rFonts w:ascii="Times New Roman" w:hAnsi="Times New Roman"/>
          <w:sz w:val="20"/>
        </w:rPr>
        <w:t xml:space="preserve">Person. Notwithstanding the foregoing, none of the above shall be construed to excuse any Issuing Bank from liability to the Revolving Borrowers to the extent of any direct damages (as opposed to special, indirect, consequential, incidental, exemplary or punitive damages, claims in respect of which are hereby waived by the Revolving Borrowers to the extent permitted by Requirements of Law) suffered by the Revolving Borrowers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Disbursement Procedures</w:t>
      </w:r>
      <w:r>
        <w:rPr>
          <w:rFonts w:ascii="Times New Roman" w:hAnsi="Times New Roman"/>
          <w:sz w:val="20"/>
        </w:rPr>
        <w:t xml:space="preserve">. Each Issuing Bank shall, promptly following its receipt thereof, examine all documents purporting to represent a demand for payment under a Letter of Credit. Each Issuing Bank shall promptly notify the Administrative Agent and the Revolving Borrowers by hand delivery or facsimile of such demand for payment and whether such Issuing Bank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Revolving Borrowers of their obligations to reimburse such Issuing Bank and the Revolving Lenders with respect to any such LC Disbursement in accordance with paragraph (f)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Interim Interest</w:t>
      </w:r>
      <w:r>
        <w:rPr>
          <w:rFonts w:ascii="Times New Roman" w:hAnsi="Times New Roman"/>
          <w:sz w:val="20"/>
        </w:rPr>
        <w:t xml:space="preserve">. If an Issuing Bank shall make any LC Disbursement, then, unless the Revolving Borrowers shall reimburse such LC Disbursement in full on the date such LC Disbursement is made, the unpaid amount thereof shall bear interest, for each day from and including the date such LC Disbursement is made to but excluding the date that the Revolving Borrowers reimburse such LC Disbursement, at the rate per annum then applicable to ABR Revolving Loans or, if such LC Disbursement is not denominated in dollars, at a rate per annum then applicable to Revolving Loans denominated in such currency; </w:t>
      </w:r>
      <w:r>
        <w:rPr>
          <w:rFonts w:ascii="Times New Roman" w:hAnsi="Times New Roman"/>
          <w:sz w:val="20"/>
          <w:u w:val="single"/>
        </w:rPr>
        <w:t>provided</w:t>
      </w:r>
      <w:r>
        <w:rPr>
          <w:rFonts w:ascii="Times New Roman" w:hAnsi="Times New Roman"/>
          <w:sz w:val="20"/>
        </w:rPr>
        <w:t xml:space="preserve"> that, if the Revolving Borrowers fail to reimburse such LC Disbursement when due pursuant to paragraph (f) of this </w:t>
      </w:r>
      <w:r>
        <w:rPr>
          <w:rFonts w:ascii="Times New Roman" w:hAnsi="Times New Roman"/>
          <w:sz w:val="20"/>
          <w:u w:val="single"/>
        </w:rPr>
        <w:t>Section 2.04</w:t>
      </w:r>
      <w:r>
        <w:rPr>
          <w:rFonts w:ascii="Times New Roman" w:hAnsi="Times New Roman"/>
          <w:sz w:val="20"/>
        </w:rPr>
        <w:t xml:space="preserve">, then </w:t>
      </w:r>
      <w:r>
        <w:rPr>
          <w:rFonts w:ascii="Times New Roman" w:hAnsi="Times New Roman"/>
          <w:strike/>
          <w:color w:val="FF0000"/>
          <w:sz w:val="20"/>
        </w:rPr>
        <w:t>Section 2.12(c)</w:t>
      </w:r>
      <w:r>
        <w:rPr>
          <w:rFonts w:ascii="Times New Roman" w:hAnsi="Times New Roman"/>
          <w:color w:val="0000FF"/>
          <w:sz w:val="20"/>
          <w:u w:val="single"/>
          <w:bdr w:val="double" w:sz="2" w:space="1" w:color="000000"/>
        </w:rPr>
        <w:t>Section 2.12(d)</w:t>
      </w:r>
      <w:r>
        <w:rPr>
          <w:rFonts w:ascii="Times New Roman" w:hAnsi="Times New Roman"/>
          <w:sz w:val="20"/>
        </w:rPr>
        <w:t xml:space="preserve"> 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Times New Roman" w:hAnsi="Times New Roman"/>
          <w:sz w:val="20"/>
          <w:u w:val="single"/>
        </w:rPr>
        <w:t>Section 2.04</w:t>
      </w:r>
      <w:r>
        <w:rPr>
          <w:rFonts w:ascii="Times New Roman" w:hAnsi="Times New Roman"/>
          <w:sz w:val="20"/>
        </w:rPr>
        <w:t xml:space="preserve"> to reimburse such Issuing Bank shall be for the account of such Lender to the extent of such payment and shall be payable on demand or, if no demand has been made, on the date on which the Revolving Borrowers reimburse the applicable LC Disbursement in full.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 of Letters of Credit</w:t>
      </w:r>
      <w:r>
        <w:rPr>
          <w:rFonts w:ascii="Times New Roman" w:hAnsi="Times New Roman"/>
          <w:sz w:val="20"/>
        </w:rPr>
        <w:t xml:space="preserve">.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w:t>
      </w:r>
      <w:r>
        <w:rPr>
          <w:rFonts w:ascii="Times New Roman" w:hAnsi="Times New Roman"/>
          <w:sz w:val="20"/>
          <w:u w:val="single"/>
        </w:rPr>
        <w:t>Section 7.01</w:t>
      </w:r>
      <w:r>
        <w:rPr>
          <w:rFonts w:ascii="Times New Roman" w:hAnsi="Times New Roman"/>
          <w:sz w:val="20"/>
        </w:rPr>
        <w:t xml:space="preserve">, or (iii) any Event of Default under paragraph (a) or (b) of </w:t>
      </w:r>
      <w:r>
        <w:rPr>
          <w:rFonts w:ascii="Times New Roman" w:hAnsi="Times New Roman"/>
          <w:sz w:val="20"/>
          <w:u w:val="single"/>
        </w:rPr>
        <w:t>Section 7.01</w:t>
      </w:r>
      <w:r>
        <w:rPr>
          <w:rFonts w:ascii="Times New Roman" w:hAnsi="Times New Roman"/>
          <w:sz w:val="20"/>
        </w:rPr>
        <w:t xml:space="preserve"> shall occur and be continuing, on the Business Day on which the Revolving Borrowers receive notice from the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Revolving Borrowers shall deposit in an account with a depositary bank that is a Lender reasonably satisfactory to the Collateral Agent, in the name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p>
    <w:p>
      <w:pPr>
        <w:pStyle w:val="TextBody"/>
        <w:bidi w:val="0"/>
        <w:spacing w:before="0" w:after="0"/>
        <w:jc w:val="left"/>
        <w:rPr>
          <w:rFonts w:ascii="Times New Roman" w:hAnsi="Times New Roman"/>
          <w:sz w:val="20"/>
        </w:rPr>
      </w:pPr>
      <w:r>
        <w:rPr>
          <w:rFonts w:ascii="Times New Roman" w:hAnsi="Times New Roman"/>
          <w:sz w:val="20"/>
        </w:rPr>
        <w:t xml:space="preserve">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equal to the portions of the LC Exposure attributable to Letters of Credit, as of such date plus any accrued and unpaid interest thereon. The Revolving Borrowers also shall deposit cash collateral pursuant to this paragraph as and to the extent required by </w:t>
      </w:r>
      <w:r>
        <w:rPr>
          <w:rFonts w:ascii="Times New Roman" w:hAnsi="Times New Roman"/>
          <w:sz w:val="20"/>
          <w:u w:val="single"/>
        </w:rPr>
        <w:t>Section 2.10(b)</w:t>
      </w:r>
      <w:r>
        <w:rPr>
          <w:rFonts w:ascii="Times New Roman" w:hAnsi="Times New Roman"/>
          <w:sz w:val="20"/>
        </w:rPr>
        <w:t xml:space="preserve">. Each such deposit shall be held by the Administrative Agent as collateral for the payment and performance of the obligations of the Revolving Borrowers under this Agreement and the other Loan Documents. At any time that there shall exist a Defaulting Lender, if any Defaulting Lender Fronting Exposure remains outstanding (after giving effect to </w:t>
      </w:r>
      <w:r>
        <w:rPr>
          <w:rFonts w:ascii="Times New Roman" w:hAnsi="Times New Roman"/>
          <w:sz w:val="20"/>
          <w:u w:val="single"/>
        </w:rPr>
        <w:t>Section 2.21(a)(iv)</w:t>
      </w:r>
      <w:r>
        <w:rPr>
          <w:rFonts w:ascii="Times New Roman" w:hAnsi="Times New Roman"/>
          <w:sz w:val="20"/>
        </w:rPr>
        <w:t xml:space="preserve">), then promptly upon the request of the Administrative Agent or the Issuing Bank or the Swingline Lender, the Revolving Borrowers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Revolving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first to reimburse the Issuing Banks for LC Disbursements for which they have not been reimbursed and, to the extent not so applied, the balance shall be held for the satisfaction of the reimbursement obligations of the Revolving Borrowers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Revolving Borrowers under this Agreement. If the Revolving Borrowers are required to provide an amount of cash collateral hereunder as a result of the occurrence of an Event of Default or the existence of a Defaulting Lender, such amount (to the extent not applied as aforesaid) shall be returned to the Revolving Borrowers within three Business Days of request for such return after all Events of Default have been cured or waived or after the termination of Defaulting Lender status, as applicable. If the Revolving Borrowers are required to provide an amount of cash collateral hereunder pursuant to </w:t>
      </w:r>
      <w:r>
        <w:rPr>
          <w:rFonts w:ascii="Times New Roman" w:hAnsi="Times New Roman"/>
          <w:sz w:val="20"/>
          <w:u w:val="single"/>
        </w:rPr>
        <w:t>Section 2.10(b)</w:t>
      </w:r>
      <w:r>
        <w:rPr>
          <w:rFonts w:ascii="Times New Roman" w:hAnsi="Times New Roman"/>
          <w:sz w:val="20"/>
        </w:rPr>
        <w:t xml:space="preserve">, such amount (to the extent not applied as aforesaid) shall be returned to the Revolving Borrowers as and to the extent that, after giving effect to such return, the Revolving Borrowers would remain in compliance with </w:t>
      </w:r>
      <w:r>
        <w:rPr>
          <w:rFonts w:ascii="Times New Roman" w:hAnsi="Times New Roman"/>
          <w:sz w:val="20"/>
          <w:u w:val="single"/>
        </w:rPr>
        <w:t>Section 2.10(b)</w:t>
      </w:r>
      <w:r>
        <w:rPr>
          <w:rFonts w:ascii="Times New Roman" w:hAnsi="Times New Roman"/>
          <w:sz w:val="20"/>
        </w:rPr>
        <w:t xml:space="preserve"> and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Designation of Additional Issuing Banks</w:t>
      </w:r>
      <w:r>
        <w:rPr>
          <w:rFonts w:ascii="Times New Roman" w:hAnsi="Times New Roman"/>
          <w:sz w:val="20"/>
        </w:rPr>
        <w:t xml:space="preserve">. Bidco and the Revolving Borrowers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Bidco and the Revolving Borrowers, executed by the Revolving Borrowers,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Resignation or Termination of an Issuing Bank</w:t>
      </w:r>
      <w:r>
        <w:rPr>
          <w:rFonts w:ascii="Times New Roman" w:hAnsi="Times New Roman"/>
          <w:sz w:val="20"/>
        </w:rPr>
        <w:t xml:space="preserve">. Subject to the appointment and acceptance of a successor Issuing Bank reasonably acceptable to Bidco, any Issuing Bank may resign at any time by giving thirty (30) days’ written notice to the Administrative Agent, the Lenders, Bidco and the Revolving Borrowers. Bidco and the Revolving Borrowers may terminate the appointment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p>
    <w:p>
      <w:pPr>
        <w:pStyle w:val="TextBody"/>
        <w:bidi w:val="0"/>
        <w:spacing w:before="0" w:after="0"/>
        <w:jc w:val="left"/>
        <w:rPr>
          <w:rFonts w:ascii="Times New Roman" w:hAnsi="Times New Roman"/>
          <w:sz w:val="20"/>
        </w:rPr>
      </w:pPr>
      <w:r>
        <w:rPr>
          <w:rFonts w:ascii="Times New Roman" w:hAnsi="Times New Roman"/>
          <w:sz w:val="20"/>
        </w:rPr>
        <w:t xml:space="preserve">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Revolving Borrowers shall pay all unpaid fees accrued for the account of the resigning or terminated Issuing Bank pursuant to </w:t>
      </w:r>
      <w:r>
        <w:rPr>
          <w:rFonts w:ascii="Times New Roman" w:hAnsi="Times New Roman"/>
          <w:sz w:val="20"/>
          <w:u w:val="single"/>
        </w:rPr>
        <w:t>Section 2.11(b)</w:t>
      </w:r>
      <w:r>
        <w:rPr>
          <w:rFonts w:ascii="Times New Roman" w:hAnsi="Times New Roman"/>
          <w:sz w:val="20"/>
        </w:rPr>
        <w:t xml:space="preserve">.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Issuing Bank Reports to the Administrative Agent</w:t>
      </w:r>
      <w:r>
        <w:rPr>
          <w:rFonts w:ascii="Times New Roman" w:hAnsi="Times New Roman"/>
          <w:sz w:val="20"/>
        </w:rPr>
        <w:t xml:space="preserve">. Unless otherwise agreed by the Administrative Agent, each Issuing Bank shall, in addition to its notification obligations set forth elsewhere in this </w:t>
      </w:r>
      <w:r>
        <w:rPr>
          <w:rFonts w:ascii="Times New Roman" w:hAnsi="Times New Roman"/>
          <w:sz w:val="20"/>
          <w:u w:val="single"/>
        </w:rPr>
        <w:t>Section 2.04</w:t>
      </w:r>
      <w:r>
        <w:rPr>
          <w:rFonts w:ascii="Times New Roman" w:hAnsi="Times New Roman"/>
          <w:sz w:val="20"/>
        </w:rPr>
        <w:t xml:space="preserve">,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Revolving Borrowers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Times New Roman" w:hAnsi="Times New Roman"/>
          <w:sz w:val="20"/>
          <w:u w:val="single"/>
        </w:rPr>
        <w:t>provided</w:t>
      </w:r>
      <w:r>
        <w:rPr>
          <w:rFonts w:ascii="Times New Roman" w:hAnsi="Times New Roman"/>
          <w:sz w:val="20"/>
        </w:rPr>
        <w:t xml:space="preserve"> that no Issuing Bank shall have any liability hereunder to any Person for any failure to deliver the reports contemplated by this paragraph (m) of this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Applicability of ISP and UCP</w:t>
      </w:r>
      <w:r>
        <w:rPr>
          <w:rFonts w:ascii="Times New Roman" w:hAnsi="Times New Roman"/>
          <w:sz w:val="20"/>
        </w:rPr>
        <w:t xml:space="preserve">. Unless otherwise expressly agreed by the applicable Issuing Bank and the Revolving Borrowers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Revolving Borrowers for, and the applicable Issuing Bank’s rights and remedies against the Revolving Borrowers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 </w:t>
      </w:r>
    </w:p>
    <w:p>
      <w:pPr>
        <w:pStyle w:val="TextBody"/>
        <w:bidi w:val="0"/>
        <w:spacing w:before="360" w:after="0"/>
        <w:jc w:val="left"/>
        <w:rPr>
          <w:rFonts w:ascii="Times New Roman" w:hAnsi="Times New Roman"/>
          <w:sz w:val="20"/>
        </w:rPr>
      </w:pPr>
      <w:r>
        <w:rPr>
          <w:rFonts w:ascii="Times New Roman" w:hAnsi="Times New Roman"/>
          <w:sz w:val="20"/>
        </w:rPr>
        <w:t>SECTION 2.05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each Loan to be made by it hereunder on the proposed date thereof by wire transfer of immediately available funds by 12:00 noon (and in the case of ABR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p>
    <w:p>
      <w:pPr>
        <w:pStyle w:val="TextBody"/>
        <w:bidi w:val="0"/>
        <w:spacing w:before="0" w:after="0"/>
        <w:jc w:val="left"/>
        <w:rPr>
          <w:rFonts w:ascii="Times New Roman" w:hAnsi="Times New Roman"/>
          <w:sz w:val="20"/>
        </w:rPr>
      </w:pPr>
      <w:r>
        <w:rPr>
          <w:rFonts w:ascii="Times New Roman" w:hAnsi="Times New Roman"/>
          <w:sz w:val="20"/>
        </w:rPr>
        <w:t xml:space="preserve">Loans, 2:00 p.m.), New York City time, to the Applicable Account of the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w:t>
      </w:r>
      <w:r>
        <w:rPr>
          <w:rFonts w:ascii="Times New Roman" w:hAnsi="Times New Roman"/>
          <w:sz w:val="20"/>
          <w:u w:val="single"/>
        </w:rPr>
        <w:t>Section 2.24</w:t>
      </w:r>
      <w:r>
        <w:rPr>
          <w:rFonts w:ascii="Times New Roman" w:hAnsi="Times New Roman"/>
          <w:sz w:val="20"/>
        </w:rPr>
        <w:t xml:space="preserve">. The Administrative Agent will make such Loans available to the Borrowers by promptly crediting the amounts so received, in like funds, to an account of the applicable Borrower designated by the applicable Borrower in the applicable Borrowing Request; </w:t>
      </w:r>
      <w:r>
        <w:rPr>
          <w:rFonts w:ascii="Times New Roman" w:hAnsi="Times New Roman"/>
          <w:sz w:val="20"/>
          <w:u w:val="single"/>
        </w:rPr>
        <w:t>provided</w:t>
      </w:r>
      <w:r>
        <w:rPr>
          <w:rFonts w:ascii="Times New Roman" w:hAnsi="Times New Roman"/>
          <w:sz w:val="20"/>
        </w:rPr>
        <w:t xml:space="preserve"> that ABR Revolving Loans made to finance the reimbursement of a LC Disbursement as provided in </w:t>
      </w:r>
      <w:r>
        <w:rPr>
          <w:rFonts w:ascii="Times New Roman" w:hAnsi="Times New Roman"/>
          <w:sz w:val="20"/>
          <w:u w:val="single"/>
        </w:rPr>
        <w:t>Section 2.04(f)</w:t>
      </w:r>
      <w:r>
        <w:rPr>
          <w:rFonts w:ascii="Times New Roman" w:hAnsi="Times New Roman"/>
          <w:sz w:val="20"/>
        </w:rPr>
        <w:t xml:space="preserve"> shall be remitted by the Administrative Agent to the applicable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w:t>
      </w:r>
      <w:r>
        <w:rPr>
          <w:rFonts w:ascii="Times New Roman" w:hAnsi="Times New Roman"/>
          <w:sz w:val="20"/>
          <w:u w:val="single"/>
        </w:rPr>
        <w:t>Section 2.05</w:t>
      </w:r>
      <w:r>
        <w:rPr>
          <w:rFonts w:ascii="Times New Roman" w:hAnsi="Times New Roman"/>
          <w:sz w:val="20"/>
        </w:rPr>
        <w:t xml:space="preserve"> and may, in reliance on such assumption and in its sole discretion, make available to the Borrowers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Borrowers, and the Borrowers agree to pay such corresponding amount to the Administrative Agent forthwith on demand. If such Lender pays such amount to the Administrative Agent, then such amount shall constitute such Lender’s Loan included in such Borrowing. The Administrative Agent shall also be entitled to recover from such Lender or from the Borrowers interest on such corresponding amount,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applicable to such Borrowing in accordance with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Lenders hereunder to make Term Loans and Revolving Loans, to fund participations in Letters of Credit and Swingline Loans and to make payments pursuant to </w:t>
      </w:r>
      <w:r>
        <w:rPr>
          <w:rFonts w:ascii="Times New Roman" w:hAnsi="Times New Roman"/>
          <w:sz w:val="20"/>
          <w:u w:val="single"/>
        </w:rPr>
        <w:t>Section 9.03(c)</w:t>
      </w:r>
      <w:r>
        <w:rPr>
          <w:rFonts w:ascii="Times New Roman" w:hAnsi="Times New Roman"/>
          <w:sz w:val="20"/>
        </w:rPr>
        <w:t xml:space="preserve"> and </w:t>
      </w:r>
      <w:r>
        <w:rPr>
          <w:rFonts w:ascii="Times New Roman" w:hAnsi="Times New Roman"/>
          <w:sz w:val="20"/>
          <w:u w:val="single"/>
        </w:rPr>
        <w:t>Section 9.03(d)</w:t>
      </w:r>
      <w:r>
        <w:rPr>
          <w:rFonts w:ascii="Times New Roman" w:hAnsi="Times New Roman"/>
          <w:sz w:val="20"/>
        </w:rPr>
        <w:t xml:space="preserve"> are several and not joint. The failure of any Lender to make any Loan, to fund any such participation or to make any payment under </w:t>
      </w:r>
      <w:r>
        <w:rPr>
          <w:rFonts w:ascii="Times New Roman" w:hAnsi="Times New Roman"/>
          <w:sz w:val="20"/>
          <w:u w:val="single"/>
        </w:rPr>
        <w:t>Section 9.03(c)</w:t>
      </w:r>
      <w:r>
        <w:rPr>
          <w:rFonts w:ascii="Times New Roman" w:hAnsi="Times New Roman"/>
          <w:sz w:val="20"/>
        </w:rPr>
        <w:t xml:space="preserve"> and/or </w:t>
      </w:r>
      <w:r>
        <w:rPr>
          <w:rFonts w:ascii="Times New Roman" w:hAnsi="Times New Roman"/>
          <w:sz w:val="20"/>
          <w:u w:val="single"/>
        </w:rPr>
        <w:t>Section 9.03(d)</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sz w:val="20"/>
          <w:u w:val="single"/>
        </w:rPr>
        <w:t>Section 9.03(c)</w:t>
      </w:r>
      <w:r>
        <w:rPr>
          <w:rFonts w:ascii="Times New Roman" w:hAnsi="Times New Roman"/>
          <w:sz w:val="20"/>
        </w:rPr>
        <w:t xml:space="preserve"> and/or </w:t>
      </w:r>
      <w:r>
        <w:rPr>
          <w:rFonts w:ascii="Times New Roman" w:hAnsi="Times New Roman"/>
          <w:sz w:val="20"/>
          <w:u w:val="single"/>
        </w:rPr>
        <w:t>Section 9.03(d)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2.06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Borrowing initially shall be of the Type specified in the applicable Borrowing Request or designated by </w:t>
      </w:r>
      <w:r>
        <w:rPr>
          <w:rFonts w:ascii="Times New Roman" w:hAnsi="Times New Roman"/>
          <w:sz w:val="20"/>
          <w:u w:val="single"/>
        </w:rPr>
        <w:t>Section 2.03</w:t>
      </w:r>
      <w:r>
        <w:rPr>
          <w:rFonts w:ascii="Times New Roman" w:hAnsi="Times New Roman"/>
          <w:sz w:val="20"/>
        </w:rPr>
        <w:t xml:space="preserve"> </w:t>
      </w:r>
      <w:r>
        <w:rPr>
          <w:rFonts w:ascii="Times New Roman" w:hAnsi="Times New Roman"/>
          <w:color w:val="0000FF"/>
          <w:sz w:val="20"/>
          <w:u w:val="single"/>
          <w:bdr w:val="double" w:sz="2" w:space="1" w:color="000000"/>
        </w:rPr>
        <w:t xml:space="preserve">(which in the case of a Borrowing denominated in an Alternative Currency (other than Sterling), shall be a Eurodollar Borrowing or Term Benchmark Borrowing and in the case of a Borrowing denominated in Sterling, shall </w:t>
      </w:r>
      <w:r>
        <w:rPr>
          <w:rFonts w:ascii="Times New Roman" w:hAnsi="Times New Roman"/>
          <w:b/>
          <w:color w:val="0000FF"/>
          <w:sz w:val="20"/>
          <w:u w:val="single"/>
          <w:bdr w:val="double" w:sz="2" w:space="1" w:color="000000"/>
        </w:rPr>
        <w:t>be</w:t>
      </w:r>
      <w:r>
        <w:rPr>
          <w:rFonts w:ascii="Times New Roman" w:hAnsi="Times New Roman"/>
          <w:color w:val="0000FF"/>
          <w:sz w:val="20"/>
          <w:u w:val="single"/>
          <w:bdr w:val="double" w:sz="2" w:space="1" w:color="000000"/>
        </w:rPr>
        <w:t xml:space="preserve"> an RFR Borrowing) </w:t>
      </w:r>
      <w:r>
        <w:rPr>
          <w:rFonts w:ascii="Times New Roman" w:hAnsi="Times New Roman"/>
          <w:sz w:val="20"/>
        </w:rPr>
        <w:t xml:space="preserve">and, in the case of a Eurodollar </w:t>
      </w:r>
      <w:r>
        <w:rPr>
          <w:rFonts w:ascii="Times New Roman" w:hAnsi="Times New Roman"/>
          <w:color w:val="0000FF"/>
          <w:sz w:val="20"/>
          <w:u w:val="single"/>
          <w:bdr w:val="double" w:sz="2" w:space="1" w:color="000000"/>
        </w:rPr>
        <w:t>Borrowing, Term Benchmark Borrowing or RFR</w:t>
      </w:r>
      <w:r>
        <w:rPr>
          <w:rFonts w:ascii="Times New Roman" w:hAnsi="Times New Roman"/>
          <w:sz w:val="20"/>
        </w:rPr>
        <w:t xml:space="preserve"> Borrowing, shall have an initial Interest Period as specified in such Borrowing Request or designated by </w:t>
      </w:r>
      <w:r>
        <w:rPr>
          <w:rFonts w:ascii="Times New Roman" w:hAnsi="Times New Roman"/>
          <w:sz w:val="20"/>
          <w:u w:val="single"/>
        </w:rPr>
        <w:t>Section 2.03</w:t>
      </w:r>
      <w:r>
        <w:rPr>
          <w:rFonts w:ascii="Times New Roman" w:hAnsi="Times New Roman"/>
          <w:sz w:val="20"/>
        </w:rPr>
        <w:t xml:space="preserve">. Thereafter, the Borrowers may elect to convert such Borrowing to a different Type or to continue such Borrowing and, in the case of a Eurodollar Borrowing, </w:t>
      </w:r>
      <w:r>
        <w:rPr>
          <w:rFonts w:ascii="Times New Roman" w:hAnsi="Times New Roman"/>
          <w:color w:val="0000FF"/>
          <w:sz w:val="20"/>
          <w:u w:val="single"/>
          <w:bdr w:val="double" w:sz="2" w:space="1" w:color="000000"/>
        </w:rPr>
        <w:t>Term Benchmark Borrowing or RFR Borrowing</w:t>
      </w:r>
      <w:r>
        <w:rPr>
          <w:rFonts w:ascii="Times New Roman" w:hAnsi="Times New Roman"/>
          <w:sz w:val="20"/>
        </w:rPr>
        <w:t xml:space="preserve">, may elect Interest Periods therefor, all as provided in this </w:t>
      </w:r>
      <w:r>
        <w:rPr>
          <w:rFonts w:ascii="Times New Roman" w:hAnsi="Times New Roman"/>
          <w:sz w:val="20"/>
          <w:u w:val="single"/>
        </w:rPr>
        <w:t>Section 2.06</w:t>
      </w:r>
      <w:r>
        <w:rPr>
          <w:rFonts w:ascii="Times New Roman" w:hAnsi="Times New Roman"/>
          <w:sz w:val="20"/>
        </w:rPr>
        <w:t xml:space="preserve">. The Borrowers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p>
    <w:p>
      <w:pPr>
        <w:pStyle w:val="TextBody"/>
        <w:bidi w:val="0"/>
        <w:spacing w:before="0" w:after="0"/>
        <w:jc w:val="left"/>
        <w:rPr>
          <w:rFonts w:ascii="Times New Roman" w:hAnsi="Times New Roman"/>
          <w:sz w:val="20"/>
        </w:rPr>
      </w:pPr>
      <w:r>
        <w:rPr>
          <w:rFonts w:ascii="Times New Roman" w:hAnsi="Times New Roman"/>
          <w:sz w:val="20"/>
        </w:rPr>
        <w:t xml:space="preserve">(b)     To make an election pursuant to this </w:t>
      </w:r>
      <w:r>
        <w:rPr>
          <w:rFonts w:ascii="Times New Roman" w:hAnsi="Times New Roman"/>
          <w:sz w:val="20"/>
          <w:u w:val="single"/>
        </w:rPr>
        <w:t>Section 2.06</w:t>
      </w:r>
      <w:r>
        <w:rPr>
          <w:rFonts w:ascii="Times New Roman" w:hAnsi="Times New Roman"/>
          <w:sz w:val="20"/>
        </w:rPr>
        <w:t xml:space="preserve">, the Borrowers shall deliver by hand delivery, facsimile or other electronic transmission to the Administrative Agent a written Interest Election Request signed by a Responsible Officer of a Borrower by the time that a Borrowing Request would be required under </w:t>
      </w:r>
      <w:r>
        <w:rPr>
          <w:rFonts w:ascii="Times New Roman" w:hAnsi="Times New Roman"/>
          <w:sz w:val="20"/>
          <w:u w:val="single"/>
        </w:rPr>
        <w:t>Section 2.03</w:t>
      </w:r>
      <w:r>
        <w:rPr>
          <w:rFonts w:ascii="Times New Roman" w:hAnsi="Times New Roman"/>
          <w:sz w:val="20"/>
        </w:rPr>
        <w:t xml:space="preserve"> if a Borrower were requesting a Borrowing of the Type resulting from such election to be made on the effective date of such election. Each such Interest Election Request shall be irrevocable and shall be confirmed promptly by hand delivery, facsimile or other electronic transmission to the Administrative Agent of a written Interest Election Request signed by a Responsible Officer of a Borrower. </w:t>
      </w:r>
    </w:p>
    <w:p>
      <w:pPr>
        <w:pStyle w:val="TextBody"/>
        <w:bidi w:val="0"/>
        <w:spacing w:before="240" w:after="0"/>
        <w:jc w:val="left"/>
        <w:rPr>
          <w:rFonts w:ascii="Times New Roman" w:hAnsi="Times New Roman"/>
          <w:sz w:val="20"/>
        </w:rPr>
      </w:pPr>
      <w:r>
        <w:rPr>
          <w:rFonts w:ascii="Times New Roman" w:hAnsi="Times New Roman"/>
          <w:sz w:val="20"/>
        </w:rPr>
        <w:t xml:space="preserve">(c)     Each written Interest Election Request shall specify the following information in compliance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w:t>
      </w:r>
      <w:r>
        <w:rPr>
          <w:rFonts w:ascii="Times New Roman" w:hAnsi="Times New Roman"/>
          <w:strike/>
          <w:color w:val="FF0000"/>
          <w:sz w:val="20"/>
        </w:rPr>
        <w:t>or</w:t>
      </w:r>
      <w:r>
        <w:rPr>
          <w:rFonts w:ascii="Times New Roman" w:hAnsi="Times New Roman"/>
          <w:color w:val="0000FF"/>
          <w:sz w:val="20"/>
          <w:u w:val="single"/>
          <w:bdr w:val="double" w:sz="2" w:space="1" w:color="000000"/>
        </w:rPr>
        <w:t>,</w:t>
      </w:r>
      <w:r>
        <w:rPr>
          <w:rFonts w:ascii="Times New Roman" w:hAnsi="Times New Roman"/>
          <w:sz w:val="20"/>
        </w:rPr>
        <w:t xml:space="preserve"> a Eurodollar Borrowing</w:t>
      </w:r>
      <w:r>
        <w:rPr>
          <w:rFonts w:ascii="Times New Roman" w:hAnsi="Times New Roman"/>
          <w:color w:val="0000FF"/>
          <w:sz w:val="20"/>
          <w:u w:val="single"/>
          <w:bdr w:val="double" w:sz="2" w:space="1" w:color="000000"/>
        </w:rPr>
        <w:t>, a Term Benchmark Borrowing or an RFR Borrowing</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to be a Eurodollar </w:t>
      </w:r>
      <w:r>
        <w:rPr>
          <w:rFonts w:ascii="Times New Roman" w:hAnsi="Times New Roman"/>
          <w:color w:val="0000FF"/>
          <w:sz w:val="20"/>
          <w:u w:val="single"/>
          <w:bdr w:val="double" w:sz="2" w:space="1" w:color="000000"/>
        </w:rPr>
        <w:t xml:space="preserve">Borrowing, a Term Benchmark Borrowing or an RFR </w:t>
      </w:r>
      <w:r>
        <w:rPr>
          <w:rFonts w:ascii="Times New Roman" w:hAnsi="Times New Roman"/>
          <w:sz w:val="20"/>
        </w:rPr>
        <w:t xml:space="preserve">Borrowing, the currency and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If any such Interest Election Request requests a Eurodollar Borrowing</w:t>
      </w:r>
      <w:r>
        <w:rPr>
          <w:rFonts w:ascii="Times New Roman" w:hAnsi="Times New Roman"/>
          <w:color w:val="0000FF"/>
          <w:sz w:val="20"/>
          <w:u w:val="single"/>
          <w:bdr w:val="double" w:sz="2" w:space="1" w:color="000000"/>
        </w:rPr>
        <w:t>, a Term Benchmark Borrowing or an RFR Borrowing</w:t>
      </w:r>
      <w:r>
        <w:rPr>
          <w:rFonts w:ascii="Times New Roman" w:hAnsi="Times New Roman"/>
          <w:sz w:val="20"/>
        </w:rPr>
        <w:t xml:space="preserve"> but does not specify an Interest Period, then the applicable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in accordance with this </w:t>
      </w:r>
      <w:r>
        <w:rPr>
          <w:rFonts w:ascii="Times New Roman" w:hAnsi="Times New Roman"/>
          <w:sz w:val="20"/>
          <w:u w:val="single"/>
        </w:rPr>
        <w:t>Section 2.06</w:t>
      </w:r>
      <w:r>
        <w:rPr>
          <w:rFonts w:ascii="Times New Roman" w:hAnsi="Times New Roman"/>
          <w:sz w:val="20"/>
        </w:rPr>
        <w:t xml:space="preserve">, the Administrative Agent shall advise each Lender of the applicable Class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(e)     If a Borrower fails to deliver a timely Interest Election Request with respect to a Eurodollar Borrowing</w:t>
      </w:r>
      <w:r>
        <w:rPr>
          <w:rFonts w:ascii="Times New Roman" w:hAnsi="Times New Roman"/>
          <w:color w:val="0000FF"/>
          <w:sz w:val="20"/>
          <w:u w:val="single"/>
          <w:bdr w:val="double" w:sz="2" w:space="1" w:color="000000"/>
        </w:rPr>
        <w:t>, a Term Benchmark Borrowing or an RFR Borrowin g</w:t>
      </w:r>
      <w:r>
        <w:rPr>
          <w:rFonts w:ascii="Times New Roman" w:hAnsi="Times New Roman"/>
          <w:sz w:val="20"/>
        </w:rPr>
        <w:t xml:space="preserve"> prior to the end of the Interest Period applicable thereto, then, unless such Borrowing is repaid as provided herein, then the applicable Borrower shall be deemed to have selected an Interest Period of one month’s duration. Notwithstanding any contrary provision hereof, if an Event of Default has occurred and is continuing and the Administrative Agent, at the request of the Required Lenders, so notifies the Borrowers, then, so long as an Event of Default is continuing (i) no outstanding Borrowing may be converted to or continued as a Eurodollar Borrowing </w:t>
      </w:r>
      <w:r>
        <w:rPr>
          <w:rFonts w:ascii="Times New Roman" w:hAnsi="Times New Roman"/>
          <w:color w:val="0000FF"/>
          <w:sz w:val="20"/>
          <w:u w:val="single"/>
          <w:bdr w:val="double" w:sz="2" w:space="1" w:color="000000"/>
        </w:rPr>
        <w:t xml:space="preserve">or a Term Benchmark Borrowing </w:t>
      </w:r>
      <w:r>
        <w:rPr>
          <w:rFonts w:ascii="Times New Roman" w:hAnsi="Times New Roman"/>
          <w:sz w:val="20"/>
        </w:rPr>
        <w:t xml:space="preserve">and (ii) unless repaid, each Eurodollar Borrowing </w:t>
      </w:r>
      <w:r>
        <w:rPr>
          <w:rFonts w:ascii="Times New Roman" w:hAnsi="Times New Roman"/>
          <w:color w:val="0000FF"/>
          <w:sz w:val="20"/>
          <w:u w:val="single"/>
          <w:bdr w:val="double" w:sz="2" w:space="1" w:color="000000"/>
        </w:rPr>
        <w:t xml:space="preserve">or Term Benchmark Borrowing </w:t>
      </w:r>
      <w:r>
        <w:rPr>
          <w:rFonts w:ascii="Times New Roman" w:hAnsi="Times New Roman"/>
          <w:sz w:val="20"/>
        </w:rPr>
        <w:t xml:space="preserve">denominated in dollars shall be converted to an ABR Borrowing at the end of the Interest Period applicable thereto. </w:t>
      </w:r>
    </w:p>
    <w:p>
      <w:pPr>
        <w:pStyle w:val="TextBody"/>
        <w:bidi w:val="0"/>
        <w:spacing w:before="360" w:after="0"/>
        <w:jc w:val="left"/>
        <w:rPr>
          <w:rFonts w:ascii="Times New Roman" w:hAnsi="Times New Roman"/>
          <w:sz w:val="20"/>
        </w:rPr>
      </w:pPr>
      <w:r>
        <w:rPr>
          <w:rFonts w:ascii="Times New Roman" w:hAnsi="Times New Roman"/>
          <w:sz w:val="20"/>
        </w:rPr>
        <w:t>SECTION 2.07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Unless previously terminated, (i) the Initial Term Commitments shall terminate at 11:59 p.m., New York City time on the Initial Term Commitment Expiration Date (</w:t>
      </w:r>
      <w:r>
        <w:rPr>
          <w:rFonts w:ascii="Times New Roman" w:hAnsi="Times New Roman"/>
          <w:sz w:val="20"/>
          <w:u w:val="single"/>
        </w:rPr>
        <w:t>provided</w:t>
      </w:r>
      <w:r>
        <w:rPr>
          <w:rFonts w:ascii="Times New Roman" w:hAnsi="Times New Roman"/>
          <w:sz w:val="20"/>
        </w:rPr>
        <w:t xml:space="preserve"> that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p>
    <w:p>
      <w:pPr>
        <w:pStyle w:val="TextBody"/>
        <w:bidi w:val="0"/>
        <w:spacing w:before="0" w:after="0"/>
        <w:jc w:val="left"/>
        <w:rPr>
          <w:rFonts w:ascii="Times New Roman" w:hAnsi="Times New Roman"/>
          <w:sz w:val="20"/>
        </w:rPr>
      </w:pPr>
      <w:r>
        <w:rPr>
          <w:rFonts w:ascii="Times New Roman" w:hAnsi="Times New Roman"/>
          <w:sz w:val="20"/>
        </w:rPr>
        <w:t xml:space="preserve">connection with each drawing of Initial Term Loans in accordance with </w:t>
      </w:r>
      <w:r>
        <w:rPr>
          <w:rFonts w:ascii="Times New Roman" w:hAnsi="Times New Roman"/>
          <w:sz w:val="20"/>
          <w:u w:val="single"/>
        </w:rPr>
        <w:t>Section 2.01(a)</w:t>
      </w:r>
      <w:r>
        <w:rPr>
          <w:rFonts w:ascii="Times New Roman" w:hAnsi="Times New Roman"/>
          <w:sz w:val="20"/>
        </w:rPr>
        <w:t xml:space="preserve">, the Initial Term Commitment of each Lender shall be reduced on a dollar for dollar basis by the amount of Initial Term Loans made by such Lender on the date of such drawing;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to the extent that Bidco elects prior to the Target Debt Refinancing Outside Date that any portion of the Potential Rollover Instruments shall remain outstanding in accordance with the definition of “Target Debt Refinancing Indebtedness”, the Initial Term Commitments shall be reduced on a dollar for dollar basis by an aggregate amount equal to the Rolled Over Amounts (with the Initial Term Commitments being reduced among the Lenders on a ratable basis)), (ii) the Term Commitments in respect of the Amendment No. 1 Refinancing Term Loans shall terminate on the Amendment No. 1 Effective Date and (iii) the Revolving Commitments shall terminate on the Revolving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may at any time terminate, or from time to time reduce, the Commitments of any Class; </w:t>
      </w:r>
      <w:r>
        <w:rPr>
          <w:rFonts w:ascii="Times New Roman" w:hAnsi="Times New Roman"/>
          <w:sz w:val="20"/>
          <w:u w:val="single"/>
        </w:rPr>
        <w:t>provided</w:t>
      </w:r>
      <w:r>
        <w:rPr>
          <w:rFonts w:ascii="Times New Roman" w:hAnsi="Times New Roman"/>
          <w:sz w:val="20"/>
        </w:rPr>
        <w:t xml:space="preserve"> that (i) each reduction of the Commitments of any Class shall be in an amount that is an integral multiple of $500,000 and not less than $1,000,000 unless such amount represents all of the remaining Commitments of such Class and (ii) the Borrowers shall not terminate or reduce the Revolving Commitments of any Class if, after giving effect to any concurrent prepayment of the Revolving Loans or Swingline Loans of any Class in accordance with </w:t>
      </w:r>
      <w:r>
        <w:rPr>
          <w:rFonts w:ascii="Times New Roman" w:hAnsi="Times New Roman"/>
          <w:sz w:val="20"/>
          <w:u w:val="single"/>
        </w:rPr>
        <w:t>Section 2.10</w:t>
      </w:r>
      <w:r>
        <w:rPr>
          <w:rFonts w:ascii="Times New Roman" w:hAnsi="Times New Roman"/>
          <w:sz w:val="20"/>
        </w:rPr>
        <w:t xml:space="preserve">, the aggregate Revolving Exposures of such Class would exceed the aggregate Revolving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Borrowers shall notify the Administrative Agent of any election to terminate or reduce the Commitments under paragraph (b) of this </w:t>
      </w:r>
      <w:r>
        <w:rPr>
          <w:rFonts w:ascii="Times New Roman" w:hAnsi="Times New Roman"/>
          <w:sz w:val="20"/>
          <w:u w:val="single"/>
        </w:rPr>
        <w:t>Section 2.07</w:t>
      </w:r>
      <w:r>
        <w:rPr>
          <w:rFonts w:ascii="Times New Roman" w:hAnsi="Times New Roman"/>
          <w:sz w:val="20"/>
        </w:rPr>
        <w:t xml:space="preserve"> 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Borrowers pursuant to this </w:t>
      </w:r>
      <w:r>
        <w:rPr>
          <w:rFonts w:ascii="Times New Roman" w:hAnsi="Times New Roman"/>
          <w:sz w:val="20"/>
          <w:u w:val="single"/>
        </w:rPr>
        <w:t>Section 2.07</w:t>
      </w:r>
      <w:r>
        <w:rPr>
          <w:rFonts w:ascii="Times New Roman" w:hAnsi="Times New Roman"/>
          <w:sz w:val="20"/>
        </w:rPr>
        <w:t xml:space="preserve">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of any Class delivered by the Borrowers may state that such notice is conditioned upon the effectiveness of other credit facilities or the receipt of the proceeds from the issuance of other Indebtedness or the occurrence of some other identifiable event or condition, in which case such notice may be revoked or extended by the Borrowers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 </w:t>
      </w:r>
    </w:p>
    <w:p>
      <w:pPr>
        <w:pStyle w:val="TextBody"/>
        <w:bidi w:val="0"/>
        <w:spacing w:before="360" w:after="0"/>
        <w:jc w:val="left"/>
        <w:rPr>
          <w:rFonts w:ascii="Times New Roman" w:hAnsi="Times New Roman"/>
          <w:sz w:val="20"/>
        </w:rPr>
      </w:pPr>
      <w:r>
        <w:rPr>
          <w:rFonts w:ascii="Times New Roman" w:hAnsi="Times New Roman"/>
          <w:sz w:val="20"/>
        </w:rPr>
        <w:t>SECTION 2.08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hereby unconditionally promise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w:t>
      </w:r>
      <w:r>
        <w:rPr>
          <w:rFonts w:ascii="Times New Roman" w:hAnsi="Times New Roman"/>
          <w:sz w:val="20"/>
          <w:u w:val="single"/>
        </w:rPr>
        <w:t>Section 2.09</w:t>
      </w:r>
      <w:r>
        <w:rPr>
          <w:rFonts w:ascii="Times New Roman" w:hAnsi="Times New Roman"/>
          <w:sz w:val="20"/>
        </w:rPr>
        <w:t xml:space="preserve">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 w:hAnsi="Times New Roman"/>
          <w:sz w:val="20"/>
          <w:u w:val="single"/>
        </w:rPr>
        <w:t>provided</w:t>
      </w:r>
      <w:r>
        <w:rPr>
          <w:rFonts w:ascii="Times New Roman" w:hAnsi="Times New Roman"/>
          <w:sz w:val="20"/>
        </w:rPr>
        <w:t xml:space="preserve"> that on each date that a Revolving Borrowing is made, the Revolving Borrowers shall repay all Swingline Loans that were outstanding on the date such Borrowing was requested.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p>
    <w:p>
      <w:pPr>
        <w:pStyle w:val="TextBody"/>
        <w:bidi w:val="0"/>
        <w:spacing w:before="0" w:after="0"/>
        <w:jc w:val="left"/>
        <w:rPr>
          <w:rFonts w:ascii="Times New Roman" w:hAnsi="Times New Roman"/>
          <w:sz w:val="20"/>
        </w:rPr>
      </w:pPr>
      <w:r>
        <w:rPr>
          <w:rFonts w:ascii="Times New Roman" w:hAnsi="Times New Roman"/>
          <w:sz w:val="20"/>
        </w:rPr>
        <w:t xml:space="preserve">(c)     The Administrative Agent shall, in connection with maintenance of the Register in accordance with </w:t>
      </w:r>
      <w:r>
        <w:rPr>
          <w:rFonts w:ascii="Times New Roman" w:hAnsi="Times New Roman"/>
          <w:sz w:val="20"/>
          <w:u w:val="single"/>
        </w:rPr>
        <w:t>Section 9.04(b)(iv)</w:t>
      </w:r>
      <w:r>
        <w:rPr>
          <w:rFonts w:ascii="Times New Roman" w:hAnsi="Times New Roman"/>
          <w:sz w:val="20"/>
        </w:rPr>
        <w:t xml:space="preserve"> maintain accounts in which it shall record (i) the amount of each Loan made hereunder, the Class and Type thereof and the Interest Period applicable thereto, (ii) the amount of any principal, premium, interest or fees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(d)     The entries made in the accounts maintained pursuant to paragraph (b) or (c) of this </w:t>
      </w:r>
      <w:r>
        <w:rPr>
          <w:rFonts w:ascii="Times New Roman" w:hAnsi="Times New Roman"/>
          <w:sz w:val="20"/>
          <w:u w:val="single"/>
        </w:rPr>
        <w:t>Section 2.08</w:t>
      </w:r>
      <w:r>
        <w:rPr>
          <w:rFonts w:ascii="Times New Roman" w:hAnsi="Times New Roman"/>
          <w:sz w:val="20"/>
        </w:rPr>
        <w:t xml:space="preserve">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Borrowers to pay any amounts due hereunder in accordance with the terms of this Agreement. In the event of any inconsistency between the entries made pursuant to paragraphs (b) and (c) of this </w:t>
      </w:r>
      <w:r>
        <w:rPr>
          <w:rFonts w:ascii="Times New Roman" w:hAnsi="Times New Roman"/>
          <w:sz w:val="20"/>
          <w:u w:val="single"/>
        </w:rPr>
        <w:t>Section 2.08</w:t>
      </w:r>
      <w:r>
        <w:rPr>
          <w:rFonts w:ascii="Times New Roman" w:hAnsi="Times New Roman"/>
          <w:sz w:val="20"/>
        </w:rPr>
        <w:t xml:space="preserve">, the accounts maintained by the Administrative Agent pursuant to paragraph (c) of this </w:t>
      </w:r>
      <w:r>
        <w:rPr>
          <w:rFonts w:ascii="Times New Roman" w:hAnsi="Times New Roman"/>
          <w:sz w:val="20"/>
          <w:u w:val="single"/>
        </w:rPr>
        <w:t>Section 2.08</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(e)     Any Lender may request through the Administrative Agent that Loans of any Class made by it be evidenced by a Note. In such event, the Borrowers shall execute and deliver to such Lender a Note payable to such Lender (or, if requested by such Lender, to such Lender and its registered assigns). </w:t>
      </w:r>
    </w:p>
    <w:p>
      <w:pPr>
        <w:pStyle w:val="TextBody"/>
        <w:bidi w:val="0"/>
        <w:spacing w:before="360" w:after="0"/>
        <w:jc w:val="left"/>
        <w:rPr>
          <w:rFonts w:ascii="Times New Roman" w:hAnsi="Times New Roman"/>
          <w:sz w:val="20"/>
        </w:rPr>
      </w:pPr>
      <w:r>
        <w:rPr>
          <w:rFonts w:ascii="Times New Roman" w:hAnsi="Times New Roman"/>
          <w:sz w:val="20"/>
        </w:rPr>
        <w:t>SECTION 2.09    </w:t>
      </w:r>
      <w:r>
        <w:rPr>
          <w:rFonts w:ascii="Times New Roman" w:hAnsi="Times New Roman"/>
          <w:sz w:val="20"/>
          <w:u w:val="single"/>
        </w:rPr>
        <w:t>Amortization of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pursuant to paragraph (c) of this </w:t>
      </w:r>
      <w:r>
        <w:rPr>
          <w:rFonts w:ascii="Times New Roman" w:hAnsi="Times New Roman"/>
          <w:sz w:val="20"/>
          <w:u w:val="single"/>
        </w:rPr>
        <w:t>Section 2.09</w:t>
      </w:r>
      <w:r>
        <w:rPr>
          <w:rFonts w:ascii="Times New Roman" w:hAnsi="Times New Roman"/>
          <w:sz w:val="20"/>
        </w:rPr>
        <w:t xml:space="preserve"> and increases in connection with fungible increases to the Amendment No. 1 Refinancing Term Loans to reflect the equivalent amortization for such fungible increase, the Term Borrowers shall repay Borrowings of Amendment No. 1 Refinancing Term Loans on the last day of each March, June, September and December (commencing on March 31, 2021) in each case in an amount equal to $4,375,000; </w:t>
      </w:r>
      <w:r>
        <w:rPr>
          <w:rFonts w:ascii="Times New Roman" w:hAnsi="Times New Roman"/>
          <w:sz w:val="20"/>
          <w:u w:val="single"/>
        </w:rPr>
        <w:t>provided</w:t>
      </w:r>
      <w:r>
        <w:rPr>
          <w:rFonts w:ascii="Times New Roman" w:hAnsi="Times New Roman"/>
          <w:sz w:val="20"/>
        </w:rPr>
        <w:t xml:space="preserve"> that if any such date is not a Business Day, such payment shall be due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previously paid, all Amendment No. 1 Refinancing Term Loans shall be due and payable on the Term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Any prepayment of a Term Borrowing of any Class (i) pursuant to </w:t>
      </w:r>
      <w:r>
        <w:rPr>
          <w:rFonts w:ascii="Times New Roman" w:hAnsi="Times New Roman"/>
          <w:sz w:val="20"/>
          <w:u w:val="single"/>
        </w:rPr>
        <w:t>Section 2.10(a)(i)</w:t>
      </w:r>
      <w:r>
        <w:rPr>
          <w:rFonts w:ascii="Times New Roman" w:hAnsi="Times New Roman"/>
          <w:sz w:val="20"/>
        </w:rPr>
        <w:t xml:space="preserve"> shall be applied to reduce the subsequent scheduled and outstanding repayments of the Term Borrowings of such Class to be made pursuant to this </w:t>
      </w:r>
      <w:r>
        <w:rPr>
          <w:rFonts w:ascii="Times New Roman" w:hAnsi="Times New Roman"/>
          <w:sz w:val="20"/>
          <w:u w:val="single"/>
        </w:rPr>
        <w:t>Section 2.09</w:t>
      </w:r>
      <w:r>
        <w:rPr>
          <w:rFonts w:ascii="Times New Roman" w:hAnsi="Times New Roman"/>
          <w:sz w:val="20"/>
        </w:rPr>
        <w:t xml:space="preserve"> as directed by Bidco or the Term Borrowers (and absent such direction, in direct order of maturity) and (ii)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shall be applied to reduce the subsequent scheduled and outstanding repayments of the Term Borrowings of such Class to be made pursuant to this </w:t>
      </w:r>
      <w:r>
        <w:rPr>
          <w:rFonts w:ascii="Times New Roman" w:hAnsi="Times New Roman"/>
          <w:sz w:val="20"/>
          <w:u w:val="single"/>
        </w:rPr>
        <w:t>Section 2.09</w:t>
      </w:r>
      <w:r>
        <w:rPr>
          <w:rFonts w:ascii="Times New Roman" w:hAnsi="Times New Roman"/>
          <w:sz w:val="20"/>
        </w:rPr>
        <w:t xml:space="preserve">, or, except as otherwise provided in any Refinancing Amendment or Loan Modification Agreement,    pursuant to the corresponding section of such Refinancing Amendment or Loan Modification Agreement, as applicable, as directed by Bidco or the Term Borrowers (and absent such direction, in direct order of maturity). </w:t>
      </w:r>
    </w:p>
    <w:p>
      <w:pPr>
        <w:pStyle w:val="TextBody"/>
        <w:bidi w:val="0"/>
        <w:spacing w:before="240" w:after="0"/>
        <w:jc w:val="left"/>
        <w:rPr>
          <w:rFonts w:ascii="Times New Roman" w:hAnsi="Times New Roman"/>
          <w:sz w:val="20"/>
        </w:rPr>
      </w:pPr>
      <w:r>
        <w:rPr>
          <w:rFonts w:ascii="Times New Roman" w:hAnsi="Times New Roman"/>
          <w:sz w:val="20"/>
        </w:rPr>
        <w:t xml:space="preserve">(d)     Prior to any repayment of any Term Borrowings of any Class hereunder, Bidco or the Term Borrowers shall select the Borrowing or Borrowings of the applicable Class to be repaid and shall notify the Administrative Agent by hand delivery or facsimile of such election not later than 2:00 p.m., New York City time, one (1) Business Day before the scheduled date of such repayment. In the absence of a designation by Bidco or the Term Borrowers as described in the preceding sentence, the Administrative Agent shall make such designation in its reasonable discretion with a view, but no obligation, to minimize breakage costs owing under </w:t>
      </w:r>
      <w:r>
        <w:rPr>
          <w:rFonts w:ascii="Times New Roman" w:hAnsi="Times New Roman"/>
          <w:sz w:val="20"/>
          <w:u w:val="single"/>
        </w:rPr>
        <w:t>Section 2.15</w:t>
      </w:r>
      <w:r>
        <w:rPr>
          <w:rFonts w:ascii="Times New Roman" w:hAnsi="Times New Roman"/>
          <w:sz w:val="20"/>
        </w:rPr>
        <w:t xml:space="preserve"> and shall be applied in direct order of maturity. Each repayment of a Borrowing shall be applied ratably to the Loans included in the repaid Borrowing. Repayments of Term Borrowings shall be accompanied by accrued interest on the amount 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p>
    <w:p>
      <w:pPr>
        <w:pStyle w:val="TextBody"/>
        <w:bidi w:val="0"/>
        <w:spacing w:before="0" w:after="0"/>
        <w:jc w:val="left"/>
        <w:rPr>
          <w:rFonts w:ascii="Times New Roman" w:hAnsi="Times New Roman"/>
          <w:sz w:val="20"/>
        </w:rPr>
      </w:pPr>
      <w:r>
        <w:rPr>
          <w:rFonts w:ascii="Times New Roman" w:hAnsi="Times New Roman"/>
          <w:sz w:val="20"/>
        </w:rPr>
        <w:t>SECTION 2.10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Borrowers shall have the right at any time and from time to time to prepay any Borrowing in whole or in part, without premium or penalty; </w:t>
      </w:r>
      <w:r>
        <w:rPr>
          <w:rFonts w:ascii="Times New Roman" w:hAnsi="Times New Roman"/>
          <w:sz w:val="20"/>
          <w:u w:val="single"/>
        </w:rPr>
        <w:t>provided</w:t>
      </w:r>
      <w:r>
        <w:rPr>
          <w:rFonts w:ascii="Times New Roman" w:hAnsi="Times New Roman"/>
          <w:sz w:val="20"/>
        </w:rPr>
        <w:t xml:space="preserve"> that in the event that the Viasat Acquisition is consummated and, following the consummation of the Viasat Acquisition but prior to the date that is six (6) months after the consummation of the Viasat Acquisition, the Borrowers enter into any Repricing Transaction, the Borrowers shall pay to the Administrative Agent, for the ratable account of each of the applicable Term Lenders, (I) in the case of clause (a) of the definition of “Repricing Transaction”, a prepayment premium of 1.00% of the principal amount of the Amendment No. 1 Refinancing Term Loans being prepaid in connection with such Repricing Transaction or (II) in the case of clause (b) of the definition of “Repricing Transaction”, an amount equal to 1.00% of the aggregate amount of the applicable Amendment No. 1 Refinancing Term Loans outstanding immediately prior to such amendment that are subject to an effective pricing reduction pursuant to such Repricing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any Loan Document to the contrary, so long as no Default or Event of Default has occurred and is continuing, Holdings, any Intermediate Parent, Bidco or any of their respective Subsidiaries may offer to prepay all or a portion of the outstanding Term Loans on the following basis: </w:t>
      </w:r>
    </w:p>
    <w:p>
      <w:pPr>
        <w:pStyle w:val="TextBody"/>
        <w:bidi w:val="0"/>
        <w:spacing w:before="120" w:after="0"/>
        <w:jc w:val="left"/>
        <w:rPr>
          <w:rFonts w:ascii="Times New Roman" w:hAnsi="Times New Roman"/>
          <w:sz w:val="20"/>
        </w:rPr>
      </w:pPr>
      <w:r>
        <w:rPr>
          <w:rFonts w:ascii="Times New Roman" w:hAnsi="Times New Roman"/>
          <w:sz w:val="20"/>
        </w:rPr>
        <w:t>(A)     Holdings, any Intermediate Parent, Bidco or any of their respective Subsidiaries shall have the right to make a voluntary prepayment of Term Loans at a discount to par (such prepayment, the “</w:t>
      </w:r>
      <w:r>
        <w:rPr>
          <w:rFonts w:ascii="Times New Roman" w:hAnsi="Times New Roman"/>
          <w:sz w:val="20"/>
          <w:u w:val="single"/>
        </w:rPr>
        <w:t>Discounted Term Loan Prepayment</w:t>
      </w:r>
      <w:r>
        <w:rPr>
          <w:rFonts w:ascii="Times New Roman" w:hAnsi="Times New Roman"/>
          <w:sz w:val="20"/>
        </w:rPr>
        <w:t xml:space="preserve">”) pursuant to a Borrower Offer of Specified Discount Prepayment, Borrower Solicitation of Discount Range Prepayment Offers or Borrower Solicitation of Discounted Prepayment Offers, in each case made in accordance with this </w:t>
      </w:r>
      <w:r>
        <w:rPr>
          <w:rFonts w:ascii="Times New Roman" w:hAnsi="Times New Roman"/>
          <w:sz w:val="20"/>
          <w:u w:val="single"/>
        </w:rPr>
        <w:t>Section 2.10(a)(ii)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Holdings, any Intermediate Parent, Bidco or any of their respective Subsidiaries shall not make any Borrowing of Revolving Loans or Swingline Loans to fund any Discounted Term Loan Prepayment and (y) Holdings, any Intermediate Parent, Bidco or any of their respective Subsidiaries shall not initiate any action under this </w:t>
      </w:r>
      <w:r>
        <w:rPr>
          <w:rFonts w:ascii="Times New Roman" w:hAnsi="Times New Roman"/>
          <w:sz w:val="20"/>
          <w:u w:val="single"/>
        </w:rPr>
        <w:t>Section 2.10(a)(ii)</w:t>
      </w:r>
      <w:r>
        <w:rPr>
          <w:rFonts w:ascii="Times New Roman" w:hAnsi="Times New Roman"/>
          <w:sz w:val="20"/>
        </w:rPr>
        <w:t xml:space="preserve"> in order to make a Discounted Term Loan Prepayment unless (I) at least ten (10) Business Days shall have passed since the consummation of the most recent Discounted Term Loan Prepayment as a result of a prepayment made by Holdings, any Intermediate Parent, Bidco or any of their respective Subsidiaries on the applicable Discounted Prepayment Effective Date; or (II) at least three (3) Business Days shall have passed since the date Holdings, any Intermediate Parent, Bidco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any Intermediate Parent’s, Bidco or any of their respective Subsidiaries’ election not to accept any Solicited Discounted Prepayment Offers and (z) each Lender participating in any Discounted Term Loan Prepayment acknowledges and agrees that in connection with such Discounted Term Loan Prepayment, (1) the Borrowers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hAnsi="Times New Roman"/>
          <w:sz w:val="20"/>
          <w:u w:val="single"/>
        </w:rPr>
        <w:t>Excluded Information</w:t>
      </w:r>
      <w:r>
        <w:rPr>
          <w:rFonts w:ascii="Times New Roman" w:hAnsi="Times New Roman"/>
          <w:sz w:val="20"/>
        </w:rPr>
        <w:t xml:space="preserve">”), (2) such Lender has independently and, without reliance on Holdings, any of its subsidiaries,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Excluded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 Loan that is prepaid will be automatically and irrevocably cancelled. </w:t>
      </w:r>
    </w:p>
    <w:p>
      <w:pPr>
        <w:pStyle w:val="TextBody"/>
        <w:bidi w:val="0"/>
        <w:spacing w:before="120" w:after="0"/>
        <w:jc w:val="left"/>
        <w:rPr>
          <w:rFonts w:ascii="Times New Roman" w:hAnsi="Times New Roman"/>
          <w:sz w:val="20"/>
        </w:rPr>
      </w:pPr>
      <w:r>
        <w:rPr>
          <w:rFonts w:ascii="Times New Roman" w:hAnsi="Times New Roman"/>
          <w:sz w:val="20"/>
        </w:rPr>
        <w:t xml:space="preserve">(B)     (1)     Subject to the proviso to subsection (A) above, Holdings, any Intermediate Parent, Bidco or any of their respective Subsidiaries may from time to time offer to make a Discounted Term Loan Prepayment by providing the Auction Agent with three (3) Business Days’ notice in the form of a Specified Discount Prepayment Notice; </w:t>
      </w:r>
      <w:r>
        <w:rPr>
          <w:rFonts w:ascii="Times New Roman" w:hAnsi="Times New Roman"/>
          <w:sz w:val="20"/>
          <w:u w:val="single"/>
        </w:rPr>
        <w:t>provided</w:t>
      </w:r>
      <w:r>
        <w:rPr>
          <w:rFonts w:ascii="Times New Roman" w:hAnsi="Times New Roman"/>
          <w:sz w:val="20"/>
        </w:rPr>
        <w:t xml:space="preserve"> that (I) any such offer shall be made available, at the sole discretion of Holdings, any Intermediate Parent, Bidco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hAnsi="Times New Roman"/>
          <w:sz w:val="20"/>
          <w:u w:val="single"/>
        </w:rPr>
        <w:t>Specified Discount Prepayment Amount</w:t>
      </w:r>
      <w:r>
        <w:rPr>
          <w:rFonts w:ascii="Times New Roman" w:hAnsi="Times New Roman"/>
          <w:sz w:val="20"/>
        </w:rPr>
        <w:t>”) with respect to each applicable tranche, the tranche or tranches of Term Loans subject to such offer and the specific percentage discount to par (the “</w:t>
      </w:r>
      <w:r>
        <w:rPr>
          <w:rFonts w:ascii="Times New Roman" w:hAnsi="Times New Roman"/>
          <w:sz w:val="20"/>
          <w:u w:val="single"/>
        </w:rPr>
        <w:t>Specified Discount</w:t>
      </w:r>
      <w:r>
        <w:rPr>
          <w:rFonts w:ascii="Times New Roman" w:hAnsi="Times New Roman"/>
          <w:sz w:val="20"/>
        </w:rPr>
        <w:t xml:space="preserve">”)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Specified Discount Prepayment Response</w:t>
      </w:r>
      <w:r>
        <w:rPr>
          <w:rFonts w:ascii="Times New Roman" w:hAnsi="Times New Roman"/>
          <w:sz w:val="20"/>
        </w:rPr>
        <w:t xml:space="preserve"> </w:t>
      </w:r>
      <w:r>
        <w:rPr>
          <w:rFonts w:ascii="Times New Roman" w:hAnsi="Times New Roman"/>
          <w:sz w:val="20"/>
          <w:u w:val="single"/>
        </w:rPr>
        <w:t>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hAnsi="Times New Roman"/>
          <w:sz w:val="20"/>
          <w:u w:val="single"/>
        </w:rPr>
        <w:t>Discount</w:t>
      </w:r>
      <w:r>
        <w:rPr>
          <w:rFonts w:ascii="Times New Roman" w:hAnsi="Times New Roman"/>
          <w:sz w:val="20"/>
        </w:rPr>
        <w:t xml:space="preserve"> </w:t>
      </w:r>
      <w:r>
        <w:rPr>
          <w:rFonts w:ascii="Times New Roman" w:hAnsi="Times New Roman"/>
          <w:sz w:val="20"/>
          <w:u w:val="single"/>
        </w:rPr>
        <w:t>Prepayment Accepting Lender</w:t>
      </w:r>
      <w:r>
        <w:rPr>
          <w:rFonts w:ascii="Times New Roman" w:hAnsi="Times New Roman"/>
          <w:sz w:val="20"/>
        </w:rPr>
        <w:t xml:space="preserve">”),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w:t>
      </w:r>
    </w:p>
    <w:p>
      <w:pPr>
        <w:pStyle w:val="TextBody"/>
        <w:bidi w:val="0"/>
        <w:spacing w:before="120" w:after="0"/>
        <w:jc w:val="left"/>
        <w:rPr>
          <w:rFonts w:ascii="Times New Roman" w:hAnsi="Times New Roman"/>
          <w:sz w:val="20"/>
        </w:rPr>
      </w:pPr>
      <w:r>
        <w:rPr>
          <w:rFonts w:ascii="Times New Roman" w:hAnsi="Times New Roman"/>
          <w:sz w:val="20"/>
        </w:rPr>
        <w:t xml:space="preserve">(3)     If there is at least one Discount Prepayment Accepting Lender, Holdings, any Intermediate Parent, Bidco or any of their respective Subsidiaries will make prepayment of outstanding Term Loans pursuant to this paragraph (B) to each Discount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p>
    <w:p>
      <w:pPr>
        <w:pStyle w:val="TextBody"/>
        <w:bidi w:val="0"/>
        <w:spacing w:before="0" w:after="0"/>
        <w:jc w:val="left"/>
        <w:rPr>
          <w:rFonts w:ascii="Times New Roman" w:hAnsi="Times New Roman"/>
          <w:sz w:val="20"/>
        </w:rPr>
      </w:pPr>
      <w:r>
        <w:rPr>
          <w:rFonts w:ascii="Times New Roman" w:hAnsi="Times New Roman"/>
          <w:sz w:val="20"/>
        </w:rPr>
        <w:t xml:space="preserve">Prepayment Accepting Lender in accordance with the respective outstanding amount and tranches of Term Loans specified in such Lender’s Specified Discount Prepayment Response given pursuant to subsection (2); </w:t>
      </w:r>
      <w:r>
        <w:rPr>
          <w:rFonts w:ascii="Times New Roman" w:hAnsi="Times New Roman"/>
          <w:sz w:val="20"/>
          <w:u w:val="single"/>
        </w:rPr>
        <w:t>provided</w:t>
      </w:r>
      <w:r>
        <w:rPr>
          <w:rFonts w:ascii="Times New Roman" w:hAnsi="Times New Roman"/>
          <w:sz w:val="20"/>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Bidco or any of their respective Subsidiaries and subject to rounding requirements of the Auction Agent made in its reasonable discretion) will calculate such proration (the “</w:t>
      </w:r>
      <w:r>
        <w:rPr>
          <w:rFonts w:ascii="Times New Roman" w:hAnsi="Times New Roman"/>
          <w:sz w:val="20"/>
          <w:u w:val="single"/>
        </w:rPr>
        <w:t>Specified Discount Proration</w:t>
      </w:r>
      <w:r>
        <w:rPr>
          <w:rFonts w:ascii="Times New Roman" w:hAnsi="Times New Roman"/>
          <w:sz w:val="20"/>
        </w:rPr>
        <w:t xml:space="preserve">”). The Auction Agent shall promptly, and in any case within three (3) Business Days following the Specified Discount Prepayment Response Date, notify (I) Holdings, any Intermediate Parent, Bidco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Holdings, any Intermediate Parent, Bidco or any of their respective Subsidiaries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(C)     (1)     Subject to the proviso to subsection (A) above, Holdings, any Intermediate Parent, Bidco or any of their respective Subsidiaries may from time to time solicit Discount Range Prepayment Offers by providing the Auction Agent with three (3) Business Days’ notice in the form of a Discount Range Prepayment Notice; </w:t>
      </w:r>
      <w:r>
        <w:rPr>
          <w:rFonts w:ascii="Times New Roman" w:hAnsi="Times New Roman"/>
          <w:sz w:val="20"/>
          <w:u w:val="single"/>
        </w:rPr>
        <w:t>provided</w:t>
      </w:r>
      <w:r>
        <w:rPr>
          <w:rFonts w:ascii="Times New Roman" w:hAnsi="Times New Roman"/>
          <w:sz w:val="20"/>
        </w:rPr>
        <w:t xml:space="preserve"> that (I) any such solicitation shall be extended, at the sole discretion of Holdings, any Intermediate Parent, Bidco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hAnsi="Times New Roman"/>
          <w:sz w:val="20"/>
          <w:u w:val="single"/>
        </w:rPr>
        <w:t>Discount Range Prepayment Amount</w:t>
      </w:r>
      <w:r>
        <w:rPr>
          <w:rFonts w:ascii="Times New Roman" w:hAnsi="Times New Roman"/>
          <w:sz w:val="20"/>
        </w:rPr>
        <w:t>”), the tranche or tranches of Term Loans subject to such offer and the maximum and minimum percentage discounts to par (the “</w:t>
      </w:r>
      <w:r>
        <w:rPr>
          <w:rFonts w:ascii="Times New Roman" w:hAnsi="Times New Roman"/>
          <w:sz w:val="20"/>
          <w:u w:val="single"/>
        </w:rPr>
        <w:t>Discount Range</w:t>
      </w:r>
      <w:r>
        <w:rPr>
          <w:rFonts w:ascii="Times New Roman" w:hAnsi="Times New Roman"/>
          <w:sz w:val="20"/>
        </w:rPr>
        <w:t xml:space="preserve">”) of the principal amount of such Term Loans with respect to each relevant tranche of Term Loans willing to be prepaid by Holdings, any Intermediate Parent, Bidco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xml:space="preserve">), (III) the Discount Range Prepayment Amount shall be in an aggregate amount not less than $1,000,000 and whole increments of $500,000 in excess thereof and (IV) each such solicitation by Holdings, any Intermediate Parent, Bidco or any of their respective Subsidiaries shall remain outstanding through the Discount Range Prepayment Response Date. The Auction Agent will promptly provide each relevant Term Lender with a copy of such Discount Range Prepayment Notice and a form of the Discount Range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p>
    <w:p>
      <w:pPr>
        <w:pStyle w:val="TextBody"/>
        <w:bidi w:val="0"/>
        <w:spacing w:before="0" w:after="0"/>
        <w:jc w:val="left"/>
        <w:rPr>
          <w:rFonts w:ascii="Times New Roman" w:hAnsi="Times New Roman"/>
          <w:sz w:val="20"/>
        </w:rPr>
      </w:pPr>
      <w:r>
        <w:rPr>
          <w:rFonts w:ascii="Times New Roman" w:hAnsi="Times New Roman"/>
          <w:sz w:val="20"/>
        </w:rPr>
        <w:t>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Discount Range Prepayment Response Date</w:t>
      </w:r>
      <w:r>
        <w:rPr>
          <w:rFonts w:ascii="Times New Roman" w:hAnsi="Times New Roman"/>
          <w:sz w:val="20"/>
        </w:rPr>
        <w:t>”). Each relevant Term Lender’s Discount Range Prepayment Offer shall be irrevocable and shall specify a discount to par within the Discount Range (the “</w:t>
      </w:r>
      <w:r>
        <w:rPr>
          <w:rFonts w:ascii="Times New Roman" w:hAnsi="Times New Roman"/>
          <w:sz w:val="20"/>
          <w:u w:val="single"/>
        </w:rPr>
        <w:t>Submitted Discount</w:t>
      </w:r>
      <w:r>
        <w:rPr>
          <w:rFonts w:ascii="Times New Roman" w:hAnsi="Times New Roman"/>
          <w:sz w:val="20"/>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hAnsi="Times New Roman"/>
          <w:sz w:val="20"/>
          <w:u w:val="single"/>
        </w:rPr>
        <w:t>Submitted Amount</w:t>
      </w:r>
      <w:r>
        <w:rPr>
          <w:rFonts w:ascii="Times New Roman" w:hAnsi="Times New Roman"/>
          <w:sz w:val="20"/>
        </w:rPr>
        <w:t xml:space="preserve">”)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w:t>
      </w:r>
    </w:p>
    <w:p>
      <w:pPr>
        <w:pStyle w:val="TextBody"/>
        <w:bidi w:val="0"/>
        <w:spacing w:before="120" w:after="0"/>
        <w:jc w:val="left"/>
        <w:rPr>
          <w:rFonts w:ascii="Times New Roman" w:hAnsi="Times New Roman"/>
          <w:sz w:val="20"/>
        </w:rPr>
      </w:pPr>
      <w:r>
        <w:rPr>
          <w:rFonts w:ascii="Times New Roman" w:hAnsi="Times New Roman"/>
          <w:sz w:val="20"/>
        </w:rPr>
        <w:t>(2)     The Auction Agent shall review all Discount Range Prepayment Offers received on or before the applicable Discount Range Prepayment Response Date and shall determine (in consultation with Holdings, any Intermediate Parent, Bidco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Bidco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hAnsi="Times New Roman"/>
          <w:sz w:val="20"/>
          <w:u w:val="single"/>
        </w:rPr>
        <w:t>Applicable Discount</w:t>
      </w:r>
      <w:r>
        <w:rPr>
          <w:rFonts w:ascii="Times New Roman" w:hAnsi="Times New Roman"/>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hAnsi="Times New Roman"/>
          <w:sz w:val="20"/>
          <w:u w:val="single"/>
        </w:rPr>
        <w:t>Participating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If there is at least one Participating Lender, Holdings, any Intermediate Parent, Bidco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hAnsi="Times New Roman"/>
          <w:sz w:val="20"/>
          <w:u w:val="single"/>
        </w:rPr>
        <w:t>provided</w:t>
      </w:r>
      <w:r>
        <w:rPr>
          <w:rFonts w:ascii="Times New Roman" w:hAnsi="Times New Roman"/>
          <w:sz w:val="20"/>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hAnsi="Times New Roman"/>
          <w:sz w:val="20"/>
          <w:u w:val="single"/>
        </w:rPr>
        <w:t>Identified Participating Lenders</w:t>
      </w:r>
      <w:r>
        <w:rPr>
          <w:rFonts w:ascii="Times New Roman" w:hAnsi="Times New Roman"/>
          <w:sz w:val="20"/>
        </w:rPr>
        <w:t>”) shall be made pro-rata among the Identified Participating Lenders in accordance with the Submitted Amount of each such Identified Participating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 w:hAnsi="Times New Roman"/>
          <w:sz w:val="20"/>
          <w:u w:val="single"/>
        </w:rPr>
        <w:t>Discount Range Proration</w:t>
      </w:r>
      <w:r>
        <w:rPr>
          <w:rFonts w:ascii="Times New Roman" w:hAnsi="Times New Roman"/>
          <w:sz w:val="20"/>
        </w:rPr>
        <w:t xml:space="preserve">”). The Auction Agent shall promptly, and in any case within five (5)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p>
    <w:p>
      <w:pPr>
        <w:pStyle w:val="TextBody"/>
        <w:bidi w:val="0"/>
        <w:spacing w:before="0" w:after="0"/>
        <w:jc w:val="left"/>
        <w:rPr>
          <w:rFonts w:ascii="Times New Roman" w:hAnsi="Times New Roman"/>
          <w:sz w:val="20"/>
        </w:rPr>
      </w:pPr>
      <w:r>
        <w:rPr>
          <w:rFonts w:ascii="Times New Roman" w:hAnsi="Times New Roman"/>
          <w:sz w:val="20"/>
        </w:rPr>
        <w:t xml:space="preserve">following the Discount Range Prepayment Response Date, notify (I) Holdings, any Intermediate Parent, Bidco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if applicable, each Identified Participating Lender of the Discount Range Proration.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the Borrowers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(D)     (1) Subject to the proviso to subsection (A) above, Holdings, any Intermediate Parent, Bidco or any of their respective Subsidiaries may from time to time solicit Solicited Discounted Prepayment Offers by providing the Auction Agent with three (3) Business Days’ notice in the form of a Solicited Discounted Prepayment Notice; </w:t>
      </w:r>
      <w:r>
        <w:rPr>
          <w:rFonts w:ascii="Times New Roman" w:hAnsi="Times New Roman"/>
          <w:sz w:val="20"/>
          <w:u w:val="single"/>
        </w:rPr>
        <w:t>provided</w:t>
      </w:r>
      <w:r>
        <w:rPr>
          <w:rFonts w:ascii="Times New Roman" w:hAnsi="Times New Roman"/>
          <w:sz w:val="20"/>
        </w:rPr>
        <w:t xml:space="preserve"> that (I) any such solicitation shall be extended, at the sole discretion of Holdings, any Intermediate Parent, Bidco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hAnsi="Times New Roman"/>
          <w:sz w:val="20"/>
          <w:u w:val="single"/>
        </w:rPr>
        <w:t>Solicited Discounted Prepayment Amount</w:t>
      </w:r>
      <w:r>
        <w:rPr>
          <w:rFonts w:ascii="Times New Roman" w:hAnsi="Times New Roman"/>
          <w:sz w:val="20"/>
        </w:rPr>
        <w:t xml:space="preserve">”) and the tranche or tranches of Term Loans Holdings, any Intermediate Parent, Bidco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w:t>
      </w:r>
      <w:r>
        <w:rPr>
          <w:rFonts w:ascii="Times New Roman" w:hAnsi="Times New Roman"/>
          <w:sz w:val="20"/>
          <w:u w:val="single"/>
        </w:rPr>
        <w:t>Section 2.10(a)(ii)</w:t>
      </w:r>
      <w:r>
        <w:rPr>
          <w:rFonts w:ascii="Times New Roman" w:hAnsi="Times New Roman"/>
          <w:sz w:val="20"/>
        </w:rPr>
        <w:t>), (III) the Solicited Discounted Prepayment Amount shall be in an aggregate amount not less than $1,000,000 and whole increments of $500,000 in excess thereof and (IV) each such solicitation by Holdings, any Intermediate Parent, Bidco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Solicited Discounted Prepayment Response Date</w:t>
      </w:r>
      <w:r>
        <w:rPr>
          <w:rFonts w:ascii="Times New Roman" w:hAnsi="Times New Roman"/>
          <w:sz w:val="20"/>
        </w:rPr>
        <w:t>”). Each Term Lender’s Solicited Discounted Prepayment Offer shall (x) be irrevocable, (y) remain outstanding until the Acceptance Date, and (z) specify both a discount to par (the “</w:t>
      </w:r>
      <w:r>
        <w:rPr>
          <w:rFonts w:ascii="Times New Roman" w:hAnsi="Times New Roman"/>
          <w:sz w:val="20"/>
          <w:u w:val="single"/>
        </w:rPr>
        <w:t>Offered Discount</w:t>
      </w:r>
      <w:r>
        <w:rPr>
          <w:rFonts w:ascii="Times New Roman" w:hAnsi="Times New Roman"/>
          <w:sz w:val="20"/>
        </w:rPr>
        <w:t>”) such Term Lender is willing to allow to be applied to the prepayment of its then outstanding Term Loan and the maximum aggregate principal amount and tranches of such Term Loans (the “</w:t>
      </w:r>
      <w:r>
        <w:rPr>
          <w:rFonts w:ascii="Times New Roman" w:hAnsi="Times New Roman"/>
          <w:sz w:val="20"/>
          <w:u w:val="single"/>
        </w:rPr>
        <w:t>Offered Amount</w:t>
      </w:r>
      <w:r>
        <w:rPr>
          <w:rFonts w:ascii="Times New Roman" w:hAnsi="Times New Roman"/>
          <w:sz w:val="20"/>
        </w:rPr>
        <w:t xml:space="preserve">”)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p>
    <w:p>
      <w:pPr>
        <w:pStyle w:val="TextBody"/>
        <w:bidi w:val="0"/>
        <w:spacing w:before="0" w:after="0"/>
        <w:jc w:val="left"/>
        <w:rPr>
          <w:rFonts w:ascii="Times New Roman" w:hAnsi="Times New Roman"/>
          <w:sz w:val="20"/>
        </w:rPr>
      </w:pPr>
      <w:r>
        <w:rPr>
          <w:rFonts w:ascii="Times New Roman" w:hAnsi="Times New Roman"/>
          <w:sz w:val="20"/>
        </w:rPr>
        <w:t>(2)    The Auction Agent shall promptly provide Holdings, any Intermediate Parent, Bidco or any of their respective Subsidiaries with a copy of all Solicited Discounted Prepayment Offers received on or before the Solicited Discounted Prepayment Response Date. Holdings, any Intermediate Parent, Bidco,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Bidco or any of their respective Subsidiaries (the “</w:t>
      </w:r>
      <w:r>
        <w:rPr>
          <w:rFonts w:ascii="Times New Roman" w:hAnsi="Times New Roman"/>
          <w:sz w:val="20"/>
          <w:u w:val="single"/>
        </w:rPr>
        <w:t>Acceptable</w:t>
      </w:r>
      <w:r>
        <w:rPr>
          <w:rFonts w:ascii="Times New Roman" w:hAnsi="Times New Roman"/>
          <w:sz w:val="20"/>
        </w:rPr>
        <w:t xml:space="preserve"> </w:t>
      </w:r>
      <w:r>
        <w:rPr>
          <w:rFonts w:ascii="Times New Roman" w:hAnsi="Times New Roman"/>
          <w:sz w:val="20"/>
          <w:u w:val="single"/>
        </w:rPr>
        <w:t>Discount</w:t>
      </w:r>
      <w:r>
        <w:rPr>
          <w:rFonts w:ascii="Times New Roman" w:hAnsi="Times New Roman"/>
          <w:sz w:val="20"/>
        </w:rPr>
        <w:t>”), if any. If Holdings, any Intermediate Parent, Bidco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Bidco or any of their respective Subsidiaries from the Auction Agent of a copy of all Solicited Discounted Prepayment Offers pursuant to the first sentence of this subsection (2) (the “</w:t>
      </w:r>
      <w:r>
        <w:rPr>
          <w:rFonts w:ascii="Times New Roman" w:hAnsi="Times New Roman"/>
          <w:sz w:val="20"/>
          <w:u w:val="single"/>
        </w:rPr>
        <w:t>Acceptance Date</w:t>
      </w:r>
      <w:r>
        <w:rPr>
          <w:rFonts w:ascii="Times New Roman" w:hAnsi="Times New Roman"/>
          <w:sz w:val="20"/>
        </w:rPr>
        <w:t xml:space="preserve">”), Holdings, any Intermediate Parent, Bidco or any of their respective Subsidiaries shall submit an Acceptance and Prepayment Notice to the Auction Agent setting forth the Acceptable Discount. If the Auction Agent shall fail to receive an Acceptance and Prepayment Notice from Holdings, any Intermediate Parent, Bidco or any of their respective Subsidiaries by the Acceptance Date, Holdings, any Intermediate Parent, Bidco or any of their respective Subsidiaries shall be deemed to have rejected all Solicited Discounted Prepayment Offers. </w:t>
      </w:r>
    </w:p>
    <w:p>
      <w:pPr>
        <w:pStyle w:val="TextBody"/>
        <w:bidi w:val="0"/>
        <w:spacing w:before="120" w:after="0"/>
        <w:jc w:val="left"/>
        <w:rPr>
          <w:rFonts w:ascii="Times New Roman" w:hAnsi="Times New Roman"/>
          <w:sz w:val="20"/>
        </w:rPr>
      </w:pPr>
      <w:r>
        <w:rPr>
          <w:rFonts w:ascii="Times New Roman" w:hAnsi="Times New Roman"/>
          <w:sz w:val="20"/>
        </w:rPr>
        <w:t>(3)     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hAnsi="Times New Roman"/>
          <w:sz w:val="20"/>
          <w:u w:val="single"/>
        </w:rPr>
        <w:t>Discounted Prepayment Determination Date</w:t>
      </w:r>
      <w:r>
        <w:rPr>
          <w:rFonts w:ascii="Times New Roman" w:hAnsi="Times New Roman"/>
          <w:sz w:val="20"/>
        </w:rPr>
        <w:t>”), the Auction Agent will determine (in consultation with Holdings, any Intermediate Parent, Bidco or any of their respective Subsidiaries and subject to rounding requirements of the Auction Agent made in its sole reasonable discretion) the aggregate principal amount and the tranches of Term Loans (the “</w:t>
      </w:r>
      <w:r>
        <w:rPr>
          <w:rFonts w:ascii="Times New Roman" w:hAnsi="Times New Roman"/>
          <w:sz w:val="20"/>
          <w:u w:val="single"/>
        </w:rPr>
        <w:t>Acceptable Prepayment Amount</w:t>
      </w:r>
      <w:r>
        <w:rPr>
          <w:rFonts w:ascii="Times New Roman" w:hAnsi="Times New Roman"/>
          <w:sz w:val="20"/>
        </w:rPr>
        <w:t xml:space="preserve">”) to be prepaid by Holdings, any Intermediate Parent, Bidco or any of their respective Subsidiaries at the Acceptable Discount in accordance with this </w:t>
      </w:r>
      <w:r>
        <w:rPr>
          <w:rFonts w:ascii="Times New Roman" w:hAnsi="Times New Roman"/>
          <w:sz w:val="20"/>
          <w:u w:val="single"/>
        </w:rPr>
        <w:t>Section 2.10(a)(ii)(D)</w:t>
      </w:r>
      <w:r>
        <w:rPr>
          <w:rFonts w:ascii="Times New Roman" w:hAnsi="Times New Roman"/>
          <w:sz w:val="20"/>
        </w:rPr>
        <w:t>. If Holdings, any Intermediate Parent, Bidco or any of their respective Subsidiaries elects to accept any Acceptable Discount, then Holdings, any Intermediate Parent, Bidco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hAnsi="Times New Roman"/>
          <w:sz w:val="20"/>
          <w:u w:val="single"/>
        </w:rPr>
        <w:t>Qualifying Lender</w:t>
      </w:r>
      <w:r>
        <w:rPr>
          <w:rFonts w:ascii="Times New Roman" w:hAnsi="Times New Roman"/>
          <w:sz w:val="20"/>
        </w:rPr>
        <w:t xml:space="preserve">”).     Holdings, any Intermediate Parent, Bidco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hAnsi="Times New Roman"/>
          <w:sz w:val="20"/>
          <w:u w:val="single"/>
        </w:rPr>
        <w:t>provided</w:t>
      </w:r>
      <w:r>
        <w:rPr>
          <w:rFonts w:ascii="Times New Roman" w:hAnsi="Times New Roman"/>
          <w:sz w:val="20"/>
        </w:rPr>
        <w:t xml:space="preserve"> that if the aggregate Offered Amount by all Qualifying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p>
    <w:p>
      <w:pPr>
        <w:pStyle w:val="TextBody"/>
        <w:bidi w:val="0"/>
        <w:spacing w:before="0" w:after="0"/>
        <w:jc w:val="left"/>
        <w:rPr>
          <w:rFonts w:ascii="Times New Roman" w:hAnsi="Times New Roman"/>
          <w:sz w:val="20"/>
        </w:rPr>
      </w:pPr>
      <w:r>
        <w:rPr>
          <w:rFonts w:ascii="Times New Roman" w:hAnsi="Times New Roman"/>
          <w:sz w:val="20"/>
        </w:rPr>
        <w:t>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hAnsi="Times New Roman"/>
          <w:sz w:val="20"/>
          <w:u w:val="single"/>
        </w:rPr>
        <w:t>Identified Qualifying Lenders</w:t>
      </w:r>
      <w:r>
        <w:rPr>
          <w:rFonts w:ascii="Times New Roman" w:hAnsi="Times New Roman"/>
          <w:sz w:val="20"/>
        </w:rPr>
        <w:t>”) shall be made pro-rata among the Identified Qualifying Lenders in accordance with the Offered Amount of each such Identified Qualifying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Times New Roman" w:hAnsi="Times New Roman"/>
          <w:sz w:val="20"/>
          <w:u w:val="single"/>
        </w:rPr>
        <w:t>Solicited Discount Proration</w:t>
      </w:r>
      <w:r>
        <w:rPr>
          <w:rFonts w:ascii="Times New Roman" w:hAnsi="Times New Roman"/>
          <w:sz w:val="20"/>
        </w:rPr>
        <w:t xml:space="preserve">”). On or prior to the Discounted Prepayment Determination Date, the Auction Agent shall promptly notify (I) Holdings, any Intermediate Parent, Bidco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Borrowers and Lenders shall be conclusive and binding for all purposes absent manifest error. The payment amount specified in such notice to the Borrowers shall be due and payable by the Borrowers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Discounted Term Loan Prepayment, Holdings, any Intermediate Parent, Bidco or any of its Subsidiaries and the Lenders acknowledge and agree that the Auction Agent may require as a condition to any Discounted Term Loan Prepayment, the payment of reasonable and customary fees and expenses from Holdings, any Intermediate Parent, the Borrowers or any of their respective Subsidiaries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(F)     If any Term Loan is prepaid in accordance with paragraphs (B) through (D) above, Holdings, any Intermediate Parent, Bidco or any of their respective Subsidiaries shall prepay such Term Loans on the Discounted Prepayment Effective Date. Holdings, any Intermediate Parent, the Borrowers or any of their respective Subsidiaries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 w:hAnsi="Times New Roman"/>
          <w:sz w:val="20"/>
          <w:u w:val="single"/>
        </w:rPr>
        <w:t>Section 2.10(a)(ii)</w:t>
      </w:r>
      <w:r>
        <w:rPr>
          <w:rFonts w:ascii="Times New Roman" w:hAnsi="Times New Roman"/>
          <w:sz w:val="20"/>
        </w:rPr>
        <w:t xml:space="preserve">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p>
    <w:p>
      <w:pPr>
        <w:pStyle w:val="TextBody"/>
        <w:bidi w:val="0"/>
        <w:spacing w:before="0" w:after="0"/>
        <w:jc w:val="left"/>
        <w:rPr>
          <w:rFonts w:ascii="Times New Roman" w:hAnsi="Times New Roman"/>
          <w:sz w:val="20"/>
        </w:rPr>
      </w:pPr>
      <w:r>
        <w:rPr>
          <w:rFonts w:ascii="Times New Roman" w:hAnsi="Times New Roman"/>
          <w:sz w:val="20"/>
        </w:rPr>
        <w:t xml:space="preserve">(G)     To the extent not expressly provided for herein, each Discounted Term Loan Prepayment shall be consummated pursuant to procedures consistent with the provisions in this </w:t>
      </w:r>
      <w:r>
        <w:rPr>
          <w:rFonts w:ascii="Times New Roman" w:hAnsi="Times New Roman"/>
          <w:sz w:val="20"/>
          <w:u w:val="single"/>
        </w:rPr>
        <w:t>Section 2.10(a)(ii)</w:t>
      </w:r>
      <w:r>
        <w:rPr>
          <w:rFonts w:ascii="Times New Roman" w:hAnsi="Times New Roman"/>
          <w:sz w:val="20"/>
        </w:rPr>
        <w:t xml:space="preserve">, established by the Auction Agent acting in its reasonable discretion and as reasonably agreed by Holdings, any Intermediate Parent, Bidco or any of their respective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in any Loan Document to the contrary, for purposes of this </w:t>
      </w:r>
      <w:r>
        <w:rPr>
          <w:rFonts w:ascii="Times New Roman" w:hAnsi="Times New Roman"/>
          <w:sz w:val="20"/>
          <w:u w:val="single"/>
        </w:rPr>
        <w:t>Section 2.10(a)(ii)</w:t>
      </w:r>
      <w:r>
        <w:rPr>
          <w:rFonts w:ascii="Times New Roman" w:hAnsi="Times New Roman"/>
          <w:sz w:val="20"/>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hAnsi="Times New Roman"/>
          <w:sz w:val="20"/>
          <w:u w:val="single"/>
        </w:rPr>
        <w:t>provided</w:t>
      </w:r>
      <w:r>
        <w:rPr>
          <w:rFonts w:ascii="Times New Roman" w:hAnsi="Times New Roman"/>
          <w:sz w:val="20"/>
        </w:rPr>
        <w:t xml:space="preserve"> that any notice or communication actually received outside of normal business hours shall be deemed to have been given as of the opening of business on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(I)    Each of Holdings, any Intermediate Parent, Bidco or any of their respective Subsidiaries and the Lenders acknowledges and agrees that the Auction Agent may perform any and all of its duties under this </w:t>
      </w:r>
      <w:r>
        <w:rPr>
          <w:rFonts w:ascii="Times New Roman" w:hAnsi="Times New Roman"/>
          <w:sz w:val="20"/>
          <w:u w:val="single"/>
        </w:rPr>
        <w:t>Section 2.10(a)(ii)</w:t>
      </w:r>
      <w:r>
        <w:rPr>
          <w:rFonts w:ascii="Times New Roman" w:hAnsi="Times New Roman"/>
          <w:sz w:val="20"/>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hAnsi="Times New Roman"/>
          <w:sz w:val="20"/>
          <w:u w:val="single"/>
        </w:rPr>
        <w:t>Section 2.10(a)(ii)</w:t>
      </w:r>
      <w:r>
        <w:rPr>
          <w:rFonts w:ascii="Times New Roman" w:hAnsi="Times New Roman"/>
          <w:sz w:val="20"/>
        </w:rPr>
        <w:t xml:space="preserve"> as well as activities of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(J)     Holdings, any Intermediate Parent, Bidco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Borrowers to make any prepayment to a Term Lender, as applicable, pursuant to this </w:t>
      </w:r>
      <w:r>
        <w:rPr>
          <w:rFonts w:ascii="Times New Roman" w:hAnsi="Times New Roman"/>
          <w:sz w:val="20"/>
          <w:u w:val="single"/>
        </w:rPr>
        <w:t>Section 2.10(a)(ii)</w:t>
      </w:r>
      <w:r>
        <w:rPr>
          <w:rFonts w:ascii="Times New Roman" w:hAnsi="Times New Roman"/>
          <w:sz w:val="20"/>
        </w:rPr>
        <w:t xml:space="preserve"> shall not constitute a Default or Event of Default under </w:t>
      </w:r>
      <w:r>
        <w:rPr>
          <w:rFonts w:ascii="Times New Roman" w:hAnsi="Times New Roman"/>
          <w:sz w:val="20"/>
          <w:u w:val="single"/>
        </w:rPr>
        <w:t>Section 7.01</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and on each occasion that (i) the aggregate Revolving Exposures of any Class exceed the aggregate Revolving Commitments of such Class, Bidco or the Revolving Borrowers shall prepay Revolving Borrowings or Swingline Loans of such Class (or, if no such Borrowings are outstanding, deposit cash collateral in an account with a depositary bank that is a Lender reasonably satisfactory to the Collateral Agent pursuant to </w:t>
      </w:r>
      <w:r>
        <w:rPr>
          <w:rFonts w:ascii="Times New Roman" w:hAnsi="Times New Roman"/>
          <w:sz w:val="20"/>
          <w:u w:val="single"/>
        </w:rPr>
        <w:t>Section 2.04(j)</w:t>
      </w:r>
      <w:r>
        <w:rPr>
          <w:rFonts w:ascii="Times New Roman" w:hAnsi="Times New Roman"/>
          <w:sz w:val="20"/>
        </w:rPr>
        <w:t xml:space="preserve">) in an aggregate amount necessary to eliminate such excess or (ii) any Net Proceeds are received by or on behalf of Bidco or any of the Restricted Subsidiaries in respect of any Prepayment Event described in clause (b) of the definition thereof, Bidco or the Term Borrowers shall, on the date of such Prepayment Event, prepay Term Loans in an aggregate amount equal to 100% of such Net Proceeds; </w:t>
      </w:r>
      <w:r>
        <w:rPr>
          <w:rFonts w:ascii="Times New Roman" w:hAnsi="Times New Roman"/>
          <w:sz w:val="20"/>
          <w:u w:val="single"/>
        </w:rPr>
        <w:t>provided</w:t>
      </w:r>
      <w:r>
        <w:rPr>
          <w:rFonts w:ascii="Times New Roman" w:hAnsi="Times New Roman"/>
          <w:sz w:val="20"/>
        </w:rPr>
        <w:t xml:space="preserve"> that in the event that the Viasat Acquisition is consummated, if the prepayment arising from such Prepayment Event occurs after the Viasat Acquistion is consummated but prior to the date that is six (6) months following the consummation of the Viasat Acquisition and is in connection with a Repricing Transaction, Bidco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p>
    <w:p>
      <w:pPr>
        <w:pStyle w:val="TextBody"/>
        <w:bidi w:val="0"/>
        <w:spacing w:before="0" w:after="0"/>
        <w:jc w:val="left"/>
        <w:rPr>
          <w:rFonts w:ascii="Times New Roman" w:hAnsi="Times New Roman"/>
          <w:sz w:val="20"/>
        </w:rPr>
      </w:pPr>
      <w:r>
        <w:rPr>
          <w:rFonts w:ascii="Times New Roman" w:hAnsi="Times New Roman"/>
          <w:sz w:val="20"/>
        </w:rPr>
        <w:t xml:space="preserve">Term Borrowers shall pay to the Administrative Agent, for the ratable account of each of the applicable Term Lenders, a prepayment premium of 1.00% of the principal amount of the Amendment No. 1 Refinancing Term Loans being prepaid in connection with such Repricing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may use a portion of such Net Proceeds to prepay or repurchase any other Indebtedness that is secured by the Collateral on a pari passu basis with the Secured Obligations to the extent such other Indebtedness and the Liens securing the same are not prohibited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provisions of </w:t>
      </w:r>
      <w:r>
        <w:rPr>
          <w:rFonts w:ascii="Times New Roman" w:hAnsi="Times New Roman"/>
          <w:sz w:val="20"/>
          <w:u w:val="single"/>
        </w:rPr>
        <w:t>Section 6.04(b)</w:t>
      </w:r>
      <w:r>
        <w:rPr>
          <w:rFonts w:ascii="Times New Roman" w:hAnsi="Times New Roman"/>
          <w:sz w:val="20"/>
        </w:rPr>
        <w:t xml:space="preserve">, in the event and on each occasion that any Net Proceeds are received by or on behalf of Bidco or any of the Restricted Subsidiaries in respect of any Prepayment Event described in clause (a) of the definition thereof, Bidco or the Term Borrowers shall, within five (5) Business Days after such Net Proceeds are received, prepay Term Loans in an aggregate amount equal to 100% of such Net Proceeds; </w:t>
      </w:r>
      <w:r>
        <w:rPr>
          <w:rFonts w:ascii="Times New Roman" w:hAnsi="Times New Roman"/>
          <w:sz w:val="20"/>
          <w:u w:val="single"/>
        </w:rPr>
        <w:t>provided</w:t>
      </w:r>
      <w:r>
        <w:rPr>
          <w:rFonts w:ascii="Times New Roman" w:hAnsi="Times New Roman"/>
          <w:sz w:val="20"/>
        </w:rPr>
        <w:t xml:space="preserve"> that Bidco and the Borrowers may use a portion of such Net Proceeds to prepay or repurchase any other Indebtedness that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end of each fiscal year of Bidco, commencing with the fiscal year ending December 31, 2020, Bidco or the Borrowers shall prepay Term Loans in an aggregate amount equal to the excess of (x) the ECF Percentage of Excess Cash Flow for such fiscal year over (y) the greater of (i) $75,000,000 and (ii) 10% of Consolidated EBITDA for the most recently ended Test Period as of such date, calculated on a Pro Forma Basis; </w:t>
      </w:r>
      <w:r>
        <w:rPr>
          <w:rFonts w:ascii="Times New Roman" w:hAnsi="Times New Roman"/>
          <w:sz w:val="20"/>
          <w:u w:val="single"/>
        </w:rPr>
        <w:t>provided</w:t>
      </w:r>
      <w:r>
        <w:rPr>
          <w:rFonts w:ascii="Times New Roman" w:hAnsi="Times New Roman"/>
          <w:sz w:val="20"/>
        </w:rPr>
        <w:t xml:space="preserve"> that such amount shall, at the option of Bidco, be reduced on a dollar-for-dollar basis for such fiscal year by: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prepayments and repurchases of (A) Term Loans (and to the extent the Revolving Commitments are reduced in a corresponding amount pursuant to </w:t>
      </w:r>
      <w:r>
        <w:rPr>
          <w:rFonts w:ascii="Times New Roman" w:hAnsi="Times New Roman"/>
          <w:sz w:val="20"/>
          <w:u w:val="single"/>
        </w:rPr>
        <w:t>Section 2.07</w:t>
      </w:r>
      <w:r>
        <w:rPr>
          <w:rFonts w:ascii="Times New Roman" w:hAnsi="Times New Roman"/>
          <w:sz w:val="20"/>
        </w:rPr>
        <w:t xml:space="preserve">, Revolving Loans) made pursuant to </w:t>
      </w:r>
      <w:r>
        <w:rPr>
          <w:rFonts w:ascii="Times New Roman" w:hAnsi="Times New Roman"/>
          <w:sz w:val="20"/>
          <w:u w:val="single"/>
        </w:rPr>
        <w:t>Section 2.10(a)</w:t>
      </w:r>
      <w:r>
        <w:rPr>
          <w:rFonts w:ascii="Times New Roman" w:hAnsi="Times New Roman"/>
          <w:sz w:val="20"/>
        </w:rPr>
        <w:t xml:space="preserve"> (or otherwise in a manner not prohibited by </w:t>
      </w:r>
      <w:r>
        <w:rPr>
          <w:rFonts w:ascii="Times New Roman" w:hAnsi="Times New Roman"/>
          <w:sz w:val="20"/>
          <w:u w:val="single"/>
        </w:rPr>
        <w:t>Section 9.04(g)</w:t>
      </w:r>
      <w:r>
        <w:rPr>
          <w:rFonts w:ascii="Times New Roman" w:hAnsi="Times New Roman"/>
          <w:sz w:val="20"/>
        </w:rPr>
        <w:t xml:space="preserve">) and (B) other Consolidated Senior Secured First Lien Indebtedness, in each case during such fiscal year (without duplication of amounts deducted pursuant to this clause (i) in prior fiscal years), or after such fiscal year and on or prior to the 90th day after the end of such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such reduction as a result of prepayments pursuant to </w:t>
      </w:r>
      <w:r>
        <w:rPr>
          <w:rFonts w:ascii="Times New Roman" w:hAnsi="Times New Roman"/>
          <w:sz w:val="20"/>
          <w:u w:val="single"/>
        </w:rPr>
        <w:t>Section 2.10(a)(ii)</w:t>
      </w:r>
      <w:r>
        <w:rPr>
          <w:rFonts w:ascii="Times New Roman" w:hAnsi="Times New Roman"/>
          <w:sz w:val="20"/>
        </w:rPr>
        <w:t xml:space="preserve"> or </w:t>
      </w:r>
      <w:r>
        <w:rPr>
          <w:rFonts w:ascii="Times New Roman" w:hAnsi="Times New Roman"/>
          <w:sz w:val="20"/>
          <w:u w:val="single"/>
        </w:rPr>
        <w:t>Section 9.04(g)</w:t>
      </w:r>
      <w:r>
        <w:rPr>
          <w:rFonts w:ascii="Times New Roman" w:hAnsi="Times New Roman"/>
          <w:sz w:val="20"/>
        </w:rPr>
        <w:t xml:space="preserve"> shall be limited to the actual amount of such cash prepayment, (2) in the case of the prepayment of any revolving commitments, there is a corresponding reduction in commitments and (3) such reduction shall exclude all such prepayments funded with the proceeds of other long-term Indebtedness (other than the Revolving Loans); and </w:t>
      </w:r>
    </w:p>
    <w:p>
      <w:pPr>
        <w:pStyle w:val="TextBody"/>
        <w:bidi w:val="0"/>
        <w:spacing w:before="120" w:after="0"/>
        <w:jc w:val="left"/>
        <w:rPr>
          <w:rFonts w:ascii="Times New Roman" w:hAnsi="Times New Roman"/>
          <w:sz w:val="20"/>
        </w:rPr>
      </w:pPr>
      <w:r>
        <w:rPr>
          <w:rFonts w:ascii="Times New Roman" w:hAnsi="Times New Roman"/>
          <w:sz w:val="20"/>
        </w:rPr>
        <w:t xml:space="preserve">(ii)     in each case without duplication of any such reduction from the definition of “Excess Cash Flow” by such amounts, by the aggregate amount of clauses (b)(ii), (vi), (vii), (viii), (ix), (x), (xi), (xii), (xiii) and (xiv) of the definition of “Excess Cash Flow” for such fiscal year and on or prior to the 90th day after the end of such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reduction shall exclude all such payments funded with the proceeds of other long-term Indebtedness (other than the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the foregoing to the contrary, at Bidco’s option, (1) the Senior Secured First Lien Net Leverage Ratio in the definition of “ECF Percentage” shall be recalculated to give Pro Forma Effect to any amount referred to in proviso clauses (i) and (ii) above that is paid or otherwise realized or accounted for after the end of the applicable fiscal year but prior to the making of the Excess Cash Flow payment required for such fiscal year and (2) any payments and cash uses under clauses (i) and (ii) above that have not been applied to reduce the payments which may be due from time to time pursuant to this </w:t>
      </w:r>
      <w:r>
        <w:rPr>
          <w:rFonts w:ascii="Times New Roman" w:hAnsi="Times New Roman"/>
          <w:sz w:val="20"/>
          <w:u w:val="single"/>
        </w:rPr>
        <w:t>Section 2.10(d)</w:t>
      </w:r>
      <w:r>
        <w:rPr>
          <w:rFonts w:ascii="Times New Roman" w:hAnsi="Times New Roman"/>
          <w:sz w:val="20"/>
        </w:rPr>
        <w:t xml:space="preserve"> shall be carried over to subsequent periods, and may reduce the payments due from time to time pursuant to this </w:t>
      </w:r>
      <w:r>
        <w:rPr>
          <w:rFonts w:ascii="Times New Roman" w:hAnsi="Times New Roman"/>
          <w:sz w:val="20"/>
          <w:u w:val="single"/>
        </w:rPr>
        <w:t>Section 2.10(d)</w:t>
      </w:r>
      <w:r>
        <w:rPr>
          <w:rFonts w:ascii="Times New Roman" w:hAnsi="Times New Roman"/>
          <w:sz w:val="20"/>
        </w:rPr>
        <w:t xml:space="preserve"> during such subsequent periods (until such time as such payments and cash uses are so applied to reduce such payments which may be due from time to time). Each prepayment pursuant to this </w:t>
      </w:r>
      <w:r>
        <w:rPr>
          <w:rFonts w:ascii="Times New Roman" w:hAnsi="Times New Roman"/>
          <w:sz w:val="20"/>
          <w:u w:val="single"/>
        </w:rPr>
        <w:t>Section 2.10(d)</w:t>
      </w:r>
      <w:r>
        <w:rPr>
          <w:rFonts w:ascii="Times New Roman" w:hAnsi="Times New Roman"/>
          <w:sz w:val="20"/>
        </w:rPr>
        <w:t xml:space="preserve"> shall be made on or before the date that is ten (10) days after the date on which financial statements are required to be delivered pursuant to </w:t>
      </w:r>
      <w:r>
        <w:rPr>
          <w:rFonts w:ascii="Times New Roman" w:hAnsi="Times New Roman"/>
          <w:sz w:val="20"/>
          <w:u w:val="single"/>
        </w:rPr>
        <w:t>Section 5.01</w:t>
      </w:r>
      <w:r>
        <w:rPr>
          <w:rFonts w:ascii="Times New Roman" w:hAnsi="Times New Roman"/>
          <w:sz w:val="20"/>
        </w:rPr>
        <w:t xml:space="preserve"> with respect to the fiscal year for which Excess Cash Flow is being calculated. </w:t>
      </w:r>
    </w:p>
    <w:p>
      <w:pPr>
        <w:pStyle w:val="TextBody"/>
        <w:bidi w:val="0"/>
        <w:spacing w:before="240" w:after="0"/>
        <w:jc w:val="left"/>
        <w:rPr>
          <w:rFonts w:ascii="Times New Roman" w:hAnsi="Times New Roman"/>
          <w:sz w:val="20"/>
        </w:rPr>
      </w:pPr>
      <w:r>
        <w:rPr>
          <w:rFonts w:ascii="Times New Roman" w:hAnsi="Times New Roman"/>
          <w:sz w:val="20"/>
        </w:rPr>
        <w:t xml:space="preserve">(e)     Prior to any optional prepayment of Borrowings pursuant to </w:t>
      </w:r>
      <w:r>
        <w:rPr>
          <w:rFonts w:ascii="Times New Roman" w:hAnsi="Times New Roman"/>
          <w:sz w:val="20"/>
          <w:u w:val="single"/>
        </w:rPr>
        <w:t>Section 2.10(a)(i)</w:t>
      </w:r>
      <w:r>
        <w:rPr>
          <w:rFonts w:ascii="Times New Roman" w:hAnsi="Times New Roman"/>
          <w:sz w:val="20"/>
        </w:rPr>
        <w:t xml:space="preserve">, Bidco or the Borrowers shall select the Borrowing or Borrowings to be prepaid and shall specify such selection in the notice of such prepayment pursuant to paragraph (f) of this </w:t>
      </w:r>
      <w:r>
        <w:rPr>
          <w:rFonts w:ascii="Times New Roman" w:hAnsi="Times New Roman"/>
          <w:sz w:val="20"/>
          <w:u w:val="single"/>
        </w:rPr>
        <w:t>Section 2.10</w:t>
      </w:r>
      <w:r>
        <w:rPr>
          <w:rFonts w:ascii="Times New Roman" w:hAnsi="Times New Roman"/>
          <w:sz w:val="20"/>
        </w:rPr>
        <w:t xml:space="preserve">. In the event of any mandatory prepayment of Term Borrowings made at a time when Term Borrowings of more than one Class remain outstanding, Bidco or the Borrowers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Times New Roman" w:hAnsi="Times New Roman"/>
          <w:sz w:val="20"/>
          <w:u w:val="single"/>
        </w:rPr>
        <w:t>provided</w:t>
      </w:r>
      <w:r>
        <w:rPr>
          <w:rFonts w:ascii="Times New Roman" w:hAnsi="Times New Roman"/>
          <w:sz w:val="20"/>
        </w:rPr>
        <w:t xml:space="preserve"> that any Term Lender may elect, by notice to the Administrative Agent by facsimile at least two (2) Business Days (or in the case of prepayments of any Term Loans that are ABR Loans, one (1) Business Day) prior to the prepayment date, to decline all or any portion of any prepayment of its Term Loans of any such Class pursuant to this </w:t>
      </w:r>
      <w:r>
        <w:rPr>
          <w:rFonts w:ascii="Times New Roman" w:hAnsi="Times New Roman"/>
          <w:sz w:val="20"/>
          <w:u w:val="single"/>
        </w:rPr>
        <w:t>Section 2.10</w:t>
      </w:r>
      <w:r>
        <w:rPr>
          <w:rFonts w:ascii="Times New Roman" w:hAnsi="Times New Roman"/>
          <w:sz w:val="20"/>
        </w:rPr>
        <w:t xml:space="preserve"> (other than an optional prepayment pursuant to paragraph (a)(i) of this </w:t>
      </w:r>
      <w:r>
        <w:rPr>
          <w:rFonts w:ascii="Times New Roman" w:hAnsi="Times New Roman"/>
          <w:sz w:val="20"/>
          <w:u w:val="single"/>
        </w:rPr>
        <w:t>Section 2.10</w:t>
      </w:r>
      <w:r>
        <w:rPr>
          <w:rFonts w:ascii="Times New Roman" w:hAnsi="Times New Roman"/>
          <w:sz w:val="20"/>
        </w:rPr>
        <w:t xml:space="preserve"> or a mandatory prepayment as a result of the Prepayment Event set forth in clause (b) of the definition thereof, which may not be declined), in which case the aggregate amount of the prepayment that would have been applied to prepay Term Loans of any such Class but was so declined (and not used pursuant to the immediately following sentence) shall be retained by Bidco (such amounts, “</w:t>
      </w:r>
      <w:r>
        <w:rPr>
          <w:rFonts w:ascii="Times New Roman" w:hAnsi="Times New Roman"/>
          <w:sz w:val="20"/>
          <w:u w:val="single"/>
        </w:rPr>
        <w:t>Retained Declined Proceeds</w:t>
      </w:r>
      <w:r>
        <w:rPr>
          <w:rFonts w:ascii="Times New Roman" w:hAnsi="Times New Roman"/>
          <w:sz w:val="20"/>
        </w:rPr>
        <w:t xml:space="preserve">”). Optional prepayments of Term Borrowings shall be allocated among the Classes of Term Borrowings as directed by Bidco or the Borrowers. In the absence of a designation by Bidco or the Borrowers as described in the preceding provisions of this paragraph of the Type of Borrowing of any Class, the Administrative Agent shall make such designation in its reasonable discretion with a view, but no obligation, to minimize breakage costs owing under </w:t>
      </w:r>
      <w:r>
        <w:rPr>
          <w:rFonts w:ascii="Times New Roman" w:hAnsi="Times New Roman"/>
          <w:sz w:val="20"/>
          <w:u w:val="single"/>
        </w:rPr>
        <w:t>Section 2.15</w:t>
      </w:r>
      <w:r>
        <w:rPr>
          <w:rFonts w:ascii="Times New Roman" w:hAnsi="Times New Roman"/>
          <w:sz w:val="20"/>
        </w:rPr>
        <w:t xml:space="preserve"> and shall be applied in direct order of maturity; </w:t>
      </w:r>
      <w:r>
        <w:rPr>
          <w:rFonts w:ascii="Times New Roman" w:hAnsi="Times New Roman"/>
          <w:sz w:val="20"/>
          <w:u w:val="single"/>
        </w:rPr>
        <w:t>provided</w:t>
      </w:r>
      <w:r>
        <w:rPr>
          <w:rFonts w:ascii="Times New Roman" w:hAnsi="Times New Roman"/>
          <w:sz w:val="20"/>
        </w:rPr>
        <w:t xml:space="preserve"> that, in connection with any mandatory prepayments by Bidco or the Borrowers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such prepayments shall be applied on a pro rata basis to the then outstanding Term Loans being prepaid irrespective of whether such outstanding Term Loans are ABR Loans </w:t>
      </w:r>
      <w:r>
        <w:rPr>
          <w:rFonts w:ascii="Times New Roman" w:hAnsi="Times New Roman"/>
          <w:strike/>
          <w:color w:val="FF0000"/>
          <w:sz w:val="20"/>
        </w:rPr>
        <w:t>or</w:t>
      </w:r>
      <w:r>
        <w:rPr>
          <w:rFonts w:ascii="Times New Roman" w:hAnsi="Times New Roman"/>
          <w:color w:val="0000FF"/>
          <w:sz w:val="20"/>
          <w:u w:val="single"/>
          <w:bdr w:val="double" w:sz="2" w:space="1" w:color="000000"/>
        </w:rPr>
        <w:t>,</w:t>
      </w:r>
      <w:r>
        <w:rPr>
          <w:rFonts w:ascii="Times New Roman" w:hAnsi="Times New Roman"/>
          <w:sz w:val="20"/>
        </w:rPr>
        <w:t xml:space="preserve"> Eurodollar Loans</w:t>
      </w:r>
      <w:r>
        <w:rPr>
          <w:rFonts w:ascii="Times New Roman" w:hAnsi="Times New Roman"/>
          <w:color w:val="0000FF"/>
          <w:sz w:val="20"/>
          <w:u w:val="single"/>
          <w:bdr w:val="double" w:sz="2" w:space="1" w:color="000000"/>
        </w:rPr>
        <w:t>, Term Benchmark Loans or RFR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Bidco or the Borrowers shall notify the Administrative Agent (and, in the case of prepayment of a Swingline Loan, the Swingline Lender) of any prepayment hereunder by hand delivery, facsimile or other electronic transmission of a written Prepayment Notice signed by Bidco or a Borrower substantially in the form of </w:t>
      </w:r>
      <w:r>
        <w:rPr>
          <w:rFonts w:ascii="Times New Roman" w:hAnsi="Times New Roman"/>
          <w:sz w:val="20"/>
          <w:u w:val="single"/>
        </w:rPr>
        <w:t>Exhibit X</w:t>
      </w:r>
      <w:r>
        <w:rPr>
          <w:rFonts w:ascii="Times New Roman" w:hAnsi="Times New Roman"/>
          <w:sz w:val="20"/>
        </w:rPr>
        <w:t xml:space="preserve"> (i) in the case of prepayment of a Eurodollar </w:t>
      </w:r>
      <w:r>
        <w:rPr>
          <w:rFonts w:ascii="Times New Roman" w:hAnsi="Times New Roman"/>
          <w:color w:val="0000FF"/>
          <w:sz w:val="20"/>
          <w:u w:val="single"/>
          <w:bdr w:val="double" w:sz="2" w:space="1" w:color="000000"/>
        </w:rPr>
        <w:t>Borrowing, Term Benchmark Borrowing or RFR</w:t>
      </w:r>
      <w:r>
        <w:rPr>
          <w:rFonts w:ascii="Times New Roman" w:hAnsi="Times New Roman"/>
          <w:sz w:val="20"/>
        </w:rPr>
        <w:t xml:space="preserve"> Borrowing, not later than 11:00 a.m., New York City time, three (3) Business Days before the date of prepayment (or, in the sole discretion of the Administrative Agent, one (1) Business Day) or (ii) in the case of prepayment of an ABR Borrowing, not later than 11:00 a.m., New York City time, one (1) Business Day before the date of prepayment. Each such notice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p>
    <w:p>
      <w:pPr>
        <w:pStyle w:val="TextBody"/>
        <w:bidi w:val="0"/>
        <w:spacing w:before="0" w:after="0"/>
        <w:jc w:val="left"/>
        <w:rPr>
          <w:rFonts w:ascii="Times New Roman" w:hAnsi="Times New Roman"/>
          <w:sz w:val="20"/>
        </w:rPr>
      </w:pPr>
      <w:r>
        <w:rPr>
          <w:rFonts w:ascii="Times New Roman" w:hAnsi="Times New Roman"/>
          <w:sz w:val="20"/>
        </w:rPr>
        <w:t xml:space="preserve">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hAnsi="Times New Roman"/>
          <w:sz w:val="20"/>
          <w:u w:val="single"/>
        </w:rPr>
        <w:t>provided</w:t>
      </w:r>
      <w:r>
        <w:rPr>
          <w:rFonts w:ascii="Times New Roman" w:hAnsi="Times New Roman"/>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extended by Bidco or the Borrowers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hAnsi="Times New Roman"/>
          <w:sz w:val="20"/>
          <w:u w:val="single"/>
        </w:rPr>
        <w:t>Section 2.02</w:t>
      </w:r>
      <w:r>
        <w:rPr>
          <w:rFonts w:ascii="Times New Roman" w:hAnsi="Times New Roman"/>
          <w:sz w:val="2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 w:hAnsi="Times New Roman"/>
          <w:sz w:val="20"/>
          <w:u w:val="single"/>
        </w:rPr>
        <w:t>Section 2.12</w:t>
      </w:r>
      <w:r>
        <w:rPr>
          <w:rFonts w:ascii="Times New Roman" w:hAnsi="Times New Roman"/>
          <w:sz w:val="20"/>
        </w:rPr>
        <w:t xml:space="preserve">, and subject to </w:t>
      </w:r>
      <w:r>
        <w:rPr>
          <w:rFonts w:ascii="Times New Roman" w:hAnsi="Times New Roman"/>
          <w:sz w:val="20"/>
          <w:u w:val="single"/>
        </w:rPr>
        <w:t>Section 2.10(a)(i)</w:t>
      </w:r>
      <w:r>
        <w:rPr>
          <w:rFonts w:ascii="Times New Roman" w:hAnsi="Times New Roman"/>
          <w:sz w:val="20"/>
        </w:rPr>
        <w:t xml:space="preserve">, shall be without premium or penalty. At Bidco’s or the Borrowers’ election in connection with any prepayment pursuant to this </w:t>
      </w:r>
      <w:r>
        <w:rPr>
          <w:rFonts w:ascii="Times New Roman" w:hAnsi="Times New Roman"/>
          <w:sz w:val="20"/>
          <w:u w:val="single"/>
        </w:rPr>
        <w:t>Section 2.10</w:t>
      </w:r>
      <w:r>
        <w:rPr>
          <w:rFonts w:ascii="Times New Roman" w:hAnsi="Times New Roman"/>
          <w:sz w:val="20"/>
        </w:rPr>
        <w:t xml:space="preserve">, such prepayment shall not be applied to any Term Loan or Revolving Loan of a Defaulting Lender (under any of subclauses (a), (b) or (c) of the definition of “Defaulting Lender”) and shall be allocated ratably among the relevant non-Defaulting Lenders.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 other provisions of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to the extent that any of or all the Net Proceeds of any Prepayment Event by or Excess Cash Flow of a Foreign Subsidiary of Bidco giving rise to a prepayment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 “</w:t>
      </w:r>
      <w:r>
        <w:rPr>
          <w:rFonts w:ascii="Times New Roman" w:hAnsi="Times New Roman"/>
          <w:sz w:val="20"/>
          <w:u w:val="single"/>
        </w:rPr>
        <w:t>Foreign</w:t>
      </w:r>
      <w:r>
        <w:rPr>
          <w:rFonts w:ascii="Times New Roman" w:hAnsi="Times New Roman"/>
          <w:sz w:val="20"/>
        </w:rPr>
        <w:t xml:space="preserve"> </w:t>
      </w:r>
      <w:r>
        <w:rPr>
          <w:rFonts w:ascii="Times New Roman" w:hAnsi="Times New Roman"/>
          <w:sz w:val="20"/>
          <w:u w:val="single"/>
        </w:rPr>
        <w:t>Prepayment Event</w:t>
      </w:r>
      <w:r>
        <w:rPr>
          <w:rFonts w:ascii="Times New Roman" w:hAnsi="Times New Roman"/>
          <w:sz w:val="20"/>
        </w:rPr>
        <w:t xml:space="preserve">”) are prohibited or delayed by applicable local law from being repatriated to Bidco, the portion of such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as the case may be, and such amounts may be retained by such Subsidiary, and once Bidco has determined in good faith that such repatriation of any of such affected Net Proceeds or Excess Cash Flow is permitted under the applicable local law, then the amount of such Net Proceeds or Excess Cash Flow will be taken into account as soon as practicable in determining the amount to be applied (net of additional taxes payable or reserved if such amounts were repatriated) to the repayment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as applicable, (B) to the extent that and for so long as Bidco has determined in good faith that repatriation of any of or all the Net Proceeds of any Foreign Prepayment Event or Excess Cash Flow would have a material adverse tax or cost consequence with respect to such Net Proceeds or Excess Cash Flow, the amount of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the case may be, and such amounts may be retained by such Subsidiary; </w:t>
      </w:r>
      <w:r>
        <w:rPr>
          <w:rFonts w:ascii="Times New Roman" w:hAnsi="Times New Roman"/>
          <w:sz w:val="20"/>
          <w:u w:val="single"/>
        </w:rPr>
        <w:t>provided</w:t>
      </w:r>
      <w:r>
        <w:rPr>
          <w:rFonts w:ascii="Times New Roman" w:hAnsi="Times New Roman"/>
          <w:sz w:val="20"/>
        </w:rPr>
        <w:t xml:space="preserve"> that when Bidco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taken into account as soon as practicable in determining the amount to be applied (net of additional taxes payable or reserved against if such amounts were repatriated) to the repayment of the Term Loans pursuant to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applicable, and (C) to the extent that and for so long as Bidco has determined in good faith that repatriation of any of or all the Net Proceeds of any Foreign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w:t>
      </w:r>
      <w:r>
        <w:rPr>
          <w:rFonts w:ascii="Times New Roman" w:hAnsi="Times New Roman"/>
          <w:sz w:val="20"/>
          <w:u w:val="single"/>
        </w:rPr>
        <w:t>Section 2.10(c)</w:t>
      </w:r>
      <w:r>
        <w:rPr>
          <w:rFonts w:ascii="Times New Roman" w:hAnsi="Times New Roman"/>
          <w:sz w:val="20"/>
        </w:rPr>
        <w:t xml:space="preserve"> or </w:t>
      </w:r>
      <w:r>
        <w:rPr>
          <w:rFonts w:ascii="Times New Roman" w:hAnsi="Times New Roman"/>
          <w:sz w:val="20"/>
          <w:u w:val="single"/>
        </w:rPr>
        <w:t>Section 2.10(d)</w:t>
      </w:r>
      <w:r>
        <w:rPr>
          <w:rFonts w:ascii="Times New Roman" w:hAnsi="Times New Roman"/>
          <w:sz w:val="20"/>
        </w:rPr>
        <w:t xml:space="preserve">, as the case may be, and such amounts may be retained by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p>
    <w:p>
      <w:pPr>
        <w:pStyle w:val="TextBody"/>
        <w:bidi w:val="0"/>
        <w:spacing w:before="0" w:after="0"/>
        <w:jc w:val="left"/>
        <w:rPr>
          <w:rFonts w:ascii="Times New Roman" w:hAnsi="Times New Roman"/>
          <w:sz w:val="20"/>
        </w:rPr>
      </w:pPr>
      <w:r>
        <w:rPr>
          <w:rFonts w:ascii="Times New Roman" w:hAnsi="Times New Roman"/>
          <w:sz w:val="20"/>
        </w:rPr>
        <w:t>SECTION 2.11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agree to pay to the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agree to pay (i) 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Eurodollar </w:t>
      </w:r>
      <w:r>
        <w:rPr>
          <w:rFonts w:ascii="Times New Roman" w:hAnsi="Times New Roman"/>
          <w:color w:val="0000FF"/>
          <w:sz w:val="20"/>
          <w:u w:val="single"/>
          <w:bdr w:val="double" w:sz="2" w:space="1" w:color="000000"/>
        </w:rPr>
        <w:t xml:space="preserve">Loans, Term Benchmark </w:t>
      </w:r>
      <w:r>
        <w:rPr>
          <w:rFonts w:ascii="Times New Roman" w:hAnsi="Times New Roman"/>
          <w:sz w:val="20"/>
        </w:rPr>
        <w:t xml:space="preserve">Revolving Loans </w:t>
      </w:r>
      <w:r>
        <w:rPr>
          <w:rFonts w:ascii="Times New Roman" w:hAnsi="Times New Roman"/>
          <w:color w:val="0000FF"/>
          <w:sz w:val="20"/>
          <w:u w:val="single"/>
          <w:bdr w:val="double" w:sz="2" w:space="1" w:color="000000"/>
        </w:rPr>
        <w:t>or RFR Loans (as applicable)</w:t>
      </w:r>
      <w:r>
        <w:rPr>
          <w:rFonts w:ascii="Times New Roman" w:hAnsi="Times New Roman"/>
          <w:sz w:val="20"/>
        </w:rPr>
        <w:t xml:space="preserve">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shall accrue at (x) a rate equal to 0.125% per annum or (y) a lesser rate per annum agreed to by any Issuing Bank (with respect to any Letter of Credit issued by such Issuing Bank), in each case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(c)     The Borrowers agree to pay to the Administrative Agent, for its own account, fees payable in the amounts and at the times separately agreed upon between the Borrowers and the Administrative Agent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Borrowers agree to pay to the Administrative Agent in dollars for the account of each Term Lender a ticking fee, which shall accrue at the rate of the Ticking Fee Percentage per annum, on an amount equal to the amount of the Initial Term Commitment of such Term Lender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p>
    <w:p>
      <w:pPr>
        <w:pStyle w:val="TextBody"/>
        <w:bidi w:val="0"/>
        <w:spacing w:before="0" w:after="0"/>
        <w:jc w:val="left"/>
        <w:rPr>
          <w:rFonts w:ascii="Times New Roman" w:hAnsi="Times New Roman"/>
          <w:sz w:val="20"/>
        </w:rPr>
      </w:pPr>
      <w:r>
        <w:rPr>
          <w:rFonts w:ascii="Times New Roman" w:hAnsi="Times New Roman"/>
          <w:sz w:val="20"/>
        </w:rPr>
        <w:t xml:space="preserve">the Effective Date, during the period from and including the Allocation Date to but excluding the Effective Date. Accrued ticking fees shall be payable on the Effective Date. All ticking fees shall be computed on the basis of a year of 360 days and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and subject to </w:t>
      </w:r>
      <w:r>
        <w:rPr>
          <w:rFonts w:ascii="Times New Roman" w:hAnsi="Times New Roman"/>
          <w:sz w:val="20"/>
          <w:u w:val="single"/>
        </w:rPr>
        <w:t>Section 2.21</w:t>
      </w:r>
      <w:r>
        <w:rPr>
          <w:rFonts w:ascii="Times New Roman" w:hAnsi="Times New Roman"/>
          <w:sz w:val="20"/>
        </w:rPr>
        <w:t xml:space="preserve">, the Borrowers shall not be obligated to pay any amounts to any Defaulting Lender pursuant to this </w:t>
      </w:r>
      <w:r>
        <w:rPr>
          <w:rFonts w:ascii="Times New Roman" w:hAnsi="Times New Roman"/>
          <w:sz w:val="20"/>
          <w:u w:val="single"/>
        </w:rPr>
        <w:t>Section 2.11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2.12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comprising each ABR Borrowing (including each Swingline Loan) shall bear interest at the Alternate Base Rate plus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Eurodollar Borrowing </w:t>
      </w:r>
      <w:r>
        <w:rPr>
          <w:rFonts w:ascii="Times New Roman" w:hAnsi="Times New Roman"/>
          <w:color w:val="0000FF"/>
          <w:sz w:val="20"/>
          <w:u w:val="single"/>
          <w:bdr w:val="double" w:sz="2" w:space="1" w:color="000000"/>
        </w:rPr>
        <w:t xml:space="preserve">or Term Benchmark Borrowing </w:t>
      </w:r>
      <w:r>
        <w:rPr>
          <w:rFonts w:ascii="Times New Roman" w:hAnsi="Times New Roman"/>
          <w:sz w:val="20"/>
        </w:rPr>
        <w:t xml:space="preserve">shall bear interest at the Adjusted LIBO Rate </w:t>
      </w:r>
      <w:r>
        <w:rPr>
          <w:rFonts w:ascii="Times New Roman" w:hAnsi="Times New Roman"/>
          <w:color w:val="0000FF"/>
          <w:sz w:val="20"/>
          <w:u w:val="single"/>
          <w:bdr w:val="double" w:sz="2" w:space="1" w:color="000000"/>
        </w:rPr>
        <w:t xml:space="preserve">or the applicable Term Benchmark, as applicable, </w:t>
      </w:r>
      <w:r>
        <w:rPr>
          <w:rFonts w:ascii="Times New Roman" w:hAnsi="Times New Roman"/>
          <w:sz w:val="20"/>
        </w:rPr>
        <w:t xml:space="preserve">for the Interest Period in effect for such Borrowing plus the Applicable Rate.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w:t>
      </w:r>
      <w:r>
        <w:rPr>
          <w:rFonts w:ascii="Times New Roman" w:hAnsi="Times New Roman"/>
          <w:color w:val="0000FF"/>
          <w:sz w:val="20"/>
          <w:u w:val="single"/>
          <w:bdr w:val="double" w:sz="2" w:space="1" w:color="000000"/>
        </w:rPr>
        <w:t>The Loans comprising each RFR Borrowing shall bear interest at the Daily Simple RFR plus the Applicable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strike/>
          <w:color w:val="FF0000"/>
          <w:sz w:val="20"/>
        </w:rPr>
        <w:t xml:space="preserve">(c) </w:t>
      </w:r>
      <w:r>
        <w:rPr>
          <w:rFonts w:ascii="Times New Roman" w:hAnsi="Times New Roman"/>
          <w:sz w:val="20"/>
        </w:rPr>
        <w:t>Notwithstanding the foregoing, if upon the occurrence and during the continuance of any Specified Event of Default any principal of or interest on any Loan or any fee or other amount payable by the Borrowers hereunder is not paid when due</w:t>
      </w:r>
      <w:r>
        <w:rPr>
          <w:rFonts w:ascii="Times New Roman" w:hAnsi="Times New Roman"/>
          <w:color w:val="0000FF"/>
          <w:sz w:val="20"/>
          <w:u w:val="single"/>
          <w:bdr w:val="double" w:sz="2" w:space="1" w:color="000000"/>
        </w:rPr>
        <w:t xml:space="preserve"> (or, in the case of any RFR Interest</w:t>
      </w:r>
      <w:r>
        <w:rPr>
          <w:rFonts w:ascii="Times New Roman" w:hAnsi="Times New Roman"/>
          <w:sz w:val="20"/>
        </w:rPr>
        <w:t xml:space="preserve"> </w:t>
      </w:r>
      <w:r>
        <w:rPr>
          <w:rFonts w:ascii="Times New Roman" w:hAnsi="Times New Roman"/>
          <w:color w:val="0000FF"/>
          <w:sz w:val="20"/>
          <w:u w:val="single"/>
          <w:bdr w:val="double" w:sz="2" w:space="1" w:color="000000"/>
        </w:rPr>
        <w:t>Payment the later of (i) the date when the same was due and (ii) the date falling three RFR Business Days after the date on which the Administrative Agent notified the relevant Borrower of the amount of that RFR Interest Payment in accordance with this Agreement)</w:t>
      </w:r>
      <w:r>
        <w:rPr>
          <w:rFonts w:ascii="Times New Roman" w:hAnsi="Times New Roman"/>
          <w:sz w:val="20"/>
        </w:rPr>
        <w:t xml:space="preserv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Times New Roman" w:hAnsi="Times New Roman"/>
          <w:sz w:val="20"/>
          <w:u w:val="single"/>
        </w:rPr>
        <w:t>Section 2.12</w:t>
      </w:r>
      <w:r>
        <w:rPr>
          <w:rFonts w:ascii="Times New Roman" w:hAnsi="Times New Roman"/>
          <w:sz w:val="20"/>
        </w:rPr>
        <w:t xml:space="preserve"> or (ii) in the case of any other amount, 2.00% per annum plus the rate applicable to ABR Revolving Loans as provided in paragraph (a) of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amount shall be payable pursuant to this </w:t>
      </w:r>
      <w:r>
        <w:rPr>
          <w:rFonts w:ascii="Times New Roman" w:hAnsi="Times New Roman"/>
          <w:strike/>
          <w:color w:val="FF0000"/>
          <w:sz w:val="20"/>
        </w:rPr>
        <w:t>Section 2.12(c)</w:t>
      </w:r>
      <w:r>
        <w:rPr>
          <w:rFonts w:ascii="Times New Roman" w:hAnsi="Times New Roman"/>
          <w:color w:val="0000FF"/>
          <w:sz w:val="20"/>
          <w:u w:val="single"/>
          <w:bdr w:val="double" w:sz="2" w:space="1" w:color="000000"/>
        </w:rPr>
        <w:t>Section 2.12(d)</w:t>
      </w:r>
      <w:r>
        <w:rPr>
          <w:rFonts w:ascii="Times New Roman" w:hAnsi="Times New Roman"/>
          <w:sz w:val="20"/>
        </w:rPr>
        <w:t xml:space="preserve"> to a Defaulting Lender so long as such Lender shall be a Defaulting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amounts shall accrue pursuant to this </w:t>
      </w:r>
      <w:r>
        <w:rPr>
          <w:rFonts w:ascii="Times New Roman" w:hAnsi="Times New Roman"/>
          <w:strike/>
          <w:color w:val="FF0000"/>
          <w:sz w:val="20"/>
        </w:rPr>
        <w:t>Section 2.12(c)</w:t>
      </w:r>
      <w:r>
        <w:rPr>
          <w:rFonts w:ascii="Times New Roman" w:hAnsi="Times New Roman"/>
          <w:color w:val="0000FF"/>
          <w:sz w:val="20"/>
          <w:u w:val="single"/>
          <w:bdr w:val="double" w:sz="2" w:space="1" w:color="000000"/>
        </w:rPr>
        <w:t>Section 2.12(d)</w:t>
      </w:r>
      <w:r>
        <w:rPr>
          <w:rFonts w:ascii="Times New Roman" w:hAnsi="Times New Roman"/>
          <w:sz w:val="20"/>
        </w:rPr>
        <w:t xml:space="preserve"> on any overdue amount, reimbursement obligation in respect of any LC Disbursement or other amount payable to a Defaulting Lender so long as such Lender shall be a Defaulting Lender.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trike/>
          <w:color w:val="FF0000"/>
          <w:sz w:val="20"/>
        </w:rPr>
        <w:t xml:space="preserve">(d) </w:t>
      </w:r>
      <w:r>
        <w:rPr>
          <w:rFonts w:ascii="Times New Roman" w:hAnsi="Times New Roman"/>
          <w:sz w:val="20"/>
        </w:rPr>
        <w:t xml:space="preserve">Accrued interest on each Loan shall be payable in arrears on each Interest Payment Date for such Loan, </w:t>
      </w:r>
      <w:r>
        <w:rPr>
          <w:rFonts w:ascii="Times New Roman" w:hAnsi="Times New Roman"/>
          <w:sz w:val="20"/>
          <w:u w:val="single"/>
        </w:rPr>
        <w:t>provided</w:t>
      </w:r>
      <w:r>
        <w:rPr>
          <w:rFonts w:ascii="Times New Roman" w:hAnsi="Times New Roman"/>
          <w:sz w:val="20"/>
        </w:rPr>
        <w:t xml:space="preserve"> that (i) interest accrued pursuant to paragraph (c) of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2.12</w:t>
      </w:r>
      <w:r>
        <w:rPr>
          <w:rFonts w:ascii="Times New Roman" w:hAnsi="Times New Roman"/>
          <w:sz w:val="20"/>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(iii) in the event of any conversion of any Eurodollar Loan </w:t>
      </w:r>
      <w:r>
        <w:rPr>
          <w:rFonts w:ascii="Times New Roman" w:hAnsi="Times New Roman"/>
          <w:color w:val="0000FF"/>
          <w:sz w:val="20"/>
          <w:u w:val="single"/>
          <w:bdr w:val="double" w:sz="2" w:space="1" w:color="000000"/>
        </w:rPr>
        <w:t>or Term Benchmark Loan</w:t>
      </w:r>
      <w:r>
        <w:rPr>
          <w:rFonts w:ascii="Times New Roman" w:hAnsi="Times New Roman"/>
          <w:sz w:val="20"/>
        </w:rPr>
        <w:t xml:space="preserve"> prior to the end of the current Interest Period therefor, accrued interest on such Loan shall be payable on the effective date of such conversion and (iv) upon the termination of the Revolving Commitments, accrued interest on the Revolving Loans shall be payable.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w:t>
      </w:r>
      <w:r>
        <w:rPr>
          <w:rFonts w:ascii="Times New Roman" w:hAnsi="Times New Roman"/>
          <w:sz w:val="20"/>
        </w:rPr>
        <w:t xml:space="preserve">     </w:t>
      </w:r>
      <w:r>
        <w:rPr>
          <w:rFonts w:ascii="Times New Roman" w:hAnsi="Times New Roman"/>
          <w:strike/>
          <w:color w:val="FF0000"/>
          <w:sz w:val="20"/>
        </w:rPr>
        <w:t xml:space="preserve">(e) </w:t>
      </w:r>
      <w:r>
        <w:rPr>
          <w:rFonts w:ascii="Times New Roman" w:hAnsi="Times New Roman"/>
          <w:sz w:val="20"/>
        </w:rPr>
        <w:t>All interest hereunder shall be computed on the basis of a year of 360 days, except that interest computed by reference to the Alternate Base Rate</w:t>
      </w:r>
      <w:r>
        <w:rPr>
          <w:rFonts w:ascii="Times New Roman" w:hAnsi="Times New Roman"/>
          <w:color w:val="0000FF"/>
          <w:sz w:val="20"/>
          <w:u w:val="single"/>
          <w:bdr w:val="double" w:sz="2" w:space="1" w:color="000000"/>
        </w:rPr>
        <w:t>, Daily Simple RFR or Daily Simple SOFR</w:t>
      </w:r>
      <w:r>
        <w:rPr>
          <w:rFonts w:ascii="Times New Roman" w:hAnsi="Times New Roman"/>
          <w:sz w:val="20"/>
        </w:rPr>
        <w:t xml:space="preserve"> shall be computed on the basis of a year of 365 days (or 366 days in a leap year), and in each case shall be payable for the actual number of days elapsed (including the first day but excluding the last day). The applicable Alternate Base Rate </w:t>
      </w:r>
      <w:r>
        <w:rPr>
          <w:rFonts w:ascii="Times New Roman" w:hAnsi="Times New Roman"/>
          <w:strike/>
          <w:color w:val="FF0000"/>
          <w:sz w:val="20"/>
        </w:rPr>
        <w:t>or</w:t>
      </w:r>
      <w:r>
        <w:rPr>
          <w:rFonts w:ascii="Times New Roman" w:hAnsi="Times New Roman"/>
          <w:color w:val="0000FF"/>
          <w:sz w:val="20"/>
          <w:u w:val="single"/>
          <w:bdr w:val="double" w:sz="2" w:space="1" w:color="000000"/>
        </w:rPr>
        <w:t>,</w:t>
      </w:r>
      <w:r>
        <w:rPr>
          <w:rFonts w:ascii="Times New Roman" w:hAnsi="Times New Roman"/>
          <w:sz w:val="20"/>
        </w:rPr>
        <w:t xml:space="preserve"> Adjusted LIBO Rate</w:t>
      </w:r>
      <w:r>
        <w:rPr>
          <w:rFonts w:ascii="Times New Roman" w:hAnsi="Times New Roman"/>
          <w:color w:val="0000FF"/>
          <w:sz w:val="20"/>
          <w:u w:val="single"/>
          <w:bdr w:val="double" w:sz="2" w:space="1" w:color="000000"/>
        </w:rPr>
        <w:t>, Term SOFR, Daily Simple SOFR or Daily Simple RFR</w:t>
      </w:r>
      <w:r>
        <w:rPr>
          <w:rFonts w:ascii="Times New Roman" w:hAnsi="Times New Roman"/>
          <w:sz w:val="20"/>
        </w:rPr>
        <w:t xml:space="preserve"> shall be determined by the Administrative Agent, and such determination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(g)</w:t>
      </w:r>
      <w:r>
        <w:rPr>
          <w:rFonts w:ascii="Times New Roman" w:hAnsi="Times New Roman"/>
          <w:sz w:val="20"/>
        </w:rPr>
        <w:t xml:space="preserve">     </w:t>
      </w:r>
      <w:r>
        <w:rPr>
          <w:rFonts w:ascii="Times New Roman" w:hAnsi="Times New Roman"/>
          <w:color w:val="0000FF"/>
          <w:sz w:val="20"/>
          <w:u w:val="single"/>
          <w:bdr w:val="double" w:sz="2" w:space="1" w:color="000000"/>
        </w:rPr>
        <w:t>The Administrative Agent shall promptly upon the amount of any RFR Interest Payment becoming determinable notify: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(such notification to be made no later than three applicable RFR Business Days prior to the due date for such RFR Interest Payment) the relevant Borrower of the amount of that RFR Interest Payment;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each relevant Lender of the proportion of that RFR Interest Payment which relates to that Lender’s participation in the relevant RFR Loan;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relevant Lenders and the relevant Borrower of each applicable rate of interest and the amount of interest for each day relating to the determination of that RFR Interest Payment (including a breakdown of such rate and amount of interest as between the Applicable Rate and the Daily Simple RFR for such date and any other information that the relevant Borrower may reasonably request in relation to the calculation of such rate and amount or the determination of that RFR Interest Payment).</w:t>
            </w:r>
            <w:r>
              <w:rPr>
                <w:rFonts w:ascii="Times New Roman" w:hAnsi="Times New Roman"/>
                <w:sz w:val="20"/>
              </w:rPr>
              <w:t xml:space="preserve"> </w:t>
            </w:r>
          </w:p>
        </w:tc>
      </w:tr>
    </w:tbl>
    <w:p>
      <w:pPr>
        <w:pStyle w:val="TextBody"/>
        <w:bidi w:val="0"/>
        <w:spacing w:before="360" w:after="0"/>
        <w:jc w:val="left"/>
        <w:rPr>
          <w:rFonts w:ascii="Times New Roman" w:hAnsi="Times New Roman"/>
          <w:sz w:val="20"/>
        </w:rPr>
      </w:pPr>
      <w:r>
        <w:rPr>
          <w:rFonts w:ascii="Times New Roman" w:hAnsi="Times New Roman"/>
          <w:sz w:val="20"/>
        </w:rPr>
        <w:t>SECTION 2.13    </w:t>
      </w:r>
      <w:r>
        <w:rPr>
          <w:rFonts w:ascii="Times New Roman" w:hAnsi="Times New Roman"/>
          <w:sz w:val="20"/>
          <w:u w:val="single"/>
        </w:rPr>
        <w:t>Alternate Rate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at least two (2) Business Days prior to the commencement of any Interest Period for a Eurodollar Borrowing: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that adequate and reasonable means do not exist for ascertaining the Adjusted LIBO Rate for such Interest Period; or </w:t>
      </w:r>
    </w:p>
    <w:p>
      <w:pPr>
        <w:pStyle w:val="TextBody"/>
        <w:bidi w:val="0"/>
        <w:spacing w:before="120" w:after="0"/>
        <w:jc w:val="left"/>
        <w:rPr>
          <w:rFonts w:ascii="Times New Roman" w:hAnsi="Times New Roman"/>
          <w:sz w:val="20"/>
        </w:rPr>
      </w:pPr>
      <w:r>
        <w:rPr>
          <w:rFonts w:ascii="Times New Roman" w:hAnsi="Times New Roman"/>
          <w:sz w:val="20"/>
        </w:rPr>
        <w:t>(ii)    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clause (ii) or clause (i) above, “</w:t>
      </w:r>
      <w:r>
        <w:rPr>
          <w:rFonts w:ascii="Times New Roman" w:hAnsi="Times New Roman"/>
          <w:sz w:val="20"/>
          <w:u w:val="single"/>
        </w:rPr>
        <w:t>Impacted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the circumstances giving rise to such notice no longer exist, (x) any Interest Election Request that requests the conversion of any Borrowing to, or continuation of any Borrowing as, a Eurodollar Borrowing shall be ineffective and (y) if any Borrowing Request requests a Eurodollar Borrowing, then such Borrowing shall be made as an ABR Borrowing;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the Borrowers may revoke any Borrowing Request that is pending when such notice is received.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if the Administrative Agent has made such determination described in clause (a)(i) of this </w:t>
      </w:r>
      <w:r>
        <w:rPr>
          <w:rFonts w:ascii="Times New Roman" w:hAnsi="Times New Roman"/>
          <w:sz w:val="20"/>
          <w:u w:val="single"/>
        </w:rPr>
        <w:t>Section 2.13</w:t>
      </w:r>
      <w:r>
        <w:rPr>
          <w:rFonts w:ascii="Times New Roman" w:hAnsi="Times New Roman"/>
          <w:sz w:val="20"/>
        </w:rPr>
        <w:t xml:space="preserve"> or is advised by the Required Lenders of their determination described in clause (a)(ii) of this </w:t>
      </w:r>
      <w:r>
        <w:rPr>
          <w:rFonts w:ascii="Times New Roman" w:hAnsi="Times New Roman"/>
          <w:sz w:val="20"/>
          <w:u w:val="single"/>
        </w:rPr>
        <w:t>Section 2.13</w:t>
      </w:r>
      <w:r>
        <w:rPr>
          <w:rFonts w:ascii="Times New Roman" w:hAnsi="Times New Roman"/>
          <w:sz w:val="20"/>
        </w:rPr>
        <w:t xml:space="preserve">, and in each case such circumstances are unlikely to be temporary, and the Borrowers shall so request, the Administrative Agent, the Required Lenders and the Borrowers shall negotiate in good faith to amend the definition of “LIBO Rate” and other applicable provisions to preserve the original intent thereof in light of such change; </w:t>
      </w:r>
      <w:r>
        <w:rPr>
          <w:rFonts w:ascii="Times New Roman" w:hAnsi="Times New Roman"/>
          <w:sz w:val="20"/>
          <w:u w:val="single"/>
        </w:rPr>
        <w:t>provided</w:t>
      </w:r>
      <w:r>
        <w:rPr>
          <w:rFonts w:ascii="Times New Roman" w:hAnsi="Times New Roman"/>
          <w:sz w:val="20"/>
        </w:rPr>
        <w:t xml:space="preserve"> that, until so amended, such Impacted Loans will be handled as otherwise provided pursuant to the terms of </w:t>
      </w:r>
      <w:r>
        <w:rPr>
          <w:rFonts w:ascii="Times New Roman" w:hAnsi="Times New Roman"/>
          <w:sz w:val="20"/>
          <w:u w:val="single"/>
        </w:rPr>
        <w:t>Section 2.13(a)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color w:val="0000FF"/>
          <w:sz w:val="20"/>
          <w:u w:val="single"/>
          <w:bdr w:val="double" w:sz="2" w:space="1" w:color="000000"/>
        </w:rPr>
        <w:t>If by 5:00 pm (London time) on the second (2nd) Business Day immediately following any day “i”, the RFR in respect of such day “i” has not been published on the SONIA Administrator’s Website, then the RFR for such day “i” will be the RFR as published in respect of the first preceding Business Day for which such RFR was published on the SONIA Administrator’s Website (provided that any RFR determined pursuant to this clause (c) shall be utilized for purposes of calculation of Daily Simple RFR for no more than three (3) consecutive RFR Interest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color w:val="0000FF"/>
          <w:sz w:val="20"/>
          <w:u w:val="single"/>
          <w:bdr w:val="double" w:sz="2" w:space="1" w:color="000000"/>
        </w:rPr>
        <w:t>If the RFR has been determined pursuant to clause (c) of Section 2.13 for three (3) consecutive RFR Interest Days and SONIA remains unavailable for the relevant RFR Lookback Day, the RFR shall be (y) the percentage rate per annum which is the aggregate of (I) the Central Bank Rate for that RFR Lookback Day and (II) the applicable Central Bank Rate Adjustment, or (z) if paragraph (y) applies but the Central Bank Rate for that RFR Lookback Day is not available, the percentage rate per annum which is the aggregate of (I) the most recent Central Bank Rate for a day which is no more than five RFR Business Days before that RFR Lookback Day and (II) the applicable Central Bank Rate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color w:val="0000FF"/>
          <w:sz w:val="20"/>
          <w:u w:val="single"/>
          <w:bdr w:val="double" w:sz="2" w:space="1" w:color="000000"/>
        </w:rPr>
        <w:t xml:space="preserve">Subject to clauses (f), (g), (h), (i), (j) and (k) of this Section 2.13, if at least two (2) Business Days prior to the commencement of any Interest Period for a Term Benchmark Borrowing: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(i)</w:t>
      </w:r>
      <w:r>
        <w:rPr>
          <w:rFonts w:ascii="Times New Roman" w:hAnsi="Times New Roman"/>
          <w:sz w:val="20"/>
        </w:rPr>
        <w:t xml:space="preserve">     </w:t>
      </w:r>
      <w:r>
        <w:rPr>
          <w:rFonts w:ascii="Times New Roman" w:hAnsi="Times New Roman"/>
          <w:color w:val="0000FF"/>
          <w:sz w:val="20"/>
          <w:u w:val="single"/>
          <w:bdr w:val="double" w:sz="2" w:space="1" w:color="000000"/>
        </w:rPr>
        <w:t xml:space="preserve">the Administrative Agent determines </w:t>
      </w:r>
      <w:r>
        <w:rPr>
          <w:rFonts w:ascii="Times New Roman" w:hAnsi="Times New Roman"/>
          <w:color w:val="008000"/>
          <w:sz w:val="20"/>
          <w:u w:val="single"/>
        </w:rPr>
        <w:t xml:space="preserve">(which determination shall be conclusive absent manifest error) that </w:t>
      </w:r>
      <w:r>
        <w:rPr>
          <w:rFonts w:ascii="Times New Roman" w:hAnsi="Times New Roman"/>
          <w:color w:val="0000FF"/>
          <w:sz w:val="20"/>
          <w:u w:val="single"/>
          <w:bdr w:val="double" w:sz="2" w:space="1" w:color="000000"/>
        </w:rPr>
        <w:t>adequate and reasonable means do not exist for ascertaining Term SOFR (including because the Relevant Screen Rate is not available or published on a current basis), for the applicable Agreed Currency and such Interest Period, provided that no Benchmark Transition Event shall have occurred at such time;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w:t>
      </w:r>
      <w:r>
        <w:rPr>
          <w:rFonts w:ascii="Times New Roman" w:hAnsi="Times New Roman"/>
          <w:sz w:val="20"/>
        </w:rPr>
        <w:t xml:space="preserve">     </w:t>
      </w:r>
      <w:r>
        <w:rPr>
          <w:rFonts w:ascii="Times New Roman" w:hAnsi="Times New Roman"/>
          <w:color w:val="0000FF"/>
          <w:sz w:val="20"/>
          <w:u w:val="single"/>
          <w:bdr w:val="double" w:sz="2" w:space="1" w:color="000000"/>
        </w:rPr>
        <w:t>the Administrative Agent is advised by the Required Lenders that Term SOFR for the applicable Agreed Currency and such Interest Period will not adequately and fairly reflect the cost to such Lenders (or Lender) of making or maintaining their Loans (or its Loan) included in such Borrowing for the applicable Agreed Currency and such Interest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w:t>
      </w:r>
      <w:r>
        <w:rPr>
          <w:rFonts w:ascii="Times New Roman" w:hAnsi="Times New Roman"/>
          <w:color w:val="008000"/>
          <w:sz w:val="20"/>
          <w:u w:val="single"/>
        </w:rPr>
        <w:t xml:space="preserve">the circumstances giving rise to such </w:t>
      </w:r>
      <w:r>
        <w:rPr>
          <w:rFonts w:ascii="Times New Roman" w:hAnsi="Times New Roman"/>
          <w:color w:val="0000FF"/>
          <w:sz w:val="20"/>
          <w:u w:val="single"/>
          <w:bdr w:val="double" w:sz="2" w:space="1" w:color="000000"/>
        </w:rPr>
        <w:t>notice no longer exist, (A) any Interest Election Request that requests the conversion of any Borrowing to, or continuation of any Borrowing as, a Term Benchmark Borrowing shall be ineffective, (B) if any Borrowing Request requests a Borrowing in Dollars, then such Borrowing shall be made as an ABR Borrowing and (C) if any Borrowing Request requests a Borrowing in an Alternative Currency of such Impacted Loans, then such request shall be ineffective; provided, however, that, in each case, the Borrowers may revoke any Borrowing Request or Interest Election Request (without penalty) that is pending when such notice is received. Furthermore, if any Term Benchmark Loan in an Agreed Currency is outstanding on the date of the Borrowers’ receipt of the notice from the Administrative Agent referred to in this Section 2.13 with respect to a Relevant Rate applicable to such Term Benchmark Loan, then until the Administrative Agent notifies Bidco and the Borrowers and the Lenders that the circumstances giving rise to such notice no longer exist, (i) if such Term Benchmark Loan is denominated in 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Dollars, then on the last day of the Interest Period applicable to such Loan (or the next succeeding Business Day </w:t>
      </w:r>
      <w:r>
        <w:rPr>
          <w:rFonts w:ascii="Times New Roman" w:hAnsi="Times New Roman"/>
          <w:color w:val="008000"/>
          <w:sz w:val="20"/>
          <w:u w:val="single"/>
        </w:rPr>
        <w:t>if such day is not a Business Day</w:t>
      </w:r>
      <w:r>
        <w:rPr>
          <w:rFonts w:ascii="Times New Roman" w:hAnsi="Times New Roman"/>
          <w:color w:val="0000FF"/>
          <w:sz w:val="20"/>
          <w:u w:val="single"/>
          <w:bdr w:val="double" w:sz="2" w:space="1" w:color="000000"/>
        </w:rPr>
        <w:t>), such Loan shall be converted by the Administrative Agent to, and shall constitute, an ABR Loan denominated in U.S. Dollars on such day and (ii) if such Term Benchmark Loan is denominated in any Agreed Currency other than U.S. Dollars, then such Loan shall, on the last day of the Interest Period applicable to such Loan (or the next succeeding Business Day if such day is not a Business Day), at the Borrowers’ election prior to such day: (A) be prepaid by the Borrowers on such day or (B) be converted by the Administrative Agent to, and (subject to the remainder of this subclause (B)) shall constitute, an ABR Loan denominated in U.S. Dollars (in an amount equal to the Dollar Equivalent of such Agreed Currency) on such day (it being understood and agreed that if the Borrowers does not so prepay such Loan on such day by 12:00 p.m. (New York City time) the Administrative Agent is authorized to effect such conversion of such Term Benchmark Loan into an ABR Loan denominated in Dollars), and, in the case of such subclause (B), upon the Borrowers’ receipt of notice from the Administrative Agent that the circumstances giving rise to the aforementioned notice no longer exist, such ABR Loan denominated in Dollars shall then be converted by the Administrative Agent to, and shall constitute, a Term Benchmark Loan denominated in such original Agreed Currency (in an amount equal to the Alternative Currency Equivalent of such Agreed Currency) on the day of such notice being given to the Borrowers by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w:t>
      </w:r>
      <w:r>
        <w:rPr>
          <w:rFonts w:ascii="Times New Roman" w:hAnsi="Times New Roman"/>
          <w:sz w:val="20"/>
        </w:rPr>
        <w:t xml:space="preserve">     </w:t>
      </w:r>
      <w:r>
        <w:rPr>
          <w:rFonts w:ascii="Times New Roman" w:hAnsi="Times New Roman"/>
          <w:color w:val="0000FF"/>
          <w:sz w:val="20"/>
          <w:u w:val="single"/>
          <w:bdr w:val="double" w:sz="2" w:space="1" w:color="000000"/>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(g)</w:t>
      </w:r>
      <w:r>
        <w:rPr>
          <w:rFonts w:ascii="Times New Roman" w:hAnsi="Times New Roman"/>
          <w:sz w:val="20"/>
        </w:rPr>
        <w:t>    </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(h)</w:t>
      </w:r>
      <w:r>
        <w:rPr>
          <w:rFonts w:ascii="Times New Roman" w:hAnsi="Times New Roman"/>
          <w:sz w:val="20"/>
        </w:rPr>
        <w:t xml:space="preserve">     </w:t>
      </w:r>
      <w:r>
        <w:rPr>
          <w:rFonts w:ascii="Times New Roman" w:hAnsi="Times New Roman"/>
          <w:color w:val="0000FF"/>
          <w:sz w:val="20"/>
          <w:u w:val="single"/>
          <w:bdr w:val="double" w:sz="2" w:space="1" w:color="000000"/>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(i)</w:t>
      </w:r>
      <w:r>
        <w:rPr>
          <w:rFonts w:ascii="Times New Roman" w:hAnsi="Times New Roman"/>
          <w:sz w:val="20"/>
        </w:rPr>
        <w:t xml:space="preserve">      </w:t>
      </w:r>
      <w:r>
        <w:rPr>
          <w:rFonts w:ascii="Times New Roman" w:hAnsi="Times New Roman"/>
          <w:color w:val="0000FF"/>
          <w:sz w:val="20"/>
          <w:u w:val="single"/>
          <w:bdr w:val="double" w:sz="2" w:space="1" w:color="000000"/>
        </w:rPr>
        <w:t>The Administrative Agent will promptly notify Bidco and the Borrowers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commencement or conclusion of any Benchmark Unavailability Period. Any determination, decision or election that may be made by the Administrative Agent or, if applicable, any Lender (or group of Lenders) pursuant to this Section  2.13, including any determination</w:t>
      </w:r>
      <w:r>
        <w:rPr>
          <w:rFonts w:ascii="Times New Roman" w:hAnsi="Times New Roman"/>
          <w:color w:val="0000FF"/>
          <w:sz w:val="20"/>
        </w:rPr>
        <w:t xml:space="preserve"> </w:t>
      </w:r>
      <w:r>
        <w:rPr>
          <w:rFonts w:ascii="Times New Roman" w:hAnsi="Times New Roman"/>
          <w:color w:val="0000FF"/>
          <w:sz w:val="20"/>
          <w:u w:val="single"/>
          <w:bdr w:val="double" w:sz="2" w:space="1" w:color="000000"/>
        </w:rPr>
        <w:t>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(j)</w:t>
      </w:r>
      <w:r>
        <w:rPr>
          <w:rFonts w:ascii="Times New Roman" w:hAnsi="Times New Roman"/>
          <w:sz w:val="20"/>
        </w:rPr>
        <w:t xml:space="preserve">      </w:t>
      </w:r>
      <w:r>
        <w:rPr>
          <w:rFonts w:ascii="Times New Roman" w:hAnsi="Times New Roman"/>
          <w:color w:val="0000FF"/>
          <w:sz w:val="20"/>
          <w:u w:val="single"/>
          <w:bdr w:val="double" w:sz="2" w:space="1" w:color="000000"/>
        </w:rPr>
        <w:t xml:space="preserve">Notwithstanding anything to the contrary herein or in any other Loan Document, at any time (including in connection with the implementation of a Benchmark Replacement), (i) if the then-current Benchmark is a term rate (including Term SOFR) and either </w:t>
      </w:r>
      <w:r>
        <w:rPr>
          <w:rFonts w:ascii="Times New Roman" w:hAnsi="Times New Roman"/>
          <w:b/>
          <w:color w:val="0000FF"/>
          <w:sz w:val="20"/>
          <w:u w:val="single"/>
          <w:bdr w:val="double" w:sz="2" w:space="1" w:color="000000"/>
        </w:rPr>
        <w:t>(A)</w:t>
      </w:r>
      <w:r>
        <w:rPr>
          <w:rFonts w:ascii="Times New Roman" w:hAnsi="Times New Roman"/>
          <w:color w:val="0000FF"/>
          <w:sz w:val="20"/>
          <w:u w:val="single"/>
          <w:bdr w:val="double" w:sz="2" w:space="1" w:color="000000"/>
        </w:rPr>
        <w:t> any tenor for such Benchmark is not displayed on a screen or other information service that</w:t>
      </w:r>
      <w:r>
        <w:rPr>
          <w:rFonts w:ascii="Times New Roman" w:hAnsi="Times New Roman"/>
          <w:sz w:val="20"/>
        </w:rPr>
        <w:t xml:space="preserve"> </w:t>
      </w:r>
      <w:r>
        <w:rPr>
          <w:rFonts w:ascii="Times New Roman" w:hAnsi="Times New Roman"/>
          <w:color w:val="0000FF"/>
          <w:sz w:val="20"/>
          <w:u w:val="single"/>
          <w:bdr w:val="double" w:sz="2" w:space="1" w:color="000000"/>
        </w:rPr>
        <w:t>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(k)</w:t>
      </w:r>
      <w:r>
        <w:rPr>
          <w:rFonts w:ascii="Times New Roman" w:hAnsi="Times New Roman"/>
          <w:sz w:val="20"/>
        </w:rPr>
        <w:t xml:space="preserve">     </w:t>
      </w:r>
      <w:r>
        <w:rPr>
          <w:rFonts w:ascii="Times New Roman" w:hAnsi="Times New Roman"/>
          <w:color w:val="0000FF"/>
          <w:sz w:val="20"/>
          <w:u w:val="single"/>
          <w:bdr w:val="double" w:sz="2" w:space="1" w:color="000000"/>
        </w:rPr>
        <w:t>Upon the Borrowers’ receipt of notice of the commencement of a Benchmark Unavailability Period, the Borrowers may revoke any request for a Term Benchmark Borrowing of, conversion to or continuation of Term Benchmark Loans to be made, converted or continued during any Benchmark Unavailability Period and, failing that, either (x) the Borrowers will be deemed to have converted any request for a Term Benchmark Borrowing denominated in Dollars into a request for a Borrowing of or conversion to ABR Loans or (y) any request for a Term Benchmark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in any Agreed Currency is outstanding on the date of the Borrowers’ receipt of notice of the commencement of a Benchmark Unavailability Period with respect to a Relevant Rate applicable to such Term Benchmark Loan, then until such time as a Benchmark Replacement for such Agreed Currency is implemented pursuant to this Section  2.13, (i) if such Term Benchmark Loan is denominated in U.S. Dollars, then on the last day of the Interest Period applicable to such Loan (or the next succeeding Business Day if such day is not a Business Day), such Loan shall be converted by the Administrative Agent to, and shall constitute, an ABR Loan denominated in U.S. Dollars on such day or (ii) if such Term Benchmark Loan is</w:t>
      </w:r>
      <w:r>
        <w:rPr>
          <w:rFonts w:ascii="Times New Roman" w:hAnsi="Times New Roman"/>
          <w:sz w:val="20"/>
        </w:rPr>
        <w:t xml:space="preserve"> </w:t>
      </w:r>
      <w:r>
        <w:rPr>
          <w:rFonts w:ascii="Times New Roman" w:hAnsi="Times New Roman"/>
          <w:color w:val="0000FF"/>
          <w:sz w:val="20"/>
          <w:u w:val="single"/>
          <w:bdr w:val="double" w:sz="2" w:space="1" w:color="000000"/>
        </w:rPr>
        <w:t>denominated in any Agreed Currency other than U.S. Dollars, then such Loan shall, on the last day of the Interest Period applicable to such Loan (or the next succeeding Business Day if such day is not a Business Day), at the Borrowers’ election prior to such day: (A) be prepaid by the Borrowers on such day or (B) be converted by the Administrative Agent to, and (subject to the remainder of this subclause (B)) shall constitute, an ABR Loan denominated in Dollars (in an amount equal to the Dollar Equivalent of such Agreed Currency) on such day (it being understood and agreed that if the Borrowers does not so prepay such Loan on such day by 12:00 p.m. (New York City time) the Administrative Agent is authorized to effect such conversion of such Term Benchmark Loan into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an ABR Loan denominated in U.S. Dollars), and, in the case of such subclause (B), upon any subsequent implementation of a Benchmark Replacement in respect of such Agreed Currency pursuant to this Section 2.13, such ABR Loan denominated in U.S. Dollars shall then be converted by the Administrative Agent to, and shall constitute, a Term Benchmark Loan denominated in such original Agreed Currency (in an amount equal to the Alternative Currency Equivalent of such Agreed Currency) on the day of such implementation, giving effect to such Benchmark Replacement in respect of such Agreed Currency.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(i)     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w:t>
      </w:r>
      <w:r>
        <w:rPr>
          <w:rFonts w:ascii="Times New Roman" w:hAnsi="Times New Roman"/>
          <w:color w:val="0000FF"/>
          <w:sz w:val="20"/>
          <w:u w:val="single"/>
          <w:bdr w:val="double" w:sz="2" w:space="1" w:color="000000"/>
        </w:rPr>
        <w:t>, Term SOFR or Daily Simple RFR (as applicable)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impose on any Lender or any Issuing Bank</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the London interbank </w:t>
      </w:r>
      <w:r>
        <w:rPr>
          <w:rFonts w:ascii="Times New Roman" w:hAnsi="Times New Roman"/>
          <w:color w:val="0000FF"/>
          <w:sz w:val="20"/>
          <w:u w:val="single"/>
          <w:bdr w:val="double" w:sz="2" w:space="1" w:color="000000"/>
        </w:rPr>
        <w:t xml:space="preserve">market or the secured overnight financing </w:t>
      </w:r>
      <w:r>
        <w:rPr>
          <w:rFonts w:ascii="Times New Roman" w:hAnsi="Times New Roman"/>
          <w:sz w:val="20"/>
        </w:rPr>
        <w:t xml:space="preserve">market any other condition, cost or expense (including Taxes, other than Excluded Taxes or Taxes indemnified under </w:t>
      </w:r>
      <w:r>
        <w:rPr>
          <w:rFonts w:ascii="Times New Roman" w:hAnsi="Times New Roman"/>
          <w:sz w:val="20"/>
          <w:u w:val="single"/>
        </w:rPr>
        <w:t>Section 2.16</w:t>
      </w:r>
      <w:r>
        <w:rPr>
          <w:rFonts w:ascii="Times New Roman" w:hAnsi="Times New Roman"/>
          <w:sz w:val="20"/>
        </w:rPr>
        <w:t>) affecting this Agreement or Eurodollar Loans</w:t>
      </w:r>
      <w:r>
        <w:rPr>
          <w:rFonts w:ascii="Times New Roman" w:hAnsi="Times New Roman"/>
          <w:color w:val="0000FF"/>
          <w:sz w:val="20"/>
          <w:u w:val="single"/>
          <w:bdr w:val="double" w:sz="2" w:space="1" w:color="000000"/>
        </w:rPr>
        <w:t>, Term Benchmark Loans or RFR Loans</w:t>
      </w:r>
      <w:r>
        <w:rPr>
          <w:rFonts w:ascii="Times New Roman" w:hAnsi="Times New Roman"/>
          <w:sz w:val="20"/>
        </w:rPr>
        <w:t xml:space="preserve">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and the result of any of the foregoing shall be to increase the cost to such Lender of making or maintaining any Eurodollar Loan</w:t>
      </w:r>
      <w:r>
        <w:rPr>
          <w:rFonts w:ascii="Times New Roman" w:hAnsi="Times New Roman"/>
          <w:color w:val="0000FF"/>
          <w:sz w:val="20"/>
          <w:u w:val="single"/>
          <w:bdr w:val="double" w:sz="2" w:space="1" w:color="000000"/>
        </w:rPr>
        <w:t xml:space="preserve">, Term Benchmark Loan or RFR Loan (as applicable) </w:t>
      </w:r>
      <w:r>
        <w:rPr>
          <w:rFonts w:ascii="Times New Roman" w:hAnsi="Times New Roman"/>
          <w:sz w:val="20"/>
        </w:rPr>
        <w:t xml:space="preserve">(or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Borrowers will pay to such Lender or Issuing Bank, as the case may be, such additional amount or amounts as will compensate such Lender or Issuing Bank, as the case may be, for such increased costs actually incurred or reduction actually suffered.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actually suffered. </w:t>
      </w:r>
    </w:p>
    <w:p>
      <w:pPr>
        <w:pStyle w:val="TextBody"/>
        <w:bidi w:val="0"/>
        <w:spacing w:before="240" w:after="0"/>
        <w:jc w:val="left"/>
        <w:rPr>
          <w:rFonts w:ascii="Times New Roman" w:hAnsi="Times New Roman"/>
          <w:sz w:val="20"/>
        </w:rPr>
      </w:pPr>
      <w:r>
        <w:rPr>
          <w:rFonts w:ascii="Times New Roman" w:hAnsi="Times New Roman"/>
          <w:sz w:val="20"/>
        </w:rPr>
        <w:t xml:space="preserve">(c)     A certificate of a Lender or an Issuing Bank setting forth the amount or amounts necessary to compensate such Lender or Issuing Bank or its holding company in reasonable detail, as the case may be, as specified in paragraph (a) or (b) of this </w:t>
      </w:r>
      <w:r>
        <w:rPr>
          <w:rFonts w:ascii="Times New Roman" w:hAnsi="Times New Roman"/>
          <w:sz w:val="20"/>
          <w:u w:val="single"/>
        </w:rPr>
        <w:t>Section 2.14</w:t>
      </w:r>
      <w:r>
        <w:rPr>
          <w:rFonts w:ascii="Times New Roman" w:hAnsi="Times New Roman"/>
          <w:sz w:val="20"/>
        </w:rPr>
        <w:t xml:space="preserve"> delivered to the Borrowers shall be conclusive absent manifest error. The Borrowers shall pay such Lender or Issuing Bank, as the case may be, the amount shown as due on any such certificate within 15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p>
    <w:p>
      <w:pPr>
        <w:pStyle w:val="TextBody"/>
        <w:bidi w:val="0"/>
        <w:spacing w:before="0" w:after="0"/>
        <w:jc w:val="left"/>
        <w:rPr>
          <w:rFonts w:ascii="Times New Roman" w:hAnsi="Times New Roman"/>
          <w:sz w:val="20"/>
        </w:rPr>
      </w:pPr>
      <w:r>
        <w:rPr>
          <w:rFonts w:ascii="Times New Roman" w:hAnsi="Times New Roman"/>
          <w:sz w:val="20"/>
        </w:rPr>
        <w:t xml:space="preserve">(d)     Failure or delay on the part of any Lender or Issuing Bank to demand compensation pursuant to this </w:t>
      </w:r>
      <w:r>
        <w:rPr>
          <w:rFonts w:ascii="Times New Roman" w:hAnsi="Times New Roman"/>
          <w:sz w:val="20"/>
          <w:u w:val="single"/>
        </w:rPr>
        <w:t>Section 2.14</w:t>
      </w:r>
      <w:r>
        <w:rPr>
          <w:rFonts w:ascii="Times New Roman" w:hAnsi="Times New Roman"/>
          <w:sz w:val="20"/>
        </w:rPr>
        <w:t xml:space="preserve">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or Issuing Bank pursuant to this </w:t>
      </w:r>
      <w:r>
        <w:rPr>
          <w:rFonts w:ascii="Times New Roman" w:hAnsi="Times New Roman"/>
          <w:sz w:val="20"/>
          <w:u w:val="single"/>
        </w:rPr>
        <w:t>Section 2.14</w:t>
      </w:r>
      <w:r>
        <w:rPr>
          <w:rFonts w:ascii="Times New Roman" w:hAnsi="Times New Roman"/>
          <w:sz w:val="20"/>
        </w:rPr>
        <w:t xml:space="preserve"> for any increased costs incurred or reductions suffered more than 180 days prior to the date that such Lender or Issuing Bank, as the case may be, notifies the Borrowers of the Change in Law giving rise to such increased costs or reductions and of such Lender’s or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other provision of this </w:t>
      </w:r>
      <w:r>
        <w:rPr>
          <w:rFonts w:ascii="Times New Roman" w:hAnsi="Times New Roman"/>
          <w:sz w:val="20"/>
          <w:u w:val="single"/>
        </w:rPr>
        <w:t>Section 2.14</w:t>
      </w:r>
      <w:r>
        <w:rPr>
          <w:rFonts w:ascii="Times New Roman" w:hAnsi="Times New Roman"/>
          <w:sz w:val="20"/>
        </w:rPr>
        <w:t xml:space="preserve">, no Lender or Issuing Bank shall demand compensation for any increased cost or reduction pursuant to this </w:t>
      </w:r>
      <w:r>
        <w:rPr>
          <w:rFonts w:ascii="Times New Roman" w:hAnsi="Times New Roman"/>
          <w:sz w:val="20"/>
          <w:u w:val="single"/>
        </w:rPr>
        <w:t>Section 2.14</w:t>
      </w:r>
      <w:r>
        <w:rPr>
          <w:rFonts w:ascii="Times New Roman" w:hAnsi="Times New Roman"/>
          <w:sz w:val="20"/>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 </w:t>
      </w:r>
    </w:p>
    <w:p>
      <w:pPr>
        <w:pStyle w:val="TextBody"/>
        <w:bidi w:val="0"/>
        <w:spacing w:before="360" w:after="0"/>
        <w:jc w:val="left"/>
        <w:rPr>
          <w:rFonts w:ascii="Times New Roman" w:hAnsi="Times New Roman"/>
          <w:sz w:val="20"/>
        </w:rPr>
      </w:pPr>
      <w:r>
        <w:rPr>
          <w:rFonts w:ascii="Times New Roman" w:hAnsi="Times New Roman"/>
          <w:sz w:val="20"/>
        </w:rPr>
        <w:t>SECTION 2.15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Revolving Loan or Term Loan on the date specified in any notice delivered pursuant hereto (regardless of whether such notice may be revoked under </w:t>
      </w:r>
      <w:r>
        <w:rPr>
          <w:rFonts w:ascii="Times New Roman" w:hAnsi="Times New Roman"/>
          <w:strike/>
          <w:color w:val="FF0000"/>
          <w:sz w:val="20"/>
          <w:u w:val="single"/>
        </w:rPr>
        <w:t>Section  2.10(f)</w:t>
      </w:r>
      <w:r>
        <w:rPr>
          <w:rFonts w:ascii="Times New Roman" w:hAnsi="Times New Roman"/>
          <w:color w:val="0000FF"/>
          <w:sz w:val="20"/>
          <w:u w:val="single"/>
          <w:bdr w:val="double" w:sz="2" w:space="1" w:color="000000"/>
        </w:rPr>
        <w:t>Section 2.10(f)</w:t>
      </w:r>
      <w:r>
        <w:rPr>
          <w:rFonts w:ascii="Times New Roman" w:hAnsi="Times New Roman"/>
          <w:sz w:val="20"/>
        </w:rPr>
        <w:t xml:space="preserve"> and is revoked in accordance therewith) or (d) the assignment of any Eurodollar Loan other than on the last day of the Interest Period applicable thereto as a result of a request by the Borrowers pursuant to </w:t>
      </w:r>
      <w:r>
        <w:rPr>
          <w:rFonts w:ascii="Times New Roman" w:hAnsi="Times New Roman"/>
          <w:strike/>
          <w:color w:val="FF0000"/>
          <w:sz w:val="20"/>
          <w:u w:val="single"/>
        </w:rPr>
        <w:t>Section 2.18</w:t>
      </w:r>
      <w:r>
        <w:rPr>
          <w:rFonts w:ascii="Times New Roman" w:hAnsi="Times New Roman"/>
          <w:strike/>
          <w:color w:val="FF0000"/>
          <w:sz w:val="20"/>
        </w:rPr>
        <w:t xml:space="preserve"> or </w:t>
      </w:r>
      <w:r>
        <w:rPr>
          <w:rFonts w:ascii="Times New Roman" w:hAnsi="Times New Roman"/>
          <w:strike/>
          <w:color w:val="FF0000"/>
          <w:sz w:val="20"/>
          <w:u w:val="single"/>
        </w:rPr>
        <w:t>Section 9.02(c)</w:t>
      </w:r>
      <w:r>
        <w:rPr>
          <w:rFonts w:ascii="Times New Roman" w:hAnsi="Times New Roman"/>
          <w:strike/>
          <w:color w:val="FF0000"/>
          <w:sz w:val="20"/>
        </w:rPr>
        <w:t>,</w:t>
      </w:r>
      <w:r>
        <w:rPr>
          <w:rFonts w:ascii="Times New Roman" w:hAnsi="Times New Roman"/>
          <w:color w:val="0000FF"/>
          <w:sz w:val="20"/>
          <w:u w:val="single"/>
          <w:bdr w:val="double" w:sz="2" w:space="1" w:color="000000"/>
        </w:rPr>
        <w:t>Section  2.18 or Section 9.02(c),</w:t>
      </w:r>
      <w:r>
        <w:rPr>
          <w:rFonts w:ascii="Times New Roman" w:hAnsi="Times New Roman"/>
          <w:sz w:val="20"/>
        </w:rPr>
        <w:t xml:space="preserve"> then, in any such event, the Borrowers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Borrowers to the Lenders under this </w:t>
      </w:r>
      <w:r>
        <w:rPr>
          <w:rFonts w:ascii="Times New Roman" w:hAnsi="Times New Roman"/>
          <w:strike/>
          <w:color w:val="FF0000"/>
          <w:sz w:val="20"/>
          <w:u w:val="single"/>
        </w:rPr>
        <w:t>Section  2.15</w:t>
      </w:r>
      <w:r>
        <w:rPr>
          <w:rFonts w:ascii="Times New Roman" w:hAnsi="Times New Roman"/>
          <w:color w:val="0000FF"/>
          <w:sz w:val="20"/>
          <w:u w:val="single"/>
          <w:bdr w:val="double" w:sz="2" w:space="1" w:color="000000"/>
        </w:rPr>
        <w:t>Section 2.15</w:t>
      </w:r>
      <w:r>
        <w:rPr>
          <w:rFonts w:ascii="Times New Roman" w:hAnsi="Times New Roman"/>
          <w:sz w:val="20"/>
        </w:rPr>
        <w:t xml:space="preserve">, each Lender shall be deemed to have funded each Eurodollar Loan made by it at the Adjusted LIBO Rate for such Loan by a matching deposit or other borrowing in the applicable interbank eurodollar market for a comparable amount and for a comparable period, whether or not such Eurodollar Loan was in fact so funded. A certificate of any Lender setting forth in reasonable detail any amount or amounts that such Lender is entitled to receive pursuant to this </w:t>
      </w:r>
      <w:r>
        <w:rPr>
          <w:rFonts w:ascii="Times New Roman" w:hAnsi="Times New Roman"/>
          <w:strike/>
          <w:color w:val="FF0000"/>
          <w:sz w:val="20"/>
          <w:u w:val="single"/>
        </w:rPr>
        <w:t>Section  2.15</w:t>
      </w:r>
      <w:r>
        <w:rPr>
          <w:rFonts w:ascii="Times New Roman" w:hAnsi="Times New Roman"/>
          <w:color w:val="0000FF"/>
          <w:sz w:val="20"/>
          <w:u w:val="single"/>
          <w:bdr w:val="double" w:sz="2" w:space="1" w:color="000000"/>
        </w:rPr>
        <w:t>Section 2.15</w:t>
      </w:r>
      <w:r>
        <w:rPr>
          <w:rFonts w:ascii="Times New Roman" w:hAnsi="Times New Roman"/>
          <w:sz w:val="20"/>
        </w:rPr>
        <w:t xml:space="preserve"> and the reasons therefor delivered to the Borrowers shall be prima facie evidence of such amounts. The Borrowers shall pay such Lender the amount shown as due on any such certificate within 15 days after receipt of such demand. Notwithstanding the foregoing, this </w:t>
      </w:r>
      <w:r>
        <w:rPr>
          <w:rFonts w:ascii="Times New Roman" w:hAnsi="Times New Roman"/>
          <w:strike/>
          <w:color w:val="FF0000"/>
          <w:sz w:val="20"/>
          <w:u w:val="single"/>
        </w:rPr>
        <w:t>Section  2.15</w:t>
      </w:r>
      <w:r>
        <w:rPr>
          <w:rFonts w:ascii="Times New Roman" w:hAnsi="Times New Roman"/>
          <w:color w:val="0000FF"/>
          <w:sz w:val="20"/>
          <w:u w:val="single"/>
          <w:bdr w:val="double" w:sz="2" w:space="1" w:color="000000"/>
        </w:rPr>
        <w:t>Section 2.15</w:t>
      </w:r>
      <w:r>
        <w:rPr>
          <w:rFonts w:ascii="Times New Roman" w:hAnsi="Times New Roman"/>
          <w:sz w:val="20"/>
        </w:rPr>
        <w:t xml:space="preserve"> will not apply to losses, costs or expenses resulting from Taxes. Notwithstanding the foregoing, no Lender shall demand compensation pursuant to this </w:t>
      </w:r>
      <w:r>
        <w:rPr>
          <w:rFonts w:ascii="Times New Roman" w:hAnsi="Times New Roman"/>
          <w:strike/>
          <w:color w:val="FF0000"/>
          <w:sz w:val="20"/>
          <w:u w:val="single"/>
        </w:rPr>
        <w:t>Section  2.15</w:t>
      </w:r>
      <w:r>
        <w:rPr>
          <w:rFonts w:ascii="Times New Roman" w:hAnsi="Times New Roman"/>
          <w:color w:val="0000FF"/>
          <w:sz w:val="20"/>
          <w:u w:val="single"/>
          <w:bdr w:val="double" w:sz="2" w:space="1" w:color="000000"/>
        </w:rPr>
        <w:t>Section 2.15</w:t>
      </w:r>
      <w:r>
        <w:rPr>
          <w:rFonts w:ascii="Times New Roman" w:hAnsi="Times New Roman"/>
          <w:sz w:val="20"/>
        </w:rPr>
        <w:t xml:space="preserve"> if it shall not at the time be the general policy or practice of such Lender to demand such compensation in similar circumstances under comparable provisions of other credit agreements. Each Lender hereby waives the right to receive compensation under this </w:t>
      </w:r>
      <w:r>
        <w:rPr>
          <w:rFonts w:ascii="Times New Roman" w:hAnsi="Times New Roman"/>
          <w:strike/>
          <w:color w:val="FF0000"/>
          <w:sz w:val="20"/>
          <w:u w:val="single"/>
        </w:rPr>
        <w:t>Section  2.15</w:t>
      </w:r>
      <w:r>
        <w:rPr>
          <w:rFonts w:ascii="Times New Roman" w:hAnsi="Times New Roman"/>
          <w:color w:val="0000FF"/>
          <w:sz w:val="20"/>
          <w:u w:val="single"/>
          <w:bdr w:val="double" w:sz="2" w:space="1" w:color="000000"/>
        </w:rPr>
        <w:t>Section 2.15</w:t>
      </w:r>
      <w:r>
        <w:rPr>
          <w:rFonts w:ascii="Times New Roman" w:hAnsi="Times New Roman"/>
          <w:sz w:val="20"/>
        </w:rPr>
        <w:t xml:space="preserve"> for any loss, cost or expense incurred as a result of a Repricing Transaction. </w:t>
      </w:r>
    </w:p>
    <w:p>
      <w:pPr>
        <w:pStyle w:val="TextBody"/>
        <w:bidi w:val="0"/>
        <w:spacing w:before="360" w:after="0"/>
        <w:jc w:val="left"/>
        <w:rPr>
          <w:rFonts w:ascii="Times New Roman" w:hAnsi="Times New Roman"/>
          <w:sz w:val="20"/>
        </w:rPr>
      </w:pPr>
      <w:r>
        <w:rPr>
          <w:rFonts w:ascii="Times New Roman" w:hAnsi="Times New Roman"/>
          <w:sz w:val="20"/>
        </w:rPr>
        <w:t>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and all payments by or on account of any obligation of any Loan Party under any Loan Document shall be made free and clear of and without deduction for any Taxes, except as required by applicable Requirements of Law. If the applicable withholding agent (which may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p>
    <w:p>
      <w:pPr>
        <w:pStyle w:val="TextBody"/>
        <w:bidi w:val="0"/>
        <w:spacing w:before="0" w:after="0"/>
        <w:jc w:val="left"/>
        <w:rPr>
          <w:rFonts w:ascii="Times New Roman" w:hAnsi="Times New Roman"/>
          <w:sz w:val="20"/>
        </w:rPr>
      </w:pPr>
      <w:r>
        <w:rPr>
          <w:rFonts w:ascii="Times New Roman" w:hAnsi="Times New Roman"/>
          <w:sz w:val="20"/>
        </w:rPr>
        <w:t>a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 “</w:t>
      </w:r>
      <w:r>
        <w:rPr>
          <w:rFonts w:ascii="Times New Roman" w:hAnsi="Times New Roman"/>
          <w:sz w:val="20"/>
          <w:u w:val="single"/>
        </w:rPr>
        <w:t>Tax</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and if such Taxes are Indemnified Taxes or Other Taxes, then the amount payable by the applicable Loan Party shall be increased as necessary so that after all such required deductions have been made (including such deductions applicable to additional amounts payable under this </w:t>
      </w:r>
      <w:r>
        <w:rPr>
          <w:rFonts w:ascii="Times New Roman" w:hAnsi="Times New Roman"/>
          <w:sz w:val="20"/>
          <w:u w:val="single"/>
        </w:rPr>
        <w:t>Section 2.16</w:t>
      </w:r>
      <w:r>
        <w:rPr>
          <w:rFonts w:ascii="Times New Roman" w:hAnsi="Times New Roman"/>
          <w:sz w:val="20"/>
        </w:rPr>
        <w:t xml:space="preserve">), each Lender (or, in the case of a payment made to the Administrative Agent for its own account, the Administrative Agent) receives an amount equal to the sum it would have received had no such deductions been made.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provisions of paragraph (a) above, the Borrowers shall timely pay to the relevant Governmental Authority in accordance with Requirements of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Without duplication of amounts payable pursuant to clauses (a) and (b), the Borrowers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 Lender, as the case may be (including Indemnified Taxes or Other Taxes imposed or asserted on or attributable to amounts payable under this </w:t>
      </w:r>
      <w:r>
        <w:rPr>
          <w:rFonts w:ascii="Times New Roman" w:hAnsi="Times New Roman"/>
          <w:sz w:val="20"/>
          <w:u w:val="single"/>
        </w:rPr>
        <w:t>Section 2.16</w:t>
      </w:r>
      <w:r>
        <w:rPr>
          <w:rFonts w:ascii="Times New Roman" w:hAnsi="Times New Roman"/>
          <w:sz w:val="20"/>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Borrowers by a Lender,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after any payment of any Taxes by a Loan Party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(i) Each Lender shall, at such times as are reasonably requested by the Borrowers or the Administrative Agent, provide the Borrowers and the Administrative Agent with any properly completed and executed documentation prescribed by any Requirement of Law, or reasonably requested by the Borrowers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Times New Roman" w:hAnsi="Times New Roman"/>
          <w:sz w:val="20"/>
          <w:u w:val="single"/>
        </w:rPr>
        <w:t>Section 2.16(e)</w:t>
      </w:r>
      <w:r>
        <w:rPr>
          <w:rFonts w:ascii="Times New Roman" w:hAnsi="Times New Roman"/>
          <w:sz w:val="20"/>
        </w:rPr>
        <w:t xml:space="preserve">), deliver promptly to the Borrowers and the Administrative Agent updated or other appropriate documentation (including any new documentation reasonably requested by the applicable withholding agent) or promptly notify the Borrowers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Tax at a rate reduced by an applicable tax treaty, the Borrowers, the Administrative Agent or other applicable withholding agent shall withhold amounts required to be withheld by applicable law from such payments at the applicable statutory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p>
    <w:p>
      <w:pPr>
        <w:pStyle w:val="TextBody"/>
        <w:bidi w:val="0"/>
        <w:spacing w:before="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Lender that is a United States person (as defined in Section 7701(a)(30) of the Code) shall deliver to the Borrowers and the Administrative Agent on or before the date on which it becomes a party to this Agreement two properly completed and duly signed copies of Internal Revenue Service Form W-9 (or any successor form) certifying that such Lender is exempt from U.S. federal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(B)     Each Foreign Lender shall deliver to the Borrowers and the Administrative Agent on or before the date on which it becomes a party to this Agreement (and from time to time thereafter upon the reasonable request of the Borrowers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two properly completed and duly signed copies of Internal Revenue Service Form W-8BEN or W-8BEN-E, as applicable (or any successor forms) claiming eligibility for benefits of an income tax treaty to which the United States of America is a party, </w:t>
      </w:r>
    </w:p>
    <w:p>
      <w:pPr>
        <w:pStyle w:val="TextBody"/>
        <w:bidi w:val="0"/>
        <w:spacing w:before="120" w:after="0"/>
        <w:jc w:val="left"/>
        <w:rPr>
          <w:rFonts w:ascii="Times New Roman" w:hAnsi="Times New Roman"/>
          <w:sz w:val="20"/>
        </w:rPr>
      </w:pPr>
      <w:r>
        <w:rPr>
          <w:rFonts w:ascii="Times New Roman" w:hAnsi="Times New Roman"/>
          <w:sz w:val="20"/>
        </w:rPr>
        <w:t xml:space="preserve">(2)    two properly completed and duly signed copies of Internal Revenue Service Form W-8ECI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871(h) or Section 881(c) of the Code, (x) two properly completed and duly signed certificates, substantially in the form of </w:t>
      </w:r>
      <w:r>
        <w:rPr>
          <w:rFonts w:ascii="Times New Roman" w:hAnsi="Times New Roman"/>
          <w:sz w:val="20"/>
          <w:u w:val="single"/>
        </w:rPr>
        <w:t>Exhibit Q</w:t>
      </w:r>
      <w:r>
        <w:rPr>
          <w:rFonts w:ascii="Times New Roman" w:hAnsi="Times New Roman"/>
          <w:sz w:val="20"/>
        </w:rPr>
        <w:t xml:space="preserve"> (any such certificate a “</w:t>
      </w:r>
      <w:r>
        <w:rPr>
          <w:rFonts w:ascii="Times New Roman" w:hAnsi="Times New Roman"/>
          <w:sz w:val="20"/>
          <w:u w:val="single"/>
        </w:rPr>
        <w:t>United States Tax Compliance Certificate</w:t>
      </w:r>
      <w:r>
        <w:rPr>
          <w:rFonts w:ascii="Times New Roman" w:hAnsi="Times New Roman"/>
          <w:sz w:val="20"/>
        </w:rPr>
        <w:t xml:space="preserve">”), as applicable, and (y) two properly completed and duly signed copies of Internal Revenue Service Form W-8BEN or W-8BEN-E, as applicable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applicable United States Tax Compliance Certificate, Form W-9, Form W-8IMY (or other successor forms) or any other required information from each beneficial owner that would be required under this </w:t>
      </w:r>
      <w:r>
        <w:rPr>
          <w:rFonts w:ascii="Times New Roman" w:hAnsi="Times New Roman"/>
          <w:sz w:val="20"/>
          <w:u w:val="single"/>
        </w:rPr>
        <w:t>Section 2.16</w:t>
      </w:r>
      <w:r>
        <w:rPr>
          <w:rFonts w:ascii="Times New Roman" w:hAnsi="Times New Roman"/>
          <w:sz w:val="20"/>
        </w:rPr>
        <w:t xml:space="preserve"> if such beneficial owner were a Lender, as applicable (</w:t>
      </w:r>
      <w:r>
        <w:rPr>
          <w:rFonts w:ascii="Times New Roman" w:hAnsi="Times New Roman"/>
          <w:sz w:val="20"/>
          <w:u w:val="single"/>
        </w:rPr>
        <w:t>provided</w:t>
      </w:r>
      <w:r>
        <w:rPr>
          <w:rFonts w:ascii="Times New Roman" w:hAnsi="Times New Roman"/>
          <w:sz w:val="20"/>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 </w:t>
      </w:r>
    </w:p>
    <w:p>
      <w:pPr>
        <w:pStyle w:val="TextBody"/>
        <w:bidi w:val="0"/>
        <w:spacing w:before="120" w:after="0"/>
        <w:jc w:val="left"/>
        <w:rPr>
          <w:rFonts w:ascii="Times New Roman" w:hAnsi="Times New Roman"/>
          <w:sz w:val="20"/>
        </w:rPr>
      </w:pPr>
      <w:r>
        <w:rPr>
          <w:rFonts w:ascii="Times New Roman" w:hAnsi="Times New Roman"/>
          <w:sz w:val="20"/>
        </w:rPr>
        <w:t xml:space="preserve">(5)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Borrowers and the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(C)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p>
    <w:p>
      <w:pPr>
        <w:pStyle w:val="TextBody"/>
        <w:bidi w:val="0"/>
        <w:spacing w:before="0" w:after="0"/>
        <w:jc w:val="left"/>
        <w:rPr>
          <w:rFonts w:ascii="Times New Roman" w:hAnsi="Times New Roman"/>
          <w:sz w:val="20"/>
        </w:rPr>
      </w:pPr>
      <w:r>
        <w:rPr>
          <w:rFonts w:ascii="Times New Roman" w:hAnsi="Times New Roman"/>
          <w:sz w:val="20"/>
        </w:rPr>
        <w:t xml:space="preserve">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whether such Lender has or has not complied with such Lender’s obligations under FATCA and, if necessary, to determine the amount to deduct and withhold from such payment. Solely for purposes of this clause (ii),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Each Lender that is a U.K. Non-Bank Lender (excluding for the purposes of this </w:t>
      </w:r>
      <w:r>
        <w:rPr>
          <w:rFonts w:ascii="Times New Roman" w:hAnsi="Times New Roman"/>
          <w:sz w:val="20"/>
          <w:u w:val="single"/>
        </w:rPr>
        <w:t>Section 2.16(e)</w:t>
      </w:r>
      <w:r>
        <w:rPr>
          <w:rFonts w:ascii="Times New Roman" w:hAnsi="Times New Roman"/>
          <w:sz w:val="20"/>
        </w:rPr>
        <w:t xml:space="preserve"> only, clause (b) of the definition of U.K. Non-Bank Lender) shall, on the date on which it becomes a Lender to any U.K. Borrower, provide to that U.K. Borrower a Tax Confirmation. A U.K. Non-Bank Lender which is a Lender to a U.K. Borrower on the date of this Agreement gives a Tax Confirmation to that U.K. Borrower by entering into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and, with respect to any Tax Withholdings in respect of Tax in the U.K.: </w:t>
      </w:r>
    </w:p>
    <w:p>
      <w:pPr>
        <w:pStyle w:val="TextBody"/>
        <w:bidi w:val="0"/>
        <w:spacing w:before="120" w:after="0"/>
        <w:jc w:val="left"/>
        <w:rPr>
          <w:rFonts w:ascii="Times New Roman" w:hAnsi="Times New Roman"/>
          <w:sz w:val="20"/>
        </w:rPr>
      </w:pPr>
      <w:r>
        <w:rPr>
          <w:rFonts w:ascii="Times New Roman" w:hAnsi="Times New Roman"/>
          <w:sz w:val="20"/>
        </w:rPr>
        <w:t xml:space="preserve">(E)     a Loan Party shall promptly upon becoming aware that it must make such a Tax Withholding (or that there is any change in the rate or the basis of a Tax Withholding) notify the Administrative Agent accordingly. Similarly, a Lender shall notify the relevant Borrower and the Administrative Agent on becoming so aware in respect of a payment payable to that Lender. If the Administrative Agent or the relevant Borrower receives such notification from a Lender it shall notify the relevant Loan Party; </w:t>
      </w:r>
    </w:p>
    <w:p>
      <w:pPr>
        <w:pStyle w:val="TextBody"/>
        <w:bidi w:val="0"/>
        <w:spacing w:before="120" w:after="0"/>
        <w:jc w:val="left"/>
        <w:rPr>
          <w:rFonts w:ascii="Times New Roman" w:hAnsi="Times New Roman"/>
          <w:sz w:val="20"/>
        </w:rPr>
      </w:pPr>
      <w:r>
        <w:rPr>
          <w:rFonts w:ascii="Times New Roman" w:hAnsi="Times New Roman"/>
          <w:sz w:val="20"/>
        </w:rPr>
        <w:t xml:space="preserve">(F)    subject to sub-clause (G) below, the relevant Lender and each relevant Loan Party shall co-operate in completing any procedural formalities necessary for such Loan Party to make payments to such Lender without such a Tax Withholding; </w:t>
      </w:r>
    </w:p>
    <w:p>
      <w:pPr>
        <w:pStyle w:val="TextBody"/>
        <w:bidi w:val="0"/>
        <w:spacing w:before="120" w:after="0"/>
        <w:jc w:val="left"/>
        <w:rPr>
          <w:rFonts w:ascii="Times New Roman" w:hAnsi="Times New Roman"/>
          <w:sz w:val="20"/>
        </w:rPr>
      </w:pPr>
      <w:r>
        <w:rPr>
          <w:rFonts w:ascii="Times New Roman" w:hAnsi="Times New Roman"/>
          <w:sz w:val="20"/>
        </w:rPr>
        <w:t xml:space="preserve">(G)     each Lender to a U.K. Borrower that holds a passport under the HMRC DT Treaty Passport scheme and which wishes that scheme to apply in relation to this Agreement shall confirm to the relevant U.K. Borrower and the Administrative Agent, on the date on which it becomes a Lender, its scheme reference number and jurisdiction of tax residence and having done so, to the extent such passport is and remains valid, such Lender shall have no further obligations pursuant to sub-clause (F) above or, with respect to any Tax Witholdings in respect of tax in the U.K., </w:t>
      </w:r>
      <w:r>
        <w:rPr>
          <w:rFonts w:ascii="Times New Roman" w:hAnsi="Times New Roman"/>
          <w:sz w:val="20"/>
          <w:u w:val="single"/>
        </w:rPr>
        <w:t>Section 2.16(e)(i)</w:t>
      </w:r>
      <w:r>
        <w:rPr>
          <w:rFonts w:ascii="Times New Roman" w:hAnsi="Times New Roman"/>
          <w:sz w:val="20"/>
        </w:rPr>
        <w:t xml:space="preserve"> in each case with respect to the relevant U.K. Borrower; and </w:t>
      </w:r>
    </w:p>
    <w:p>
      <w:pPr>
        <w:pStyle w:val="TextBody"/>
        <w:bidi w:val="0"/>
        <w:spacing w:before="120" w:after="0"/>
        <w:jc w:val="left"/>
        <w:rPr>
          <w:rFonts w:ascii="Times New Roman" w:hAnsi="Times New Roman"/>
          <w:sz w:val="20"/>
        </w:rPr>
      </w:pPr>
      <w:r>
        <w:rPr>
          <w:rFonts w:ascii="Times New Roman" w:hAnsi="Times New Roman"/>
          <w:sz w:val="20"/>
        </w:rPr>
        <w:t xml:space="preserve">(H)     where a Lender has provided a confirmation pursuant to sub-clause (G) of its scheme reference number and jurisdiction of tax residence, any U.K. Borrower, and any other Loan Party from whom payments under a Loan Document would be subject to a Tax Withholding in respect of Tax in the U.K., shall file a duly completed HMRC Form DTTP2 in respect of this Agreement within 30 days of receipt of such details or, if later, within 30 days of becoming a Borrower or Loan Party pursuant to this Agreement and promptly deliver a copy of that filed Form DTTP2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 other provision of this </w:t>
      </w:r>
      <w:r>
        <w:rPr>
          <w:rFonts w:ascii="Times New Roman" w:hAnsi="Times New Roman"/>
          <w:sz w:val="20"/>
          <w:u w:val="single"/>
        </w:rPr>
        <w:t>Section 2.16(e)</w:t>
      </w:r>
      <w:r>
        <w:rPr>
          <w:rFonts w:ascii="Times New Roman" w:hAnsi="Times New Roman"/>
          <w:sz w:val="20"/>
        </w:rPr>
        <w:t xml:space="preserve">, a Lender shall not be required to deliver any form or certification that such Lender is not legally eligible to deliver. </w:t>
      </w:r>
    </w:p>
    <w:p>
      <w:pPr>
        <w:pStyle w:val="TextBody"/>
        <w:bidi w:val="0"/>
        <w:spacing w:before="120" w:after="0"/>
        <w:jc w:val="left"/>
        <w:rPr>
          <w:rFonts w:ascii="Times New Roman" w:hAnsi="Times New Roman"/>
          <w:sz w:val="20"/>
        </w:rPr>
      </w:pPr>
      <w:r>
        <w:rPr>
          <w:rFonts w:ascii="Times New Roman" w:hAnsi="Times New Roman"/>
          <w:sz w:val="20"/>
        </w:rPr>
        <w:t xml:space="preserve">(iv)     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sz w:val="20"/>
          <w:u w:val="single"/>
        </w:rPr>
        <w:t>Section 2.16(e)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If the Borrowers determine in good faith that a reasonable basis exists for contesting any Taxes for which indemnification has been demanded hereunder, the Administrative Agent or the relevant Lender, as applicable, shall use commercially reasonable efforts to cooperate with the Borrowers in a reasonable challenge of such Taxes if so requested by the Borrowers, </w:t>
      </w:r>
      <w:r>
        <w:rPr>
          <w:rFonts w:ascii="Times New Roman" w:hAnsi="Times New Roman"/>
          <w:sz w:val="20"/>
          <w:u w:val="single"/>
        </w:rPr>
        <w:t>provided</w:t>
      </w:r>
      <w:r>
        <w:rPr>
          <w:rFonts w:ascii="Times New Roman" w:hAnsi="Times New Roman"/>
          <w:sz w:val="20"/>
        </w:rPr>
        <w:t xml:space="preserve"> that (a) the Administrative Agent or such Lender determines in its reasonable discretion that it would not be subject to any unreimbursed third party cost or expense or otherwise be prejudiced by cooperating in such challenge, (b) the Borrowers pay all related expenses of the Administrative Agent or such Lender, as applicable and (c) the Borrowers indemnify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Borrowers or with respect to which the Borrowers have paid additional amounts pursuant to this </w:t>
      </w:r>
      <w:r>
        <w:rPr>
          <w:rFonts w:ascii="Times New Roman" w:hAnsi="Times New Roman"/>
          <w:sz w:val="20"/>
          <w:u w:val="single"/>
        </w:rPr>
        <w:t>Section 2.16</w:t>
      </w:r>
      <w:r>
        <w:rPr>
          <w:rFonts w:ascii="Times New Roman" w:hAnsi="Times New Roman"/>
          <w:sz w:val="20"/>
        </w:rPr>
        <w:t xml:space="preserve">, it shall pay over such refund to the Borrowers (but only to the extent of indemnity payments made, or additional amounts paid, by the Borrowers under this </w:t>
      </w:r>
      <w:r>
        <w:rPr>
          <w:rFonts w:ascii="Times New Roman" w:hAnsi="Times New Roman"/>
          <w:sz w:val="20"/>
          <w:u w:val="single"/>
        </w:rPr>
        <w:t>Section 2.16</w:t>
      </w:r>
      <w:r>
        <w:rPr>
          <w:rFonts w:ascii="Times New Roman" w:hAnsi="Times New Roman"/>
          <w:sz w:val="20"/>
        </w:rPr>
        <w:t xml:space="preserve">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Borrowers, upon the request of the Administrative Agent or such Lender, agree promptly to repay the amount paid over to the Borrowers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Borrowers with a copy of any notice of assessment or other evidence of the requirement to repay such refund received from the relevant Governmental Authority (</w:t>
      </w:r>
      <w:r>
        <w:rPr>
          <w:rFonts w:ascii="Times New Roman" w:hAnsi="Times New Roman"/>
          <w:sz w:val="20"/>
          <w:u w:val="single"/>
        </w:rPr>
        <w:t>provided</w:t>
      </w:r>
      <w:r>
        <w:rPr>
          <w:rFonts w:ascii="Times New Roman" w:hAnsi="Times New Roman"/>
          <w:sz w:val="20"/>
        </w:rPr>
        <w:t xml:space="preserve"> that the Administrative Agent or such Lender may delete any information therein that the Administrative Agent or such Lender deems confidential). Notwithstanding anything to the contrary, this </w:t>
      </w:r>
      <w:r>
        <w:rPr>
          <w:rFonts w:ascii="Times New Roman" w:hAnsi="Times New Roman"/>
          <w:sz w:val="20"/>
          <w:u w:val="single"/>
        </w:rPr>
        <w:t>Section 2.16(f)</w:t>
      </w:r>
      <w:r>
        <w:rPr>
          <w:rFonts w:ascii="Times New Roman" w:hAnsi="Times New Roman"/>
          <w:sz w:val="20"/>
        </w:rPr>
        <w:t xml:space="preserve"> shall not be construed to require the Administrative Agent or any Lender to make available its Tax returns (or any other information relating to Taxes which it deems confidential) to any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The agreements in this </w:t>
      </w:r>
      <w:r>
        <w:rPr>
          <w:rFonts w:ascii="Times New Roman" w:hAnsi="Times New Roman"/>
          <w:sz w:val="20"/>
          <w:u w:val="single"/>
        </w:rPr>
        <w:t>Section 2.16</w:t>
      </w:r>
      <w:r>
        <w:rPr>
          <w:rFonts w:ascii="Times New Roman" w:hAnsi="Times New Roman"/>
          <w:sz w:val="20"/>
        </w:rPr>
        <w:t xml:space="preserve"> shall survive the resignation or replacement of the Administrative Agent or any assignment of rights by, or the replacement of, a Lender, the termination of this Agreement and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w:t>
      </w:r>
      <w:r>
        <w:rPr>
          <w:rFonts w:ascii="Times New Roman" w:hAnsi="Times New Roman"/>
          <w:sz w:val="20"/>
          <w:u w:val="single"/>
        </w:rPr>
        <w:t>Section 2.16</w:t>
      </w:r>
      <w:r>
        <w:rPr>
          <w:rFonts w:ascii="Times New Roman" w:hAnsi="Times New Roman"/>
          <w:sz w:val="20"/>
        </w:rPr>
        <w:t xml:space="preserve">, the term “Lender” shall include any Participant, any Issuing Bank and the Swingline Lender.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VAT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amounts expressed to be payable under a Loan Document by any party to a Lender which (in whole or in part) constitute the consideration for a supply or supplies for VAT purposes shall be deemed to be exclusive of any VAT which is chargeable on such supply or supplies and accordingly, subject to paragraph (i) below if VAT is or becomes chargeable on any supply or supplies made by any Lender to any party in connection with a Loan Document, and such Lender is required to account to the relevant tax authority for the VAT, that party shall pay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p>
    <w:p>
      <w:pPr>
        <w:pStyle w:val="TextBody"/>
        <w:bidi w:val="0"/>
        <w:spacing w:before="0" w:after="0"/>
        <w:jc w:val="left"/>
        <w:rPr>
          <w:rFonts w:ascii="Times New Roman" w:hAnsi="Times New Roman"/>
          <w:sz w:val="20"/>
        </w:rPr>
      </w:pPr>
      <w:r>
        <w:rPr>
          <w:rFonts w:ascii="Times New Roman" w:hAnsi="Times New Roman"/>
          <w:sz w:val="20"/>
        </w:rPr>
        <w:t xml:space="preserve">to the Lender (in addition to and at the same time as paying the consideration for that supply or supplies) an amount equal to the amount of the VAT upon such Lender providing an appropriate VAT invoice to such party. </w:t>
      </w:r>
    </w:p>
    <w:p>
      <w:pPr>
        <w:pStyle w:val="TextBody"/>
        <w:bidi w:val="0"/>
        <w:spacing w:before="120" w:after="0"/>
        <w:jc w:val="left"/>
        <w:rPr>
          <w:rFonts w:ascii="Times New Roman" w:hAnsi="Times New Roman"/>
          <w:sz w:val="20"/>
        </w:rPr>
      </w:pPr>
      <w:r>
        <w:rPr>
          <w:rFonts w:ascii="Times New Roman" w:hAnsi="Times New Roman"/>
          <w:sz w:val="20"/>
        </w:rPr>
        <w:t>(ii)     If VAT is or becomes chargeable on any supply made by any Lender (the “</w:t>
      </w:r>
      <w:r>
        <w:rPr>
          <w:rFonts w:ascii="Times New Roman" w:hAnsi="Times New Roman"/>
          <w:sz w:val="20"/>
          <w:u w:val="single"/>
        </w:rPr>
        <w:t>Supplier</w:t>
      </w:r>
      <w:r>
        <w:rPr>
          <w:rFonts w:ascii="Times New Roman" w:hAnsi="Times New Roman"/>
          <w:sz w:val="20"/>
        </w:rPr>
        <w:t>”) to any other Lender (the “</w:t>
      </w:r>
      <w:r>
        <w:rPr>
          <w:rFonts w:ascii="Times New Roman" w:hAnsi="Times New Roman"/>
          <w:sz w:val="20"/>
          <w:u w:val="single"/>
        </w:rPr>
        <w:t>VAT Recipient</w:t>
      </w:r>
      <w:r>
        <w:rPr>
          <w:rFonts w:ascii="Times New Roman" w:hAnsi="Times New Roman"/>
          <w:sz w:val="20"/>
        </w:rPr>
        <w:t>”) under a Loan Document, and any party other than the VAT Recipient (the “</w:t>
      </w:r>
      <w:r>
        <w:rPr>
          <w:rFonts w:ascii="Times New Roman" w:hAnsi="Times New Roman"/>
          <w:sz w:val="20"/>
          <w:u w:val="single"/>
        </w:rPr>
        <w:t>Relevant Party</w:t>
      </w:r>
      <w:r>
        <w:rPr>
          <w:rFonts w:ascii="Times New Roman" w:hAnsi="Times New Roman"/>
          <w:sz w:val="20"/>
        </w:rPr>
        <w:t xml:space="preserve">”) is required by the terms of any Loan Document to pay an amount equal to the consideration for that supply to the Supplier (rather than being required to reimburse or indemnify the VAT Recipient in respect of that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     (where the Supplier is the person required to account to the relevant tax authority for the VAT) the Lender must also pay to the Supplier (at the same time as paying that amount) an additional amount equal to the amount of the VAT. The VAT Recipient must (where this paragraph applies) promptly pay to the Relevant Party an amount equal to any credit or repayment the VAT Recipient receives from the relevant tax authority which the VAT Recipient reasonably determines relates to the VAT chargeable on that supply; and </w:t>
      </w:r>
    </w:p>
    <w:p>
      <w:pPr>
        <w:pStyle w:val="TextBody"/>
        <w:bidi w:val="0"/>
        <w:spacing w:before="120" w:after="0"/>
        <w:jc w:val="left"/>
        <w:rPr>
          <w:rFonts w:ascii="Times New Roman" w:hAnsi="Times New Roman"/>
          <w:sz w:val="20"/>
        </w:rPr>
      </w:pPr>
      <w:r>
        <w:rPr>
          <w:rFonts w:ascii="Times New Roman" w:hAnsi="Times New Roman"/>
          <w:sz w:val="20"/>
        </w:rPr>
        <w:t xml:space="preserve">(B)     (where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 </w:t>
      </w:r>
    </w:p>
    <w:p>
      <w:pPr>
        <w:pStyle w:val="TextBody"/>
        <w:bidi w:val="0"/>
        <w:spacing w:before="120" w:after="0"/>
        <w:jc w:val="left"/>
        <w:rPr>
          <w:rFonts w:ascii="Times New Roman" w:hAnsi="Times New Roman"/>
          <w:sz w:val="20"/>
        </w:rPr>
      </w:pPr>
      <w:r>
        <w:rPr>
          <w:rFonts w:ascii="Times New Roman" w:hAnsi="Times New Roman"/>
          <w:sz w:val="20"/>
        </w:rPr>
        <w:t xml:space="preserve">(iii)     Where a Loan Document requires any party to reimburse or indemnify a Lender for any costs or expenses, that party shall reimburse or indemnify (as the case may be) the Lender against any VAT incurred by the Lender in respect of the costs or expenses, to the extent that the Lender reasonably determines that neither it nor any group of which it is a member for VAT purposes is entitled to credit or receive repayment in respect of the VAT from the relevant tax authority. </w:t>
      </w:r>
    </w:p>
    <w:p>
      <w:pPr>
        <w:pStyle w:val="TextBody"/>
        <w:bidi w:val="0"/>
        <w:spacing w:before="120" w:after="0"/>
        <w:jc w:val="left"/>
        <w:rPr>
          <w:rFonts w:ascii="Times New Roman" w:hAnsi="Times New Roman"/>
          <w:sz w:val="20"/>
        </w:rPr>
      </w:pPr>
      <w:r>
        <w:rPr>
          <w:rFonts w:ascii="Times New Roman" w:hAnsi="Times New Roman"/>
          <w:sz w:val="20"/>
        </w:rPr>
        <w:t xml:space="preserve">(iv)     Any reference in this </w:t>
      </w:r>
      <w:r>
        <w:rPr>
          <w:rFonts w:ascii="Times New Roman" w:hAnsi="Times New Roman"/>
          <w:sz w:val="20"/>
          <w:u w:val="single"/>
        </w:rPr>
        <w:t>Section 2.16</w:t>
      </w:r>
      <w:r>
        <w:rPr>
          <w:rFonts w:ascii="Times New Roman" w:hAnsi="Times New Roman"/>
          <w:sz w:val="20"/>
        </w:rPr>
        <w:t xml:space="preserve"> to any party shall, at any time when such party is treated as a member of a group or unity (or fiscal unity) for VAT purposes, include (where appropriate and unless the context otherwise requires) a reference to the person who is treated a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or is a former member state of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(v)     In relation to any supply made by a Lender to any party under a Loan Document, if reasonably requested by such Lender, that party must promptly provide such Lender with details of that formation as is reasonably requested in connection with such porting requirements in relation to such supply. </w:t>
      </w:r>
    </w:p>
    <w:p>
      <w:pPr>
        <w:pStyle w:val="TextBody"/>
        <w:bidi w:val="0"/>
        <w:spacing w:before="36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make each payment required to be made by it under any Loan Document (whether of principal, interest, fees or reimbursement of LC Disbursements, or of amounts payable under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or </w:t>
      </w:r>
      <w:r>
        <w:rPr>
          <w:rFonts w:ascii="Times New Roman" w:hAnsi="Times New Roman"/>
          <w:sz w:val="20"/>
          <w:u w:val="single"/>
        </w:rPr>
        <w:t>2.16</w:t>
      </w:r>
      <w:r>
        <w:rPr>
          <w:rFonts w:ascii="Times New Roman" w:hAnsi="Times New Roman"/>
          <w:sz w:val="20"/>
        </w:rPr>
        <w:t xml:space="preserve">, or otherwise) prior to the time expressly required hereunder or under such other Loan Document for such payment (or, if no such time is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p>
    <w:p>
      <w:pPr>
        <w:pStyle w:val="TextBody"/>
        <w:bidi w:val="0"/>
        <w:spacing w:before="0" w:after="0"/>
        <w:jc w:val="left"/>
        <w:rPr>
          <w:rFonts w:ascii="Times New Roman" w:hAnsi="Times New Roman"/>
          <w:sz w:val="20"/>
        </w:rPr>
      </w:pPr>
      <w:r>
        <w:rPr>
          <w:rFonts w:ascii="Times New Roman" w:hAnsi="Times New Roman"/>
          <w:sz w:val="20"/>
        </w:rPr>
        <w:t xml:space="preserve">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All payments by the Borrowers hereunder with respect to principal of and interest on Loans denominated in an Alternative Currency shall be made in such Alternative Currency to such account as may be specified by the Administrative Agent. Except as otherwise provided herein, if any payment under any Loan Document shall be due on a day that is not a Business Day, the date for payment shall be extended to the next succeeding Business Day. If any payment on a Eurodollar Loan </w:t>
      </w:r>
      <w:r>
        <w:rPr>
          <w:rFonts w:ascii="Times New Roman" w:hAnsi="Times New Roman"/>
          <w:color w:val="0000FF"/>
          <w:sz w:val="20"/>
          <w:u w:val="single"/>
          <w:bdr w:val="double" w:sz="2" w:space="1" w:color="000000"/>
        </w:rPr>
        <w:t>or Term Benchmark Loan</w:t>
      </w:r>
      <w:r>
        <w:rPr>
          <w:rFonts w:ascii="Times New Roman" w:hAnsi="Times New Roman"/>
          <w:sz w:val="20"/>
        </w:rPr>
        <w:t xml:space="preserve">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(b)     If at any time insufficient funds are received by and available to the Administrative Agent to pay fully all amounts of principal, unreimbursed LC Disbursements, interest and fees then due hereunder, such funds shall be applied (i) </w:t>
      </w:r>
      <w:r>
        <w:rPr>
          <w:rFonts w:ascii="Times New Roman" w:hAnsi="Times New Roman"/>
          <w:sz w:val="20"/>
          <w:u w:val="single"/>
        </w:rPr>
        <w:t>first</w:t>
      </w:r>
      <w:r>
        <w:rPr>
          <w:rFonts w:ascii="Times New Roman" w:hAnsi="Times New Roman"/>
          <w:sz w:val="20"/>
        </w:rPr>
        <w:t>, towards payment of interest and fees then due hereunder, ratably among the parties entitled thereto in accordance with the amounts of interest and fees then due to such parties, and (ii) </w:t>
      </w:r>
      <w:r>
        <w:rPr>
          <w:rFonts w:ascii="Times New Roman" w:hAnsi="Times New Roman"/>
          <w:sz w:val="20"/>
          <w:u w:val="single"/>
        </w:rPr>
        <w:t>second</w:t>
      </w:r>
      <w:r>
        <w:rPr>
          <w:rFonts w:ascii="Times New Roman" w:hAnsi="Times New Roman"/>
          <w:sz w:val="20"/>
        </w:rPr>
        <w:t xml:space="preserve">, towards payment of principal and unreimbursed LC Disbursements then due hereunder, ratably among the parties entitled thereto in accordance with the amounts of principal and unreimbursed LC Disbursements then due to such parties. </w:t>
      </w:r>
    </w:p>
    <w:p>
      <w:pPr>
        <w:pStyle w:val="TextBody"/>
        <w:bidi w:val="0"/>
        <w:spacing w:before="240" w:after="0"/>
        <w:jc w:val="left"/>
        <w:rPr>
          <w:rFonts w:ascii="Times New Roman" w:hAnsi="Times New Roman"/>
          <w:sz w:val="20"/>
        </w:rPr>
      </w:pPr>
      <w:r>
        <w:rPr>
          <w:rFonts w:ascii="Times New Roman" w:hAnsi="Times New Roman"/>
          <w:sz w:val="20"/>
        </w:rPr>
        <w:t>(c)     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w:t>
      </w:r>
      <w:r>
        <w:rPr>
          <w:rFonts w:ascii="Times New Roman" w:hAnsi="Times New Roman"/>
          <w:sz w:val="20"/>
          <w:u w:val="single"/>
        </w:rPr>
        <w:t xml:space="preserve"> 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Borrowers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Borrowers consent to the foregoing and agree, to the extent it may effectively do so under applicable law, that any Lender acquiring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p>
    <w:p>
      <w:pPr>
        <w:pStyle w:val="TextBody"/>
        <w:bidi w:val="0"/>
        <w:spacing w:before="0" w:after="0"/>
        <w:jc w:val="left"/>
        <w:rPr>
          <w:rFonts w:ascii="Times New Roman" w:hAnsi="Times New Roman"/>
          <w:sz w:val="20"/>
        </w:rPr>
      </w:pPr>
      <w:r>
        <w:rPr>
          <w:rFonts w:ascii="Times New Roman" w:hAnsi="Times New Roman"/>
          <w:sz w:val="20"/>
        </w:rPr>
        <w:t xml:space="preserve">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shall have received notice from the Borrowers prior to the date on which any payment is due to the Administrative Agent for the account of the Lenders or the Issuing Banks hereunder that the Borrowers will not make such payment, the Administrative Agent may assume that the Borrowers have made such payment on such date in accordance herewith and may, in reliance upon such assumption and in its sole discretion, distribute to the Lenders or Issuing Banks, as the case may be, the amount due. In such event, if the Borrowers have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(e)     If any Lender shall fail to make any payment required to be made by it pursuant to </w:t>
      </w:r>
      <w:r>
        <w:rPr>
          <w:rFonts w:ascii="Times New Roman" w:hAnsi="Times New Roman"/>
          <w:sz w:val="20"/>
          <w:u w:val="single"/>
        </w:rPr>
        <w:t>Section 2.04(e)</w:t>
      </w:r>
      <w:r>
        <w:rPr>
          <w:rFonts w:ascii="Times New Roman" w:hAnsi="Times New Roman"/>
          <w:sz w:val="20"/>
        </w:rPr>
        <w:t xml:space="preserve"> or </w:t>
      </w:r>
      <w:r>
        <w:rPr>
          <w:rFonts w:ascii="Times New Roman" w:hAnsi="Times New Roman"/>
          <w:sz w:val="20"/>
          <w:u w:val="single"/>
        </w:rPr>
        <w:t>Section 2.04(f)</w:t>
      </w:r>
      <w:r>
        <w:rPr>
          <w:rFonts w:ascii="Times New Roman" w:hAnsi="Times New Roman"/>
          <w:sz w:val="20"/>
        </w:rPr>
        <w:t xml:space="preserve">, </w:t>
      </w:r>
      <w:r>
        <w:rPr>
          <w:rFonts w:ascii="Times New Roman" w:hAnsi="Times New Roman"/>
          <w:sz w:val="20"/>
          <w:u w:val="single"/>
        </w:rPr>
        <w:t>Section 2.05(a)</w:t>
      </w:r>
      <w:r>
        <w:rPr>
          <w:rFonts w:ascii="Times New Roman" w:hAnsi="Times New Roman"/>
          <w:sz w:val="20"/>
        </w:rPr>
        <w:t xml:space="preserve"> or </w:t>
      </w:r>
      <w:r>
        <w:rPr>
          <w:rFonts w:ascii="Times New Roman" w:hAnsi="Times New Roman"/>
          <w:sz w:val="20"/>
          <w:u w:val="single"/>
        </w:rPr>
        <w:t>Section 2.05(b)</w:t>
      </w:r>
      <w:r>
        <w:rPr>
          <w:rFonts w:ascii="Times New Roman" w:hAnsi="Times New Roman"/>
          <w:sz w:val="20"/>
        </w:rPr>
        <w:t xml:space="preserve">, </w:t>
      </w:r>
      <w:r>
        <w:rPr>
          <w:rFonts w:ascii="Times New Roman" w:hAnsi="Times New Roman"/>
          <w:sz w:val="20"/>
          <w:u w:val="single"/>
        </w:rPr>
        <w:t>Section 2.17(d)</w:t>
      </w:r>
      <w:r>
        <w:rPr>
          <w:rFonts w:ascii="Times New Roman" w:hAnsi="Times New Roman"/>
          <w:sz w:val="20"/>
        </w:rPr>
        <w:t xml:space="preserve">, </w:t>
      </w:r>
      <w:r>
        <w:rPr>
          <w:rFonts w:ascii="Times New Roman" w:hAnsi="Times New Roman"/>
          <w:sz w:val="20"/>
          <w:u w:val="single"/>
        </w:rPr>
        <w:t>Section 9.03(c)</w:t>
      </w:r>
      <w:r>
        <w:rPr>
          <w:rFonts w:ascii="Times New Roman" w:hAnsi="Times New Roman"/>
          <w:sz w:val="20"/>
        </w:rPr>
        <w:t xml:space="preserve"> or </w:t>
      </w:r>
      <w:r>
        <w:rPr>
          <w:rFonts w:ascii="Times New Roman" w:hAnsi="Times New Roman"/>
          <w:sz w:val="20"/>
          <w:u w:val="single"/>
        </w:rPr>
        <w:t>Section 9.03(d)</w:t>
      </w:r>
      <w:r>
        <w:rPr>
          <w:rFonts w:ascii="Times New Roman" w:hAnsi="Times New Roman"/>
          <w:sz w:val="20"/>
        </w:rPr>
        <w:t xml:space="preserve">,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 </w:t>
      </w:r>
    </w:p>
    <w:p>
      <w:pPr>
        <w:pStyle w:val="TextBody"/>
        <w:bidi w:val="0"/>
        <w:spacing w:before="36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w:t>
      </w:r>
      <w:r>
        <w:rPr>
          <w:rFonts w:ascii="Times New Roman" w:hAnsi="Times New Roman"/>
          <w:sz w:val="20"/>
          <w:u w:val="single"/>
        </w:rPr>
        <w:t>Section 2.14</w:t>
      </w:r>
      <w:r>
        <w:rPr>
          <w:rFonts w:ascii="Times New Roman" w:hAnsi="Times New Roman"/>
          <w:sz w:val="20"/>
        </w:rPr>
        <w:t xml:space="preserve">, or if a Borrower is required to pay any additional amount or any indemnity or compensatory amount to any Lender or any Governmental Authority for the account of any Lender pursuant to </w:t>
      </w:r>
      <w:r>
        <w:rPr>
          <w:rFonts w:ascii="Times New Roman" w:hAnsi="Times New Roman"/>
          <w:sz w:val="20"/>
          <w:u w:val="single"/>
        </w:rPr>
        <w:t>Section 2.16</w:t>
      </w:r>
      <w:r>
        <w:rPr>
          <w:rFonts w:ascii="Times New Roman" w:hAnsi="Times New Roman"/>
          <w:sz w:val="20"/>
        </w:rPr>
        <w:t xml:space="preserve"> or any event gives rise to the operation of </w:t>
      </w:r>
      <w:r>
        <w:rPr>
          <w:rFonts w:ascii="Times New Roman" w:hAnsi="Times New Roman"/>
          <w:sz w:val="20"/>
          <w:u w:val="single"/>
        </w:rPr>
        <w:t>Section 2.22</w:t>
      </w:r>
      <w:r>
        <w:rPr>
          <w:rFonts w:ascii="Times New Roman" w:hAnsi="Times New Roman"/>
          <w:sz w:val="20"/>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2.16</w:t>
      </w:r>
      <w:r>
        <w:rPr>
          <w:rFonts w:ascii="Times New Roman" w:hAnsi="Times New Roman"/>
          <w:sz w:val="20"/>
        </w:rPr>
        <w:t xml:space="preserve"> or mitigate the applicability of </w:t>
      </w:r>
      <w:r>
        <w:rPr>
          <w:rFonts w:ascii="Times New Roman" w:hAnsi="Times New Roman"/>
          <w:sz w:val="20"/>
          <w:u w:val="single"/>
        </w:rPr>
        <w:t>Section 2.22</w:t>
      </w:r>
      <w:r>
        <w:rPr>
          <w:rFonts w:ascii="Times New Roman" w:hAnsi="Times New Roman"/>
          <w:sz w:val="20"/>
        </w:rPr>
        <w:t xml:space="preserve">,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w:t>
      </w:r>
      <w:r>
        <w:rPr>
          <w:rFonts w:ascii="Times New Roman" w:hAnsi="Times New Roman"/>
          <w:sz w:val="20"/>
          <w:u w:val="single"/>
        </w:rPr>
        <w:t>Section 2.14</w:t>
      </w:r>
      <w:r>
        <w:rPr>
          <w:rFonts w:ascii="Times New Roman" w:hAnsi="Times New Roman"/>
          <w:sz w:val="20"/>
        </w:rPr>
        <w:t xml:space="preserve"> or gives notice under </w:t>
      </w:r>
      <w:r>
        <w:rPr>
          <w:rFonts w:ascii="Times New Roman" w:hAnsi="Times New Roman"/>
          <w:sz w:val="20"/>
          <w:u w:val="single"/>
        </w:rPr>
        <w:t>Section 2.22</w:t>
      </w:r>
      <w:r>
        <w:rPr>
          <w:rFonts w:ascii="Times New Roman" w:hAnsi="Times New Roman"/>
          <w:sz w:val="20"/>
        </w:rPr>
        <w:t xml:space="preserve">, (ii) a Borrower is required to pay any additional amount or any indemnity or compensatory amount to any Lender or to any Governmental Authority for the account of any Lender pursuant to </w:t>
      </w:r>
      <w:r>
        <w:rPr>
          <w:rFonts w:ascii="Times New Roman" w:hAnsi="Times New Roman"/>
          <w:sz w:val="20"/>
          <w:u w:val="single"/>
        </w:rPr>
        <w:t>Section 2.16</w:t>
      </w:r>
      <w:r>
        <w:rPr>
          <w:rFonts w:ascii="Times New Roman" w:hAnsi="Times New Roman"/>
          <w:sz w:val="20"/>
        </w:rPr>
        <w:t xml:space="preserve">, (iii) any Lender is a Disqualified Lender or (iv) any Lender is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and the other Loan Documents to an Eligible Assignee that shall assume such obligations (which assignee may be another Lender, if a Lender accepts such assignment and delegation); </w:t>
      </w:r>
      <w:r>
        <w:rPr>
          <w:rFonts w:ascii="Times New Roman" w:hAnsi="Times New Roman"/>
          <w:sz w:val="20"/>
          <w:u w:val="single"/>
        </w:rPr>
        <w:t>provided</w:t>
      </w:r>
      <w:r>
        <w:rPr>
          <w:rFonts w:ascii="Times New Roman" w:hAnsi="Times New Roman"/>
          <w:sz w:val="20"/>
        </w:rPr>
        <w:t xml:space="preserve"> that (A) the Borrowers shall have received the prior written consent of the Administrative Agent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p>
    <w:p>
      <w:pPr>
        <w:pStyle w:val="TextBody"/>
        <w:bidi w:val="0"/>
        <w:spacing w:before="0" w:after="0"/>
        <w:jc w:val="left"/>
        <w:rPr>
          <w:rFonts w:ascii="Times New Roman" w:hAnsi="Times New Roman"/>
          <w:sz w:val="20"/>
        </w:rPr>
      </w:pPr>
      <w:r>
        <w:rPr>
          <w:rFonts w:ascii="Times New Roman" w:hAnsi="Times New Roman"/>
          <w:sz w:val="20"/>
        </w:rPr>
        <w:t xml:space="preserve">such consent would be required under </w:t>
      </w:r>
      <w:r>
        <w:rPr>
          <w:rFonts w:ascii="Times New Roman" w:hAnsi="Times New Roman"/>
          <w:sz w:val="20"/>
          <w:u w:val="single"/>
        </w:rPr>
        <w:t>Section 9.04(b)</w:t>
      </w:r>
      <w:r>
        <w:rPr>
          <w:rFonts w:ascii="Times New Roman" w:hAnsi="Times New Roman"/>
          <w:sz w:val="20"/>
        </w:rPr>
        <w:t xml:space="preserve">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Borrowers (in the case of all other amounts), (C) the Borrowers or such assignee shall have paid (unless waived) to the Administrative Agent the processing and recordation fee specified in </w:t>
      </w:r>
      <w:r>
        <w:rPr>
          <w:rFonts w:ascii="Times New Roman" w:hAnsi="Times New Roman"/>
          <w:sz w:val="20"/>
          <w:u w:val="single"/>
        </w:rPr>
        <w:t>Section 9.04(b)(ii)</w:t>
      </w:r>
      <w:r>
        <w:rPr>
          <w:rFonts w:ascii="Times New Roman" w:hAnsi="Times New Roman"/>
          <w:sz w:val="20"/>
        </w:rPr>
        <w:t xml:space="preserve"> and (D) in the case of any such assignment resulting from a claim for compensation under </w:t>
      </w:r>
      <w:r>
        <w:rPr>
          <w:rFonts w:ascii="Times New Roman" w:hAnsi="Times New Roman"/>
          <w:sz w:val="20"/>
          <w:u w:val="single"/>
        </w:rPr>
        <w:t>Section 2.14</w:t>
      </w:r>
      <w:r>
        <w:rPr>
          <w:rFonts w:ascii="Times New Roman" w:hAnsi="Times New Roman"/>
          <w:sz w:val="20"/>
        </w:rPr>
        <w:t xml:space="preserve">, or payments required to be made pursuant to </w:t>
      </w:r>
      <w:r>
        <w:rPr>
          <w:rFonts w:ascii="Times New Roman" w:hAnsi="Times New Roman"/>
          <w:sz w:val="20"/>
          <w:u w:val="single"/>
        </w:rPr>
        <w:t>Section 2.16</w:t>
      </w:r>
      <w:r>
        <w:rPr>
          <w:rFonts w:ascii="Times New Roman" w:hAnsi="Times New Roman"/>
          <w:sz w:val="20"/>
        </w:rPr>
        <w:t xml:space="preserve"> or a notice given under </w:t>
      </w:r>
      <w:r>
        <w:rPr>
          <w:rFonts w:ascii="Times New Roman" w:hAnsi="Times New Roman"/>
          <w:sz w:val="20"/>
          <w:u w:val="single"/>
        </w:rPr>
        <w:t>Section 2.22</w:t>
      </w:r>
      <w:r>
        <w:rPr>
          <w:rFonts w:ascii="Times New Roman" w:hAnsi="Times New Roman"/>
          <w:sz w:val="20"/>
        </w:rPr>
        <w:t xml:space="preserve">,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Borrowers to require such assignment and delegation cease to apply. Each party hereto agrees that an assignment required pursuant to this paragraph may be effected pursuant to an Assignment and Assumption executed by the Borrowers, the Administrative Agent and the assignee and that the Lender required to make such assignment need not be a party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Incremental Credit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Borrowers may at any time or from time to time on one or more occasions after the Effective Date request (i) one or more additional Classes of term loans (each, an “</w:t>
      </w:r>
      <w:r>
        <w:rPr>
          <w:rFonts w:ascii="Times New Roman" w:hAnsi="Times New Roman"/>
          <w:sz w:val="20"/>
          <w:u w:val="single"/>
        </w:rPr>
        <w:t>Incremental Term Facility</w:t>
      </w:r>
      <w:r>
        <w:rPr>
          <w:rFonts w:ascii="Times New Roman" w:hAnsi="Times New Roman"/>
          <w:sz w:val="20"/>
        </w:rPr>
        <w:t>”), (ii) one or more additional term loans of the same Class of any existing Class of term loans (each, an “</w:t>
      </w:r>
      <w:r>
        <w:rPr>
          <w:rFonts w:ascii="Times New Roman" w:hAnsi="Times New Roman"/>
          <w:sz w:val="20"/>
          <w:u w:val="single"/>
        </w:rPr>
        <w:t>Incremental Term Increase</w:t>
      </w:r>
      <w:r>
        <w:rPr>
          <w:rFonts w:ascii="Times New Roman" w:hAnsi="Times New Roman"/>
          <w:sz w:val="20"/>
        </w:rPr>
        <w:t>”), (iii) one or more increases in the amount of the Revolving Commitments of any Class (each such increase, an “</w:t>
      </w:r>
      <w:r>
        <w:rPr>
          <w:rFonts w:ascii="Times New Roman" w:hAnsi="Times New Roman"/>
          <w:sz w:val="20"/>
          <w:u w:val="single"/>
        </w:rPr>
        <w:t>Incremental Revolving Commitment Increase</w:t>
      </w:r>
      <w:r>
        <w:rPr>
          <w:rFonts w:ascii="Times New Roman" w:hAnsi="Times New Roman"/>
          <w:sz w:val="20"/>
        </w:rPr>
        <w:t>”) and/or (iv) one or more additional Classes of Revolving Commitments (the “</w:t>
      </w:r>
      <w:r>
        <w:rPr>
          <w:rFonts w:ascii="Times New Roman" w:hAnsi="Times New Roman"/>
          <w:sz w:val="20"/>
          <w:u w:val="single"/>
        </w:rPr>
        <w:t>Additional/Replacement Revolving Commitments</w:t>
      </w:r>
      <w:r>
        <w:rPr>
          <w:rFonts w:ascii="Times New Roman" w:hAnsi="Times New Roman"/>
          <w:sz w:val="20"/>
        </w:rPr>
        <w:t>,” and, together with any Incremental Term Facility, Incremental Term Increase and the Incremental Revolving Commitment Increases, the “</w:t>
      </w:r>
      <w:r>
        <w:rPr>
          <w:rFonts w:ascii="Times New Roman" w:hAnsi="Times New Roman"/>
          <w:sz w:val="20"/>
          <w:u w:val="single"/>
        </w:rPr>
        <w:t>Incremental Facilities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after giving effect to any Incremental Facility Amendment referred to below and at the time that any such Incremental Facility is made or effected, no Event of Default (or, in the case of the incurrence or provision of any Incremental Facility in connection with a Limited Condition Transaction, no Specified Event of Default) shall have occurred and be continuing and (y) in no event shall it be a condition to the effectiveness of, or borrowing under, any Incremental Facility that any representation or warranty of any Loan Party set forth herein be true and correct, except and solely to the extent required by the Additional Lenders providing such Incremental Facility. Notwithstanding anything to the contrary herein, the aggregate principal amount of the Incremental Facilities that can be incurred at any time shall not exceed the Incremental Cap at such time. Each Incremental Facility shall be in a minimum principal amount of $5,000,000 and integral multiples of $1,000,000 in excess thereof (unless the Borrowers and the Administrative Agent otherwise agree); </w:t>
      </w:r>
      <w:r>
        <w:rPr>
          <w:rFonts w:ascii="Times New Roman" w:hAnsi="Times New Roman"/>
          <w:sz w:val="20"/>
          <w:u w:val="single"/>
        </w:rPr>
        <w:t>provided</w:t>
      </w:r>
      <w:r>
        <w:rPr>
          <w:rFonts w:ascii="Times New Roman" w:hAnsi="Times New Roman"/>
          <w:sz w:val="20"/>
        </w:rPr>
        <w:t xml:space="preserve"> that such amount may be less than $5,000,000 if such amount represents all the remaining availability under the aggregate principal amount of Incremental Facilities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(b)     (i)   The Incremental Term Facilities (a) shall (i) rank equal or junior in right of payment with the Amendment No. 1 Refinancing Term Loans, (ii) if secured, be secured only by the Collateral securing the Secured Obligations (except in the case of any Designated Alternative Security Debt) and (iii) only be guaranteed by the Loan Parties (except in the case of any Designated Alternative Security Debt), (b) except in the case of any Designated Earlier Maturing Debt, shall not mature earlier than the Term Maturity Date, (c) except in the case of any Designated Earlier Maturing Debt, shall not have a shorter Weighted Average Life to Maturity than the remaining Amendment No. 1 Refinancing Term Loans, (d) shall have a maturity date (subject to clause (b)), an amortization schedule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p>
    <w:p>
      <w:pPr>
        <w:pStyle w:val="TextBody"/>
        <w:bidi w:val="0"/>
        <w:spacing w:before="0" w:after="0"/>
        <w:jc w:val="left"/>
        <w:rPr>
          <w:rFonts w:ascii="Times New Roman" w:hAnsi="Times New Roman"/>
          <w:sz w:val="20"/>
        </w:rPr>
      </w:pPr>
      <w:r>
        <w:rPr>
          <w:rFonts w:ascii="Times New Roman" w:hAnsi="Times New Roman"/>
          <w:sz w:val="20"/>
        </w:rPr>
        <w:t xml:space="preserve">clause (c)), interest rates (including through fixed interest rates), “most favored nation” provisions (if any), interest margins, rate floors, upfront fees, funding discounts, original issue discounts, financial covenants (if any) and prepayment terms and premiums and other terms and conditions as determined by the applicable Borrower and the Additional Term Lenders thereunder; </w:t>
      </w:r>
      <w:r>
        <w:rPr>
          <w:rFonts w:ascii="Times New Roman" w:hAnsi="Times New Roman"/>
          <w:sz w:val="20"/>
          <w:u w:val="single"/>
        </w:rPr>
        <w:t>provided</w:t>
      </w:r>
      <w:r>
        <w:rPr>
          <w:rFonts w:ascii="Times New Roman" w:hAnsi="Times New Roman"/>
          <w:sz w:val="20"/>
        </w:rPr>
        <w:t xml:space="preserve"> that, for any Incremental Term Facility that (x) is broadly syndicated to banks and other institutional investors, (y) is a term loan that ranks equal in right of payment with the Amendment No. 1 Refinancing Term Loans and is secured by the Collateral on a </w:t>
      </w:r>
      <w:r>
        <w:rPr>
          <w:rFonts w:ascii="Times New Roman" w:hAnsi="Times New Roman"/>
          <w:sz w:val="20"/>
          <w:u w:val="single"/>
        </w:rPr>
        <w:t>pari passu</w:t>
      </w:r>
      <w:r>
        <w:rPr>
          <w:rFonts w:ascii="Times New Roman" w:hAnsi="Times New Roman"/>
          <w:sz w:val="20"/>
        </w:rPr>
        <w:t xml:space="preserve"> basis with the Secured Obligations and (z) is denominated in dollars, in the event that the Effective Yield for any such Incremental Term Facility is greater than the Effective Yield for the Amendment No. 1 Refinancing Term Loans by more than 0.50% per annum, then the Effective Yield for the Amendment No. 1 Refinancing Term Loans shall be increased to the extent necessary so that the Effective Yield for the Amendment No. 1 Refinancing Term Loans is equal to the Effective Yield for such Incremental Term Facility minus 0.50% per annum (</w:t>
      </w:r>
      <w:r>
        <w:rPr>
          <w:rFonts w:ascii="Times New Roman" w:hAnsi="Times New Roman"/>
          <w:sz w:val="20"/>
          <w:u w:val="single"/>
        </w:rPr>
        <w:t>provided</w:t>
      </w:r>
      <w:r>
        <w:rPr>
          <w:rFonts w:ascii="Times New Roman" w:hAnsi="Times New Roman"/>
          <w:sz w:val="20"/>
        </w:rPr>
        <w:t xml:space="preserve"> that the “LIBOR floor” </w:t>
      </w:r>
      <w:r>
        <w:rPr>
          <w:rFonts w:ascii="Times New Roman" w:hAnsi="Times New Roman"/>
          <w:color w:val="0000FF"/>
          <w:sz w:val="20"/>
          <w:u w:val="single"/>
          <w:bdr w:val="double" w:sz="2" w:space="1" w:color="000000"/>
        </w:rPr>
        <w:t>or “SOFR floor”</w:t>
      </w:r>
      <w:r>
        <w:rPr>
          <w:rFonts w:ascii="Times New Roman" w:hAnsi="Times New Roman"/>
          <w:sz w:val="20"/>
        </w:rPr>
        <w:t xml:space="preserve"> applicable to the outstanding Amendment No. 1 Refinancing Term Loans shall be increased to an amount not to exceed the “LIBOR </w:t>
      </w:r>
      <w:r>
        <w:rPr>
          <w:rFonts w:ascii="Times New Roman" w:hAnsi="Times New Roman"/>
          <w:color w:val="0000FF"/>
          <w:sz w:val="20"/>
          <w:u w:val="single"/>
          <w:bdr w:val="double" w:sz="2" w:space="1" w:color="000000"/>
        </w:rPr>
        <w:t>floor” or “SOFR</w:t>
      </w:r>
      <w:r>
        <w:rPr>
          <w:rFonts w:ascii="Times New Roman" w:hAnsi="Times New Roman"/>
          <w:sz w:val="20"/>
        </w:rPr>
        <w:t xml:space="preserve"> floor” applicable to such Incremental Term Facility prior to any increase in the Applicable Rate applicable to such Amendment No. 1 Refinancing Term Loans then outstanding) and (e) may otherwise have terms and conditions as agreed between the applicable Borrower and the Additional Term Lenders providing any such Incremental Term Facility. </w:t>
      </w:r>
    </w:p>
    <w:p>
      <w:pPr>
        <w:pStyle w:val="TextBody"/>
        <w:bidi w:val="0"/>
        <w:spacing w:before="120" w:after="0"/>
        <w:jc w:val="left"/>
        <w:rPr>
          <w:rFonts w:ascii="Times New Roman" w:hAnsi="Times New Roman"/>
          <w:sz w:val="20"/>
        </w:rPr>
      </w:pPr>
      <w:r>
        <w:rPr>
          <w:rFonts w:ascii="Times New Roman" w:hAnsi="Times New Roman"/>
          <w:sz w:val="20"/>
        </w:rPr>
        <w:t xml:space="preserve">(ii)     The Incremental Term Increases shall be treated the same as the Class of Term Loans being increased (including with respect to maturity date thereof), shall be considered to be part of the Class of Term Loans being increased and shall be on the same terms applicable to such Term Loans (excluding upfront fees and customary arranger fees); </w:t>
      </w:r>
      <w:r>
        <w:rPr>
          <w:rFonts w:ascii="Times New Roman" w:hAnsi="Times New Roman"/>
          <w:sz w:val="20"/>
          <w:u w:val="single"/>
        </w:rPr>
        <w:t>provided</w:t>
      </w:r>
      <w:r>
        <w:rPr>
          <w:rFonts w:ascii="Times New Roman" w:hAnsi="Times New Roman"/>
          <w:sz w:val="20"/>
        </w:rPr>
        <w:t xml:space="preserve"> that (i) the pricing, interest rate margins, “most favored nation” (if any) provisions and rate floors on the Class of Term Loans being increased may be increased and additional upfront or similar fees may be payable to the lenders providing the Incremental Term Increase (without any requirement to pay such fees to any existing Term Lenders) and (ii) such Incremental Term Increase shall be subject to the “most favored nation” pricing adjustment (if applicable) set forth in the proviso to </w:t>
      </w:r>
      <w:r>
        <w:rPr>
          <w:rFonts w:ascii="Times New Roman" w:hAnsi="Times New Roman"/>
          <w:sz w:val="20"/>
          <w:u w:val="single"/>
        </w:rPr>
        <w:t>Section 2.19(b)(i)</w:t>
      </w:r>
      <w:r>
        <w:rPr>
          <w:rFonts w:ascii="Times New Roman" w:hAnsi="Times New Roman"/>
          <w:sz w:val="20"/>
        </w:rPr>
        <w:t xml:space="preserve"> as if such Incremental Term Increase was an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Times New Roman" w:hAnsi="Times New Roman"/>
          <w:sz w:val="20"/>
          <w:u w:val="single"/>
        </w:rPr>
        <w:t>provided</w:t>
      </w:r>
      <w:r>
        <w:rPr>
          <w:rFonts w:ascii="Times New Roman" w:hAnsi="Times New Roman"/>
          <w:sz w:val="20"/>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(iv)     The Additional/Replacement Revolving Commitments (a) shall (i) rank equal or junior in right of payment with the Revolving Loans, (ii) if secured, be secured only by the Collateral securing the Secured Obligations (except in the case of any Designated Alternative Security Debt) and (iii) only be guaranteed by the Loan Parties (except in the case of any Designated Alternative Security Debt),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p>
    <w:p>
      <w:pPr>
        <w:pStyle w:val="TextBody"/>
        <w:bidi w:val="0"/>
        <w:spacing w:before="0" w:after="0"/>
        <w:jc w:val="left"/>
        <w:rPr>
          <w:rFonts w:ascii="Times New Roman" w:hAnsi="Times New Roman"/>
          <w:sz w:val="20"/>
        </w:rPr>
      </w:pPr>
      <w:r>
        <w:rPr>
          <w:rFonts w:ascii="Times New Roman" w:hAnsi="Times New Roman"/>
          <w:sz w:val="20"/>
        </w:rPr>
        <w:t xml:space="preserve">Borrower and Additional Revolving Lenders providing such commitments and (d) may otherwise have terms and conditions as agreed between the applicable Borrower and Additional Revolving Lenders providing any such Additional/Replacement Revolving Commitments. </w:t>
      </w:r>
    </w:p>
    <w:p>
      <w:pPr>
        <w:pStyle w:val="TextBody"/>
        <w:bidi w:val="0"/>
        <w:spacing w:before="120" w:after="0"/>
        <w:jc w:val="left"/>
        <w:rPr>
          <w:rFonts w:ascii="Times New Roman" w:hAnsi="Times New Roman"/>
          <w:sz w:val="20"/>
        </w:rPr>
      </w:pPr>
      <w:r>
        <w:rPr>
          <w:rFonts w:ascii="Times New Roman" w:hAnsi="Times New Roman"/>
          <w:sz w:val="20"/>
        </w:rPr>
        <w:t>(c)     Incremental Facilities shall become Commitments and Loans, as applicable, under this Agreement pursuant to an amendment (an “</w:t>
      </w:r>
      <w:r>
        <w:rPr>
          <w:rFonts w:ascii="Times New Roman" w:hAnsi="Times New Roman"/>
          <w:sz w:val="20"/>
          <w:u w:val="single"/>
        </w:rPr>
        <w:t>Incremental Facility Amendment</w:t>
      </w:r>
      <w:r>
        <w:rPr>
          <w:rFonts w:ascii="Times New Roman" w:hAnsi="Times New Roman"/>
          <w:sz w:val="20"/>
        </w:rPr>
        <w:t xml:space="preserve">”) to this Agreement and, as appropriate, the other Loan Documents, executed by the Borrower Representative, each Lender agreeing to provide such Commitment or Loan, if any, each Additional Lender, if any, and the Administrative Agent. Any Incremental Facility Amendment may provide for the issuance of Letters of Credit for the account of the Revolving Borrowers,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hAnsi="Times New Roman"/>
          <w:sz w:val="20"/>
          <w:u w:val="single"/>
        </w:rPr>
        <w:t>provided</w:t>
      </w:r>
      <w:r>
        <w:rPr>
          <w:rFonts w:ascii="Times New Roman" w:hAnsi="Times New Roman"/>
          <w:sz w:val="20"/>
        </w:rPr>
        <w:t xml:space="preserve"> that no Issuing Bank shall be required to act as “issuing bank” and no Swingline Lender shall be required to act as “swingline lender” under any such Incremental Facility Amendment without its written consent. An Incremental Facility may be provided, subject to the prior written consent of the Borrower Representative (not to be unreasonably withheld), by any existing Lender (it being understood that no existing Lender shall have the right to participate in any Incremental Facility or, unless it agrees, be obligated to provide any Incremental Facilities) or by any Additional Lender. Any loan under an Incremental Facility shall be a “Loan” for all purposes of this Agreement and the other Loan Documents. The Incremental Facility Amendment may, subject to </w:t>
      </w:r>
      <w:r>
        <w:rPr>
          <w:rFonts w:ascii="Times New Roman" w:hAnsi="Times New Roman"/>
          <w:sz w:val="20"/>
          <w:u w:val="single"/>
        </w:rPr>
        <w:t>Section 2.19(b)</w:t>
      </w:r>
      <w:r>
        <w:rPr>
          <w:rFonts w:ascii="Times New Roman" w:hAnsi="Times New Roman"/>
          <w:sz w:val="20"/>
        </w:rPr>
        <w:t xml:space="preserve">, without the consent of any other Lenders, effect such amendments to this Agreement and the other Loan Documents as may be necessary, in the reasonable opinion of the Administrative Agent and the Borrower Representative, to effect the provisions of this </w:t>
      </w:r>
      <w:r>
        <w:rPr>
          <w:rFonts w:ascii="Times New Roman" w:hAnsi="Times New Roman"/>
          <w:sz w:val="20"/>
          <w:u w:val="single"/>
        </w:rPr>
        <w:t>Section 2.19</w:t>
      </w:r>
      <w:r>
        <w:rPr>
          <w:rFonts w:ascii="Times New Roman" w:hAnsi="Times New Roman"/>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w:t>
      </w:r>
      <w:r>
        <w:rPr>
          <w:rFonts w:ascii="Times New Roman" w:hAnsi="Times New Roman"/>
          <w:sz w:val="20"/>
          <w:u w:val="single"/>
        </w:rPr>
        <w:t>Section 2.19</w:t>
      </w:r>
      <w:r>
        <w:rPr>
          <w:rFonts w:ascii="Times New Roman" w:hAnsi="Times New Roman"/>
          <w:sz w:val="20"/>
        </w:rPr>
        <w:t xml:space="preserve">. The Borrowers will use the proceeds of the Incremental Term Loans, Incremental Revolving Commitment Increases and Additional/Replacement Revolving Commitments for any purpose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this </w:t>
      </w:r>
      <w:r>
        <w:rPr>
          <w:rFonts w:ascii="Times New Roman" w:hAnsi="Times New Roman"/>
          <w:sz w:val="20"/>
          <w:u w:val="single"/>
        </w:rPr>
        <w:t>Section 2.19</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after the Effective Date, the Borrowers may obtain, from any Lender or any Additional Lender, Credit Agreement Refinancing Indebtedness in respect of (i) all or any portion of the Term Loans then outstanding under this Agreement (which for purposes of this clause (i) will be deemed to include any then outstanding Other Term Loans), (ii) all or any portion of the Revolving Loans (or unused Revolving Commitments) under this Agreement (which for purposes of this clause (ii) will be deemed to include any then outstanding Other Revolving Loans and Other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p>
    <w:p>
      <w:pPr>
        <w:pStyle w:val="TextBody"/>
        <w:bidi w:val="0"/>
        <w:spacing w:before="0" w:after="0"/>
        <w:jc w:val="left"/>
        <w:rPr>
          <w:rFonts w:ascii="Times New Roman" w:hAnsi="Times New Roman"/>
          <w:sz w:val="20"/>
        </w:rPr>
      </w:pPr>
      <w:r>
        <w:rPr>
          <w:rFonts w:ascii="Times New Roman" w:hAnsi="Times New Roman"/>
          <w:sz w:val="20"/>
        </w:rPr>
        <w:t xml:space="preserve">Commitments) and (iii) all or any portion of Incremental Equivalent Debt, in the form of (x) Other Term Loans or Other Term Commitments or (y) Other Revolving Loans or Other Revolving Commitments, as the case may be, in each case pursuant to a Refinancing Amendment; </w:t>
      </w:r>
      <w:r>
        <w:rPr>
          <w:rFonts w:ascii="Times New Roman" w:hAnsi="Times New Roman"/>
          <w:sz w:val="20"/>
          <w:u w:val="single"/>
        </w:rPr>
        <w:t>provided</w:t>
      </w:r>
      <w:r>
        <w:rPr>
          <w:rFonts w:ascii="Times New Roman" w:hAnsi="Times New Roman"/>
          <w:sz w:val="20"/>
        </w:rPr>
        <w:t xml:space="preserve"> that such Credit Agreement Refinancing Indebtedness (i) will be unsecured or will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(and if secured, subject to the terms of a Customary Intercreditor Agreement), (ii) will have such pricing and optional prepayment terms as may be agreed by the Borrowers and the Lenders thereof, and (iii) the Net Proceeds of such Credit Agreement Refinancing Indebtedness shall be applied, substantially concurrently with the incurrence thereof, to the prepayment of outstanding Term Loans, reduction of Revolving Commitments being so refinanced or the prepayment, satisfaction and discharge or redemption of outstanding Incremental Equivalent Debt, as the case may be. The effectiveness of any Refinancing Amendment shall be subject to the satisfaction on the date thereof of the conditions as agreed between the lenders providing such Credit Agreement Refinancing Indebtedness and the Borrowers and, to the extent reasonably requested by the Administrative Agent, receipt by the Administrative Agent of legal opinions, board resolutions, officers’ certificates and/or reaffirmation agreements consistent with those delivered on the Effective Date under </w:t>
      </w:r>
      <w:r>
        <w:rPr>
          <w:rFonts w:ascii="Times New Roman" w:hAnsi="Times New Roman"/>
          <w:sz w:val="20"/>
          <w:u w:val="single"/>
        </w:rPr>
        <w:t>Section 4.01</w:t>
      </w:r>
      <w:r>
        <w:rPr>
          <w:rFonts w:ascii="Times New Roman" w:hAnsi="Times New Roman"/>
          <w:sz w:val="20"/>
        </w:rPr>
        <w:t xml:space="preserve"> (other than changes to such legal opinions resulting from a change in law, change in fact or change to counsel’s form of opinion reasonably satisfactory to the Administrative Agent). Each Class of Credit Agreement Refinancing Indebtedness incurred under this </w:t>
      </w:r>
      <w:r>
        <w:rPr>
          <w:rFonts w:ascii="Times New Roman" w:hAnsi="Times New Roman"/>
          <w:sz w:val="20"/>
          <w:u w:val="single"/>
        </w:rPr>
        <w:t>Section 2.20</w:t>
      </w:r>
      <w:r>
        <w:rPr>
          <w:rFonts w:ascii="Times New Roman" w:hAnsi="Times New Roman"/>
          <w:sz w:val="20"/>
        </w:rPr>
        <w:t xml:space="preserve"> shall be in an aggregate principal amount that is not less than $5,000,000 and an integral multiple of $1,000,000 in excess thereof (in each case unless the Borrowers and the Administrative Agent otherwise agree). Any Refinancing Amendment may provide for the issuance of Letters of Credit for the account of the Revolving Borrowers, or the provision to the Revolving Borrowers of Swingline Loans, pursuant to any Other Revolving Commitments established thereby, in each case on terms substantially equivalent to the terms applicable to Letters of Credit and Swingline Loans under the Revolving Commitments; </w:t>
      </w:r>
      <w:r>
        <w:rPr>
          <w:rFonts w:ascii="Times New Roman" w:hAnsi="Times New Roman"/>
          <w:sz w:val="20"/>
          <w:u w:val="single"/>
        </w:rPr>
        <w:t>provided</w:t>
      </w:r>
      <w:r>
        <w:rPr>
          <w:rFonts w:ascii="Times New Roman" w:hAnsi="Times New Roman"/>
          <w:sz w:val="20"/>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Borrowers, to effect the provisions of this </w:t>
      </w:r>
      <w:r>
        <w:rPr>
          <w:rFonts w:ascii="Times New Roman" w:hAnsi="Times New Roman"/>
          <w:sz w:val="20"/>
          <w:u w:val="single"/>
        </w:rPr>
        <w:t>Section 2.20</w:t>
      </w:r>
      <w:r>
        <w:rPr>
          <w:rFonts w:ascii="Times New Roman" w:hAnsi="Times New Roman"/>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2.20</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p>
    <w:p>
      <w:pPr>
        <w:pStyle w:val="TextBody"/>
        <w:bidi w:val="0"/>
        <w:spacing w:before="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w:t>
      </w:r>
      <w:r>
        <w:rPr>
          <w:rFonts w:ascii="Times New Roman" w:hAnsi="Times New Roman"/>
          <w:sz w:val="20"/>
          <w:u w:val="single"/>
        </w:rPr>
        <w:t>Section 9.02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Subject to the last sentence of </w:t>
      </w:r>
      <w:r>
        <w:rPr>
          <w:rFonts w:ascii="Times New Roman" w:hAnsi="Times New Roman"/>
          <w:sz w:val="20"/>
          <w:u w:val="single"/>
        </w:rPr>
        <w:t>Section 2.10(f)</w:t>
      </w:r>
      <w:r>
        <w:rPr>
          <w:rFonts w:ascii="Times New Roman" w:hAnsi="Times New Roman"/>
          <w:sz w:val="20"/>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sz w:val="20"/>
          <w:u w:val="single"/>
        </w:rPr>
        <w:t>Article VII</w:t>
      </w:r>
      <w:r>
        <w:rPr>
          <w:rFonts w:ascii="Times New Roman" w:hAnsi="Times New Roman"/>
          <w:sz w:val="20"/>
        </w:rPr>
        <w:t xml:space="preserve"> or otherwise, and including any amounts made available to the Administrative Agent by that Defaulting Lender pursuant to </w:t>
      </w:r>
      <w:r>
        <w:rPr>
          <w:rFonts w:ascii="Times New Roman" w:hAnsi="Times New Roman"/>
          <w:sz w:val="20"/>
          <w:u w:val="single"/>
        </w:rPr>
        <w:t>Section 9.08</w:t>
      </w:r>
      <w:r>
        <w:rPr>
          <w:rFonts w:ascii="Times New Roman" w:hAnsi="Times New Roman"/>
          <w:sz w:val="20"/>
        </w:rPr>
        <w:t xml:space="preserv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that Defaulting Lender to the Administrative Agent hereunder; </w:t>
      </w:r>
      <w:r>
        <w:rPr>
          <w:rFonts w:ascii="Times New Roman" w:hAnsi="Times New Roman"/>
          <w:sz w:val="20"/>
          <w:u w:val="single"/>
        </w:rPr>
        <w:t>second</w:t>
      </w:r>
      <w:r>
        <w:rPr>
          <w:rFonts w:ascii="Times New Roman" w:hAnsi="Times New Roman"/>
          <w:sz w:val="20"/>
        </w:rPr>
        <w:t xml:space="preserve">, in the case of a Revolving Lender, to the payment on a pro rata basis of any amounts owing by that Defaulting Lender to each Issuing Bank and the Swingline Lender hereunder; </w:t>
      </w:r>
      <w:r>
        <w:rPr>
          <w:rFonts w:ascii="Times New Roman" w:hAnsi="Times New Roman"/>
          <w:sz w:val="20"/>
          <w:u w:val="single"/>
        </w:rPr>
        <w:t>third</w:t>
      </w:r>
      <w:r>
        <w:rPr>
          <w:rFonts w:ascii="Times New Roman" w:hAnsi="Times New Roman"/>
          <w:sz w:val="20"/>
        </w:rPr>
        <w:t xml:space="preserve">, as the Borrowers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sz w:val="20"/>
          <w:u w:val="single"/>
        </w:rPr>
        <w:t>fourth</w:t>
      </w:r>
      <w:r>
        <w:rPr>
          <w:rFonts w:ascii="Times New Roman" w:hAnsi="Times New Roman"/>
          <w:sz w:val="20"/>
        </w:rPr>
        <w:t xml:space="preserve">, in the case of a Revolving Lender, if so determined by the Administrative Agent and the Borrowers, to be held in a non-interest bearing deposit account and released in order to satisfy obligations of that Defaulting Lender to fund Loans under this Agreement; </w:t>
      </w:r>
      <w:r>
        <w:rPr>
          <w:rFonts w:ascii="Times New Roman" w:hAnsi="Times New Roman"/>
          <w:sz w:val="20"/>
          <w:u w:val="single"/>
        </w:rPr>
        <w:t>fifth</w:t>
      </w:r>
      <w:r>
        <w:rPr>
          <w:rFonts w:ascii="Times New Roman" w:hAnsi="Times New Roman"/>
          <w:sz w:val="20"/>
        </w:rPr>
        <w:t xml:space="preserve">, to the payment of any amounts owing to the Lenders or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hAnsi="Times New Roman"/>
          <w:sz w:val="20"/>
          <w:u w:val="single"/>
        </w:rPr>
        <w:t>sixth</w:t>
      </w:r>
      <w:r>
        <w:rPr>
          <w:rFonts w:ascii="Times New Roman" w:hAnsi="Times New Roman"/>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hAnsi="Times New Roman"/>
          <w:sz w:val="20"/>
          <w:u w:val="single"/>
        </w:rPr>
        <w:t>seventh</w:t>
      </w:r>
      <w:r>
        <w:rPr>
          <w:rFonts w:ascii="Times New Roman" w:hAnsi="Times New Roman"/>
          <w:sz w:val="20"/>
        </w:rPr>
        <w:t xml:space="preserve">, to that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Times New Roman" w:hAnsi="Times New Roman"/>
          <w:sz w:val="20"/>
          <w:u w:val="single"/>
        </w:rPr>
        <w:t>Section 2.04(j)</w:t>
      </w:r>
      <w:r>
        <w:rPr>
          <w:rFonts w:ascii="Times New Roman" w:hAnsi="Times New Roman"/>
          <w:sz w:val="20"/>
        </w:rPr>
        <w:t xml:space="preserve"> or this </w:t>
      </w:r>
      <w:r>
        <w:rPr>
          <w:rFonts w:ascii="Times New Roman" w:hAnsi="Times New Roman"/>
          <w:sz w:val="20"/>
          <w:u w:val="single"/>
        </w:rPr>
        <w:t>Section 2.21(a)(ii)</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w:t>
      </w:r>
      <w:r>
        <w:rPr>
          <w:rFonts w:ascii="Times New Roman" w:hAnsi="Times New Roman"/>
          <w:sz w:val="20"/>
          <w:u w:val="single"/>
        </w:rPr>
        <w:t>Section 2.04(j)</w:t>
      </w:r>
      <w:r>
        <w:rPr>
          <w:rFonts w:ascii="Times New Roman" w:hAnsi="Times New Roman"/>
          <w:sz w:val="20"/>
        </w:rPr>
        <w:t xml:space="preserve"> shall be deemed paid to and redirected by that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(x) shall not be entitled to receive or accrue any commitment fee pursuant to </w:t>
      </w:r>
      <w:r>
        <w:rPr>
          <w:rFonts w:ascii="Times New Roman" w:hAnsi="Times New Roman"/>
          <w:sz w:val="20"/>
          <w:u w:val="single"/>
        </w:rPr>
        <w:t>Section 2.11(a)</w:t>
      </w:r>
      <w:r>
        <w:rPr>
          <w:rFonts w:ascii="Times New Roman" w:hAnsi="Times New Roman"/>
          <w:sz w:val="20"/>
        </w:rPr>
        <w:t xml:space="preserve"> 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Applicable Percentages to Reduce Fronting Exposure</w:t>
      </w:r>
      <w:r>
        <w:rPr>
          <w:rFonts w:ascii="Times New Roman" w:hAnsi="Times New Roman"/>
          <w:sz w:val="20"/>
        </w:rPr>
        <w:t xml:space="preserve">. During any period in which there is a Defaulting Lender, for purposes of computing the amount of the obligation of each non-Defaulting Lender to acquire, refinance or fund participations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p>
    <w:p>
      <w:pPr>
        <w:pStyle w:val="TextBody"/>
        <w:bidi w:val="0"/>
        <w:spacing w:before="0" w:after="0"/>
        <w:jc w:val="left"/>
        <w:rPr>
          <w:rFonts w:ascii="Times New Roman" w:hAnsi="Times New Roman"/>
          <w:sz w:val="20"/>
        </w:rPr>
      </w:pPr>
      <w:r>
        <w:rPr>
          <w:rFonts w:ascii="Times New Roman" w:hAnsi="Times New Roman"/>
          <w:sz w:val="20"/>
        </w:rPr>
        <w:t xml:space="preserve">Swingline Loans and Letters of Credit pursuant to </w:t>
      </w:r>
      <w:r>
        <w:rPr>
          <w:rFonts w:ascii="Times New Roman" w:hAnsi="Times New Roman"/>
          <w:sz w:val="20"/>
          <w:u w:val="single"/>
        </w:rPr>
        <w:t>Section 2.04</w:t>
      </w:r>
      <w:r>
        <w:rPr>
          <w:rFonts w:ascii="Times New Roman" w:hAnsi="Times New Roman"/>
          <w:sz w:val="20"/>
        </w:rPr>
        <w:t xml:space="preserve">, respectively, and the payments of participation fees pursuant to </w:t>
      </w:r>
      <w:r>
        <w:rPr>
          <w:rFonts w:ascii="Times New Roman" w:hAnsi="Times New Roman"/>
          <w:sz w:val="20"/>
          <w:u w:val="single"/>
        </w:rPr>
        <w:t>Section 2.11(b)</w:t>
      </w:r>
      <w:r>
        <w:rPr>
          <w:rFonts w:ascii="Times New Roman" w:hAnsi="Times New Roman"/>
          <w:sz w:val="20"/>
        </w:rPr>
        <w:t xml:space="preserve">, the “Applicable Percentage” of each non-Defaulting Lender shall be computed without giving effect to the Revolving Commitment of that Defaulting Lender; </w:t>
      </w:r>
      <w:r>
        <w:rPr>
          <w:rFonts w:ascii="Times New Roman" w:hAnsi="Times New Roman"/>
          <w:sz w:val="20"/>
          <w:u w:val="single"/>
        </w:rPr>
        <w:t>provided</w:t>
      </w:r>
      <w:r>
        <w:rPr>
          <w:rFonts w:ascii="Times New Roman" w:hAnsi="Times New Roman"/>
          <w:sz w:val="20"/>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hAnsi="Times New Roman"/>
          <w:sz w:val="20"/>
          <w:u w:val="single"/>
        </w:rPr>
        <w:t>minus</w:t>
      </w:r>
      <w:r>
        <w:rPr>
          <w:rFonts w:ascii="Times New Roman" w:hAnsi="Times New Roman"/>
          <w:sz w:val="20"/>
        </w:rPr>
        <w:t xml:space="preserve"> (2) the aggregate principal amount of the Revolving Loans of that non-Defaulting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Cash Collateral; Repayment of Swingline Loans</w:t>
      </w:r>
      <w:r>
        <w:rPr>
          <w:rFonts w:ascii="Times New Roman" w:hAnsi="Times New Roman"/>
          <w:sz w:val="20"/>
        </w:rPr>
        <w:t xml:space="preserve">. If the reallocation described in clause (iv) above cannot, or can only partially, be effected, the Borrowers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w:t>
      </w:r>
      <w:r>
        <w:rPr>
          <w:rFonts w:ascii="Times New Roman" w:hAnsi="Times New Roman"/>
          <w:sz w:val="20"/>
          <w:u w:val="single"/>
        </w:rPr>
        <w:t>Section 2.04(j)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Borrowers, the Administrative Agent,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w:t>
      </w:r>
      <w:r>
        <w:rPr>
          <w:rFonts w:ascii="Times New Roman" w:hAnsi="Times New Roman"/>
          <w:sz w:val="20"/>
          <w:u w:val="single"/>
        </w:rPr>
        <w:t>Section 2.21(a)(iv)</w:t>
      </w:r>
      <w:r>
        <w:rPr>
          <w:rFonts w:ascii="Times New Roman" w:hAnsi="Times New Roman"/>
          <w:sz w:val="20"/>
        </w:rPr>
        <w:t xml:space="preserve"> or the proviso to the definition thereof), whereupon that Lender will cease to be a Defaulting Lender with respect to such Class;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Borrowers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Illegality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Lender determines that any law has made it unlawful, or that any Governmental Authority has asserted that it is unlawful, for any Lender to make, maintain or fund Loans whose interest is determined by reference to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or to determine or charge interest rates based upon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then, on notice thereof by such Lender to the Borrowers through the Administrative Agent, (i) any obligation of such Lender to make or continue Eurodollar Loans or </w:t>
      </w:r>
      <w:r>
        <w:rPr>
          <w:rFonts w:ascii="Times New Roman" w:hAnsi="Times New Roman"/>
          <w:color w:val="0000FF"/>
          <w:sz w:val="20"/>
          <w:u w:val="single"/>
          <w:bdr w:val="double" w:sz="2" w:space="1" w:color="000000"/>
        </w:rPr>
        <w:t>Term Benchmark Loans or</w:t>
      </w:r>
      <w:r>
        <w:rPr>
          <w:rFonts w:ascii="Times New Roman" w:hAnsi="Times New Roman"/>
          <w:sz w:val="20"/>
        </w:rPr>
        <w:t xml:space="preserve"> to convert ABR Loans to Eurodollar </w:t>
      </w:r>
      <w:r>
        <w:rPr>
          <w:rFonts w:ascii="Times New Roman" w:hAnsi="Times New Roman"/>
          <w:color w:val="0000FF"/>
          <w:sz w:val="20"/>
          <w:u w:val="single"/>
          <w:bdr w:val="double" w:sz="2" w:space="1" w:color="000000"/>
        </w:rPr>
        <w:t>Loans or Term Benchmark</w:t>
      </w:r>
      <w:r>
        <w:rPr>
          <w:rFonts w:ascii="Times New Roman" w:hAnsi="Times New Roman"/>
          <w:sz w:val="20"/>
        </w:rPr>
        <w:t xml:space="preserve"> Loans shall be suspended, and (ii) if such notice asserts the illegality of such Lender making or maintaining ABR Loans the interest rate on which is determined by reference to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component of the Alternate Base Rate, the interest rate on such ABR Loans of such Lender shall, if necessary to avoid such illegality, be determined by the Administrative Agent without reference to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component of the Alternate Base Rate, in each case until such Lender notifies the Administrative Agent and the Borrowers that the circumstances giving rise to such determination no longer exist. Upon receipt of such notice, (x) the Borrowers shall, upon three Business Days’ notice from such Lender (with a copy to the Administrative Agent), prepay or, if applicable, convert all Eurodollar Loans or </w:t>
      </w:r>
      <w:r>
        <w:rPr>
          <w:rFonts w:ascii="Times New Roman" w:hAnsi="Times New Roman"/>
          <w:color w:val="0000FF"/>
          <w:sz w:val="20"/>
          <w:u w:val="single"/>
          <w:bdr w:val="double" w:sz="2" w:space="1" w:color="000000"/>
        </w:rPr>
        <w:t>Term Benchmark Loans</w:t>
      </w:r>
      <w:r>
        <w:rPr>
          <w:rFonts w:ascii="Times New Roman" w:hAnsi="Times New Roman"/>
          <w:sz w:val="20"/>
        </w:rPr>
        <w:t xml:space="preserve"> denominated in dollars of such Lender to ABR Loans (the interest rate on which ABR Loans of such Lender shall, if necessary to avoid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p>
    <w:p>
      <w:pPr>
        <w:pStyle w:val="TextBody"/>
        <w:bidi w:val="0"/>
        <w:spacing w:before="0" w:after="0"/>
        <w:jc w:val="left"/>
        <w:rPr>
          <w:rFonts w:ascii="Times New Roman" w:hAnsi="Times New Roman"/>
          <w:sz w:val="20"/>
        </w:rPr>
      </w:pPr>
      <w:r>
        <w:rPr>
          <w:rFonts w:ascii="Times New Roman" w:hAnsi="Times New Roman"/>
          <w:sz w:val="20"/>
        </w:rPr>
        <w:t xml:space="preserve">such illegality, be determined by the Administrative Agent without reference to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component of the Alternate Base Rate), either on the last day of the Interest Period therefor, if such Lender may lawfully continue to maintain such Eurodollar Loans </w:t>
      </w:r>
      <w:r>
        <w:rPr>
          <w:rFonts w:ascii="Times New Roman" w:hAnsi="Times New Roman"/>
          <w:color w:val="0000FF"/>
          <w:sz w:val="20"/>
          <w:u w:val="single"/>
          <w:bdr w:val="double" w:sz="2" w:space="1" w:color="000000"/>
        </w:rPr>
        <w:t>or Term Benchmark Loans</w:t>
      </w:r>
      <w:r>
        <w:rPr>
          <w:rFonts w:ascii="Times New Roman" w:hAnsi="Times New Roman"/>
          <w:sz w:val="20"/>
        </w:rPr>
        <w:t xml:space="preserve"> to such day, or immediately, if such Lender may not lawfully continue to maintain such Eurodollar Loans </w:t>
      </w:r>
      <w:r>
        <w:rPr>
          <w:rFonts w:ascii="Times New Roman" w:hAnsi="Times New Roman"/>
          <w:color w:val="0000FF"/>
          <w:sz w:val="20"/>
          <w:u w:val="single"/>
          <w:bdr w:val="double" w:sz="2" w:space="1" w:color="000000"/>
        </w:rPr>
        <w:t>or Term Benchmark Loans</w:t>
      </w:r>
      <w:r>
        <w:rPr>
          <w:rFonts w:ascii="Times New Roman" w:hAnsi="Times New Roman"/>
          <w:sz w:val="20"/>
        </w:rPr>
        <w:t xml:space="preserve">, and (y) if such notice asserts the illegality of such Lender determining or charging interest rates based upon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the Administrative Agent shall during the period of such suspension compute the Alternate Base Rate applicable to such Lender without reference to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component thereof until the Administrative Agent is advised in writing by such Lender that it is no longer illegal for such Lender to determine or charge interest rates based upon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Each Lender agrees to notify the Administrative Agent and the Borrowers in writing promptly upon becoming aware that it is no longer illegal for such Lender to determine or charge interest rates based upon the Adjusted LIBO Rate </w:t>
      </w:r>
      <w:r>
        <w:rPr>
          <w:rFonts w:ascii="Times New Roman" w:hAnsi="Times New Roman"/>
          <w:color w:val="0000FF"/>
          <w:sz w:val="20"/>
          <w:u w:val="single"/>
          <w:bdr w:val="double" w:sz="2" w:space="1" w:color="000000"/>
        </w:rPr>
        <w:t>or Term SOFR</w:t>
      </w:r>
      <w:r>
        <w:rPr>
          <w:rFonts w:ascii="Times New Roman" w:hAnsi="Times New Roman"/>
          <w:sz w:val="20"/>
        </w:rPr>
        <w:t xml:space="preserve">. Upon any such prepayment or conversion, the Borrowers shall also pay accrued interest on the amount so prepaid or converted. </w:t>
      </w:r>
    </w:p>
    <w:p>
      <w:pPr>
        <w:pStyle w:val="TextBody"/>
        <w:bidi w:val="0"/>
        <w:spacing w:before="36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Loan Modification Offers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any time after the Effective Date, the Borrowers may on one or more occasions, by written notice to the Administrative Agent, make one or more offers (each, a “</w:t>
      </w:r>
      <w:r>
        <w:rPr>
          <w:rFonts w:ascii="Times New Roman" w:hAnsi="Times New Roman"/>
          <w:sz w:val="20"/>
          <w:u w:val="single"/>
        </w:rPr>
        <w:t>Loan Modification Offer</w:t>
      </w:r>
      <w:r>
        <w:rPr>
          <w:rFonts w:ascii="Times New Roman" w:hAnsi="Times New Roman"/>
          <w:sz w:val="20"/>
        </w:rPr>
        <w:t>”) to all the Lenders of one or more Classes (each Class subject to such a Loan Modification Offer, an “</w:t>
      </w:r>
      <w:r>
        <w:rPr>
          <w:rFonts w:ascii="Times New Roman" w:hAnsi="Times New Roman"/>
          <w:sz w:val="20"/>
          <w:u w:val="single"/>
        </w:rPr>
        <w:t>Affected Class</w:t>
      </w:r>
      <w:r>
        <w:rPr>
          <w:rFonts w:ascii="Times New Roman" w:hAnsi="Times New Roman"/>
          <w:sz w:val="20"/>
        </w:rPr>
        <w:t>”) to effect one or more Permitted Amendments relating to such Affected Class pursuant to procedures reasonably specified by the Administrative Agent and reasonably acceptable to the Borrowers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hAnsi="Times New Roman"/>
          <w:sz w:val="20"/>
          <w:u w:val="single"/>
        </w:rPr>
        <w:t>Accepting Lenders</w:t>
      </w:r>
      <w:r>
        <w:rPr>
          <w:rFonts w:ascii="Times New Roman" w:hAnsi="Times New Roman"/>
          <w:sz w:val="20"/>
        </w:rPr>
        <w:t xml:space="preserve">”) and, in the case of any Accepting Lender, only with respect to such Lender’s Loans and Commitments of such Affected Class as to which such Lender’s acceptance has been made. </w:t>
      </w:r>
    </w:p>
    <w:p>
      <w:pPr>
        <w:pStyle w:val="TextBody"/>
        <w:bidi w:val="0"/>
        <w:spacing w:before="240" w:after="0"/>
        <w:jc w:val="left"/>
        <w:rPr>
          <w:rFonts w:ascii="Times New Roman" w:hAnsi="Times New Roman"/>
          <w:sz w:val="20"/>
        </w:rPr>
      </w:pPr>
      <w:r>
        <w:rPr>
          <w:rFonts w:ascii="Times New Roman" w:hAnsi="Times New Roman"/>
          <w:sz w:val="20"/>
        </w:rPr>
        <w:t xml:space="preserve">(b)     A Permitted Amendment shall be effected pursuant to a Loan Modification Agreement executed and delivered by Holdings, the Borrowers, each applicable Accepting Lender and the Administrative Agent; </w:t>
      </w:r>
      <w:r>
        <w:rPr>
          <w:rFonts w:ascii="Times New Roman" w:hAnsi="Times New Roman"/>
          <w:sz w:val="20"/>
          <w:u w:val="single"/>
        </w:rPr>
        <w:t>provided</w:t>
      </w:r>
      <w:r>
        <w:rPr>
          <w:rFonts w:ascii="Times New Roman" w:hAnsi="Times New Roman"/>
          <w:sz w:val="20"/>
        </w:rPr>
        <w:t xml:space="preserve"> that no Permitted Amendment shall become effective unless Holdings and the Borrowers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Times New Roman" w:hAnsi="Times New Roman"/>
          <w:sz w:val="20"/>
          <w:u w:val="single"/>
        </w:rPr>
        <w:t>Section 2.23</w:t>
      </w:r>
      <w:r>
        <w:rPr>
          <w:rFonts w:ascii="Times New Roman" w:hAnsi="Times New Roman"/>
          <w:sz w:val="20"/>
        </w:rPr>
        <w:t xml:space="preserve">, including any amendments necessary to treat the applicable Loans and/or Commitments of the Accepting Lenders as a new “Class” of loans and/or commitments hereunder. </w:t>
      </w:r>
    </w:p>
    <w:p>
      <w:pPr>
        <w:pStyle w:val="TextBody"/>
        <w:bidi w:val="0"/>
        <w:spacing w:before="240" w:after="0"/>
        <w:jc w:val="left"/>
        <w:rPr>
          <w:rFonts w:ascii="Times New Roman" w:hAnsi="Times New Roman"/>
          <w:sz w:val="20"/>
        </w:rPr>
      </w:pPr>
      <w:r>
        <w:rPr>
          <w:rFonts w:ascii="Times New Roman" w:hAnsi="Times New Roman"/>
          <w:sz w:val="20"/>
        </w:rPr>
        <w:t>(c)     If, in connection with any proposed Loan Modification Offer, any Lender declines to consent to such Loan Modification Offer on the terms and by the deadline set forth in such Loan Modification Offer (each such Lender, a “</w:t>
      </w:r>
      <w:r>
        <w:rPr>
          <w:rFonts w:ascii="Times New Roman" w:hAnsi="Times New Roman"/>
          <w:sz w:val="20"/>
          <w:u w:val="single"/>
        </w:rPr>
        <w:t>Non-Accepting Lender</w:t>
      </w:r>
      <w:r>
        <w:rPr>
          <w:rFonts w:ascii="Times New Roman" w:hAnsi="Times New Roman"/>
          <w:sz w:val="20"/>
        </w:rPr>
        <w:t xml:space="preserve">”) then the Borrowers may, on notice to the Administrative Agent and the Non-Accepting Lender, (i) replace such Non-Accepting Lender in whole or in part by causing such Lender to (and such Lender shall be obligated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or any part of its interests, rights and obligations under this Agreement in respect of the Loans and Commitments of the Affected Class to one or more Eligible Assignees (which Eligible Assignee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p>
    <w:p>
      <w:pPr>
        <w:pStyle w:val="TextBody"/>
        <w:bidi w:val="0"/>
        <w:spacing w:before="0" w:after="0"/>
        <w:jc w:val="left"/>
        <w:rPr>
          <w:rFonts w:ascii="Times New Roman" w:hAnsi="Times New Roman"/>
          <w:sz w:val="20"/>
        </w:rPr>
      </w:pPr>
      <w:r>
        <w:rPr>
          <w:rFonts w:ascii="Times New Roman" w:hAnsi="Times New Roman"/>
          <w:sz w:val="20"/>
        </w:rPr>
        <w:t xml:space="preserve">another Lender, if a Lender accepts such assignment);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Borrowers to find a replacement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Times New Roman" w:hAnsi="Times New Roman"/>
          <w:sz w:val="20"/>
          <w:u w:val="single"/>
        </w:rPr>
        <w:t>Section 2.23(c)</w:t>
      </w:r>
      <w:r>
        <w:rPr>
          <w:rFonts w:ascii="Times New Roman" w:hAnsi="Times New Roman"/>
          <w:sz w:val="20"/>
        </w:rPr>
        <w:t xml:space="preserve">, accrued interest thereon, accrued fees and all other amounts (including any amounts under </w:t>
      </w:r>
      <w:r>
        <w:rPr>
          <w:rFonts w:ascii="Times New Roman" w:hAnsi="Times New Roman"/>
          <w:sz w:val="20"/>
          <w:u w:val="single"/>
        </w:rPr>
        <w:t>Section 2.10(a)(i)</w:t>
      </w:r>
      <w:r>
        <w:rPr>
          <w:rFonts w:ascii="Times New Roman" w:hAnsi="Times New Roman"/>
          <w:sz w:val="20"/>
        </w:rPr>
        <w:t xml:space="preserve">) payable to it hereunder from the Eligible Assignee (to the extent of such outstanding principal and accrued interest and fees) and (c) unless waived, the Borrowers or such Eligible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this </w:t>
      </w:r>
      <w:r>
        <w:rPr>
          <w:rFonts w:ascii="Times New Roman" w:hAnsi="Times New Roman"/>
          <w:sz w:val="20"/>
          <w:u w:val="single"/>
        </w:rPr>
        <w:t>Section 2.23</w:t>
      </w:r>
      <w:r>
        <w:rPr>
          <w:rFonts w:ascii="Times New Roman" w:hAnsi="Times New Roman"/>
          <w:sz w:val="20"/>
        </w:rPr>
        <w:t xml:space="preserve"> shall supersede any provisions in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Section 9.02</w:t>
      </w:r>
      <w:r>
        <w:rPr>
          <w:rFonts w:ascii="Times New Roman" w:hAnsi="Times New Roman"/>
          <w:sz w:val="20"/>
        </w:rPr>
        <w:t xml:space="preserve">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(including </w:t>
      </w:r>
      <w:r>
        <w:rPr>
          <w:rFonts w:ascii="Times New Roman" w:hAnsi="Times New Roman"/>
          <w:sz w:val="20"/>
          <w:u w:val="single"/>
        </w:rPr>
        <w:t>Section 2.21</w:t>
      </w:r>
      <w:r>
        <w:rPr>
          <w:rFonts w:ascii="Times New Roman" w:hAnsi="Times New Roman"/>
          <w:sz w:val="20"/>
        </w:rPr>
        <w:t xml:space="preserve">)), in reliance upon the agreements of the other Lenders set forth in this </w:t>
      </w:r>
      <w:r>
        <w:rPr>
          <w:rFonts w:ascii="Times New Roman" w:hAnsi="Times New Roman"/>
          <w:sz w:val="20"/>
          <w:u w:val="single"/>
        </w:rPr>
        <w:t>Section 2.24</w:t>
      </w:r>
      <w:r>
        <w:rPr>
          <w:rFonts w:ascii="Times New Roman" w:hAnsi="Times New Roman"/>
          <w:sz w:val="20"/>
        </w:rPr>
        <w:t xml:space="preserve">, the Swingline Lender agrees to make Swingline Loans to the Revolving Borrowers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Revolving Borrowers may borrow, prepay and re-borrow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(b)     To request a Swingline Loan, a Revolving Borrower shall notify the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a Revolving Borrower maintained with the Swingline Lender because such Revolving Borrower is unable to maintain a general deposit account with the Swingline Lender under applicable Requirements of Law, the location and number of such Revolving Borrower’s account to which funds are to be disbursed, which shall comply with </w:t>
      </w:r>
      <w:r>
        <w:rPr>
          <w:rFonts w:ascii="Times New Roman" w:hAnsi="Times New Roman"/>
          <w:sz w:val="20"/>
          <w:u w:val="single"/>
        </w:rPr>
        <w:t>Section 2.05</w:t>
      </w:r>
      <w:r>
        <w:rPr>
          <w:rFonts w:ascii="Times New Roman" w:hAnsi="Times New Roman"/>
          <w:sz w:val="20"/>
        </w:rPr>
        <w:t xml:space="preserve">, or (y) in the case of any ABR Revolving Borrowing or Swingline Loan requested to finance the reimbursement of an LC Disbursement as provided in </w:t>
      </w:r>
      <w:r>
        <w:rPr>
          <w:rFonts w:ascii="Times New Roman" w:hAnsi="Times New Roman"/>
          <w:sz w:val="20"/>
          <w:u w:val="single"/>
        </w:rPr>
        <w:t>Section 2.04(f)</w:t>
      </w:r>
      <w:r>
        <w:rPr>
          <w:rFonts w:ascii="Times New Roman" w:hAnsi="Times New Roman"/>
          <w:sz w:val="20"/>
        </w:rPr>
        <w:t xml:space="preserve">, the identity of the Issuing Bank that made such LC Disbursement. The Swingline Lender shall make each Swingline Loan available to such Revolving Borrower by means of a credit to the general deposit accounts of such Revolving Borrower maintained with the Swingline Lender for the applicable Swingline Loan (or, in the case of a Swingline Loan made to finance the reimbursement of an LC Disbursement as provided in </w:t>
      </w:r>
      <w:r>
        <w:rPr>
          <w:rFonts w:ascii="Times New Roman" w:hAnsi="Times New Roman"/>
          <w:sz w:val="20"/>
          <w:u w:val="single"/>
        </w:rPr>
        <w:t>Section 2.04(f)</w:t>
      </w:r>
      <w:r>
        <w:rPr>
          <w:rFonts w:ascii="Times New Roman" w:hAnsi="Times New Roman"/>
          <w:sz w:val="20"/>
        </w:rPr>
        <w:t xml:space="preserve">, by remittance to the applicable Issuing Bank) by 3:00 p.m., New York City time, on the requested date of such Swingline Loan. No Swingline Lender shall be under any obligation to make a Swingline Loan if any Lender is at that time a Defaulting Lender, if after giving effect to </w:t>
      </w:r>
      <w:r>
        <w:rPr>
          <w:rFonts w:ascii="Times New Roman" w:hAnsi="Times New Roman"/>
          <w:sz w:val="20"/>
          <w:u w:val="single"/>
        </w:rPr>
        <w:t>Section 2.21(a)(iv)</w:t>
      </w:r>
      <w:r>
        <w:rPr>
          <w:rFonts w:ascii="Times New Roman" w:hAnsi="Times New Roman"/>
          <w:sz w:val="20"/>
        </w:rPr>
        <w:t xml:space="preserve">, any Defaulting Lender Fronting Exposure remains outstanding. </w:t>
      </w:r>
    </w:p>
    <w:p>
      <w:pPr>
        <w:pStyle w:val="TextBody"/>
        <w:bidi w:val="0"/>
        <w:spacing w:before="240" w:after="0"/>
        <w:jc w:val="left"/>
        <w:rPr>
          <w:rFonts w:ascii="Times New Roman" w:hAnsi="Times New Roman"/>
          <w:sz w:val="20"/>
        </w:rPr>
      </w:pPr>
      <w:r>
        <w:rPr>
          <w:rFonts w:ascii="Times New Roman" w:hAnsi="Times New Roman"/>
          <w:sz w:val="20"/>
        </w:rPr>
        <w:t xml:space="preserve">(c)     The Swingline Lender may by written notice given to the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p>
    <w:p>
      <w:pPr>
        <w:pStyle w:val="TextBody"/>
        <w:bidi w:val="0"/>
        <w:spacing w:before="0" w:after="0"/>
        <w:jc w:val="left"/>
        <w:rPr>
          <w:rFonts w:ascii="Times New Roman" w:hAnsi="Times New Roman"/>
          <w:sz w:val="20"/>
        </w:rPr>
      </w:pPr>
      <w:r>
        <w:rPr>
          <w:rFonts w:ascii="Times New Roman" w:hAnsi="Times New Roman"/>
          <w:sz w:val="20"/>
        </w:rPr>
        <w:t xml:space="preserve">participate. Promptly upon receipt of such notice, the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hAnsi="Times New Roman"/>
          <w:sz w:val="20"/>
          <w:u w:val="single"/>
        </w:rPr>
        <w:t>Section 2.05</w:t>
      </w:r>
      <w:r>
        <w:rPr>
          <w:rFonts w:ascii="Times New Roman" w:hAnsi="Times New Roman"/>
          <w:sz w:val="20"/>
        </w:rPr>
        <w:t xml:space="preserve"> with respect to Loans made by such Lender (with references to 12:00 noon, New York City time, in such Section being deemed to be references to 3:00 p.m., New York City time) (and </w:t>
      </w:r>
      <w:r>
        <w:rPr>
          <w:rFonts w:ascii="Times New Roman" w:hAnsi="Times New Roman"/>
          <w:sz w:val="20"/>
          <w:u w:val="single"/>
        </w:rPr>
        <w:t>Section 2.05</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to the payment obligations of the Revolving Lenders pursuant to this paragraph), and the Administrative Agent shall promptly remit to the Swingline Lender the amounts so received by it from the Revolving Lenders. The Administrative Agent shall notify the Revolving Borrowers of any participations in any Swingline Loan acquired pursuant to this paragraph, and thereafter payments in respect of such Swingline Loan shall be made to the Administrative Agent and not to the Swingline Lender. Any amounts received by the Swingline Lender from a Revolving Borrower (or other Person on behalf of such Revolving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the Swingline Lender or the Administrative Agent, as the case may be, and thereafter to such Revolving Borrower, if and to the extent such payment is required to be refunded to such Revolving Borrower for any reason. The purchase of participations in a Swingline Loan pursuant to this paragraph shall not relieve the Revolving Borrowers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(d)     The Revolving Borrowers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and the Borrower Representative, executed by the Borrower Representative,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Revolving Borrowers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Each of Holdings and Bidco represents and warrants to the Lenders (</w:t>
      </w:r>
      <w:r>
        <w:rPr>
          <w:rFonts w:ascii="Times New Roman" w:hAnsi="Times New Roman"/>
          <w:sz w:val="20"/>
          <w:u w:val="single"/>
        </w:rPr>
        <w:t>provided</w:t>
      </w:r>
      <w:r>
        <w:rPr>
          <w:rFonts w:ascii="Times New Roman" w:hAnsi="Times New Roman"/>
          <w:sz w:val="20"/>
        </w:rPr>
        <w:t xml:space="preserve"> that (x) Holdings’ representations and warranties shall be limited to the Major Representations and (y) in the case of Non-U.S. Loan Parties and Non-U.S. Restricted Subsidiaries, each representation and warranty shall be subject to the Legal Reservations and the Agreed Security Principles) that: </w:t>
      </w:r>
    </w:p>
    <w:p>
      <w:pPr>
        <w:pStyle w:val="TextBody"/>
        <w:bidi w:val="0"/>
        <w:spacing w:before="36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any Intermediate Parent, Bidco and the Restricted Subsidiaries is (a) duly organized or incorporated, validly existing and in good standing (to the extent such concept exists in the relevant jurisdictions)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each case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has been duly authorized, executed and delivered by each of Holdings, Bidco and the Borrowers, and constitutes, and each other Loan Document to which any Loan Party is to be a party, when executed and delivered by such Loan Party, will constitute, a legal, valid and binding obligation of Holdings, Bidco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36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on </w:t>
      </w:r>
      <w:r>
        <w:rPr>
          <w:rFonts w:ascii="Times New Roman" w:hAnsi="Times New Roman"/>
          <w:sz w:val="20"/>
          <w:u w:val="single"/>
        </w:rPr>
        <w:t>Schedule 3.03</w:t>
      </w:r>
      <w:r>
        <w:rPr>
          <w:rFonts w:ascii="Times New Roman" w:hAnsi="Times New Roman"/>
          <w:sz w:val="20"/>
        </w:rPr>
        <w:t xml:space="preserve">, the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or (ii) any Requirements of Law applicable to, Holdings, any Intermediate Parent, Bidco or any Restricted Subsidiary, (c) will not violate or result in a default under any indenture or other agreement or instrument binding upon Holdings, any Intermediate Parent, Bidco or any Restricted Subsidiary or their respective assets, or give rise to a right thereunder to require any payment, repurchase or redemption to be made by Holdings, any Intermediate Parent, Bidco or any Restricted Subsidiary, or give rise to a right of, or result in, termination, cancellation or acceleration of any obligation thereunder and (d) will not result in the creation or imposition of any Lien on any asset of Holdings, any Intermediate Parent, Bidco or any Restricted Subsidiary, except Liens created under the Loan Documents or permitted by </w:t>
      </w:r>
      <w:r>
        <w:rPr>
          <w:rFonts w:ascii="Times New Roman" w:hAnsi="Times New Roman"/>
          <w:sz w:val="20"/>
          <w:u w:val="single"/>
        </w:rPr>
        <w:t>Section 6.02</w:t>
      </w:r>
      <w:r>
        <w:rPr>
          <w:rFonts w:ascii="Times New Roman" w:hAnsi="Times New Roman"/>
          <w:sz w:val="20"/>
        </w:rPr>
        <w:t xml:space="preserve">, except to the extent that the failure to obtain or make such consent, approval, registration, filing or action, or such violation, default or right, or imposition of a Lien, as the case may be, individually or in the aggregate,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Since the Effective Date, there has been no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Holdings, Bidco and the Restricted Subsidiaries has good fee simple, or the equivalent in foreign jurisdictions, title to, or valid leasehold (or license or similar) interests in or other limited property interests in, all its real and personal property material to its business, if any, (i) free and clear of all Liens except for Liens permitted by </w:t>
      </w:r>
      <w:r>
        <w:rPr>
          <w:rFonts w:ascii="Times New Roman" w:hAnsi="Times New Roman"/>
          <w:sz w:val="20"/>
          <w:u w:val="single"/>
        </w:rPr>
        <w:t>Section 6.02</w:t>
      </w:r>
      <w:r>
        <w:rPr>
          <w:rFonts w:ascii="Times New Roman" w:hAnsi="Times New Roman"/>
          <w:sz w:val="20"/>
        </w:rPr>
        <w:t xml:space="preserve">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Holdings, Bidco and the Restricted Subsidiaries has all applicable licenses, consents, approvals, registrations, filings and other governmental authorizations needed to (i) operate any Loan Party’s terrestrial facilities, (ii) launch and operate each satellite network of Bidco and the Restricted Subsidiaries, and (iii) transmit signals to and from its satellite network, in each case, except where the failure to do so would not reasonably be expected to have,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3.06</w:t>
      </w:r>
      <w:r>
        <w:rPr>
          <w:rFonts w:ascii="Times New Roman" w:hAnsi="Times New Roman"/>
          <w:sz w:val="20"/>
        </w:rPr>
        <w:t xml:space="preserve">, there are no actions, suits or proceedings by or before any arbitrator or Governmental Authority pending against or, to the knowledge of Holdings or Bidco, threatened in writing against or affecting Holdings, Bidco or any Restricted Subsidiary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Schedule 3.06</w:t>
      </w:r>
      <w:r>
        <w:rPr>
          <w:rFonts w:ascii="Times New Roman" w:hAnsi="Times New Roman"/>
          <w:sz w:val="20"/>
        </w:rPr>
        <w:t xml:space="preserve">, and except with respect to any other matters that, individually or in the aggregate, would not reasonably be expected to result in a Material Adverse Effect, none of Holdings, any Intermediate Parent, Bidco or any Restricted Subsidiary or their respective facilities or operations (i) is not in compliance with any Environmental Law or any permit, license or other approval required under any Environmental Law, or does not possess all permits, licenses or other approvals required under any Environmental Law, (ii) has, to the knowledge of Holdings or Bidco, become subject to any Environmental Liability or (iii) has received written notice of any claim with respect to any Environmental Liability. </w:t>
      </w:r>
    </w:p>
    <w:p>
      <w:pPr>
        <w:pStyle w:val="TextBody"/>
        <w:bidi w:val="0"/>
        <w:spacing w:before="36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Bidco and the Restricted Subsidiaries is in compliance with all Requirements of Law applicable to it or its property, except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the Loan Parties is required to register as an “investment company” under the Investment Company Act of 1940,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individually or in the aggregate, reasonably be expected to have a Material Adverse Effect, Holdings, Bidco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hAnsi="Times New Roman"/>
          <w:sz w:val="20"/>
          <w:u w:val="single"/>
        </w:rPr>
        <w:t>provided</w:t>
      </w:r>
      <w:r>
        <w:rPr>
          <w:rFonts w:ascii="Times New Roman" w:hAnsi="Times New Roman"/>
          <w:sz w:val="20"/>
        </w:rPr>
        <w:t xml:space="preserve"> that Holdings, Bidco or such Subsidiary, as the case may be, has set aside on its books adequate reserves therefor in accordance with IFRS and applicable local standards. There is no proposed Tax assessment, deficiency or other claim against Holdings, Bidco or any Restricted Subsidiary that would reasonably be expected to, individually or in the aggregate, have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Material Adverse Effect, each Plan sponsored by a Loan Party is in compliance with the applicable provisions of ERISA, the Code and other federal or state laws.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result in a Material Adverse Effect, (i) with respect to any Multiemployer Plan with respect to which a Loan Party is directly obligated to contribute or Plan sponsored by a Loan Party, no ERISA Event has occurred during the six year period prior to the date on which this representation is made or deemed made or is reasonably expected to occur, (ii) with respect to any Multiemployer Plan with respect to which any ERISA Affiliate (other than a Loan Party) is directly obligated to contribute or any Plan (other than any Plan sponsored by a Loan Party), to the knowledge of Holdings and Bidco no ERISA Event has occurred during the six year period prior to the date on which this representation is made or deemed made or is reasonably expected to occur, and (iii) neither any Loan Party nor, to the knowledge of Holdings and Bidco, any ERISA Affiliate has engaged in a transaction that would reasonably be expected to be subject to Section 4069 or 4212(c) of ERISA.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or an application for such a letter is currently being processed by the Internal Revenue Service, (ii) to the knowledge of Holdings and Bidco, no fact or event has occurred that could reasonably be expected to adversely affect the qualified status of any such employee benefit plan, and (iii) there are no pending or, to the knowledge of Holdings and Bidco, threatened (in writing) claims, actions or lawsuits, or action by any Governmental Authority, with respect to any such plan. </w:t>
      </w:r>
    </w:p>
    <w:p>
      <w:pPr>
        <w:pStyle w:val="TextBody"/>
        <w:bidi w:val="0"/>
        <w:spacing w:before="36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(to Bidco’s knowledge), all written factual information and written factual data (other than projections and information of a general economic or industry specific nature) furnished by or on behalf of any of Holdings, Bidco and its Restricted Subsidiaries to the Administrative Agent, any Joint Lead Arranger or any Lender in connection with the Transactions, when taken as a whole after giving effect to all supplements and updates provided thereto, is correct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p>
    <w:p>
      <w:pPr>
        <w:pStyle w:val="TextBody"/>
        <w:bidi w:val="0"/>
        <w:spacing w:before="0" w:after="0"/>
        <w:jc w:val="left"/>
        <w:rPr>
          <w:rFonts w:ascii="Times New Roman" w:hAnsi="Times New Roman"/>
          <w:sz w:val="20"/>
        </w:rPr>
      </w:pPr>
      <w:r>
        <w:rPr>
          <w:rFonts w:ascii="Times New Roman" w:hAnsi="Times New Roman"/>
          <w:sz w:val="20"/>
        </w:rPr>
        <w:t xml:space="preserve">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hAnsi="Times New Roman"/>
          <w:sz w:val="20"/>
          <w:u w:val="single"/>
        </w:rPr>
        <w:t>provided</w:t>
      </w:r>
      <w:r>
        <w:rPr>
          <w:rFonts w:ascii="Times New Roman" w:hAnsi="Times New Roman"/>
          <w:sz w:val="20"/>
        </w:rPr>
        <w:t xml:space="preserve"> that, with respect to the projections, Holdings and Bidco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Bidco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 </w:t>
      </w:r>
    </w:p>
    <w:p>
      <w:pPr>
        <w:pStyle w:val="TextBody"/>
        <w:bidi w:val="0"/>
        <w:spacing w:before="36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w:t>
      </w:r>
      <w:r>
        <w:rPr>
          <w:rFonts w:ascii="Times New Roman" w:hAnsi="Times New Roman"/>
          <w:sz w:val="20"/>
          <w:u w:val="single"/>
        </w:rPr>
        <w:t>Schedule 3.12</w:t>
      </w:r>
      <w:r>
        <w:rPr>
          <w:rFonts w:ascii="Times New Roman" w:hAnsi="Times New Roman"/>
          <w:sz w:val="20"/>
        </w:rPr>
        <w:t xml:space="preserve"> sets forth the name of, and the ownership interest of Holdings and each of its subsidiaries in, each subsidiary of Holdings. </w:t>
      </w:r>
    </w:p>
    <w:p>
      <w:pPr>
        <w:pStyle w:val="TextBody"/>
        <w:bidi w:val="0"/>
        <w:spacing w:before="36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Intellectual Property; Licenses,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reasonably be expected to have a Material Adverse Effect, each of Holdings, any Intermediate Parent, Bidco and the Restricted Subsidiaries owns, licenses or possesses the right to use all Intellectual Property that is reasonably necessary for the operation of its business substantially as currently conducted. To the knowledge of Holdings and Bidco, no Intellectual Property used by Holdings, any Intermediate Parent, Bidco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Bidco, threatened in writing against Holdings, any Intermediate Parent, Bidco or any Restricted Subsidiary, which, individually or in the aggregate, would reasonably be expected to have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Solvency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consummation of each of the Transactions to occur on the Effective Date, after taking into account all applicable rights of indemnity and contribution, (a) the sum of the debt (including contingent liabilities) of Bidco and the Subsidiaries, on a consolidated basis, does not exceed the present fair saleable value of the present assets of Bidco and the Subsidiaries, on a consolidated basis, (b) the capital of Bidco and the Subsidiaries, on a consolidated basis, is not unreasonably small in relation to their business as contemplated on the Effective Date, (c) Bidco and the Subsidiaries, on a consolidated basis, have not incurred and do not intend to incur, or believe that they will incur, debts including current obligations, beyond their ability to pay such debts as they become due (whether at maturity or otherwise) and (d) Bidco and the Subsidiaries, on a consolidated basis, are “solvent” within the meaning given to that term and similar terms under applicable laws relating to fraudulent transfers and conveyances. For purposes of this </w:t>
      </w:r>
      <w:r>
        <w:rPr>
          <w:rFonts w:ascii="Times New Roman" w:hAnsi="Times New Roman"/>
          <w:sz w:val="20"/>
          <w:u w:val="single"/>
        </w:rPr>
        <w:t>Section 3.14</w:t>
      </w:r>
      <w:r>
        <w:rPr>
          <w:rFonts w:ascii="Times New Roman" w:hAnsi="Times New Roman"/>
          <w:sz w:val="20"/>
        </w:rPr>
        <w:t xml:space="preserve">,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pursuant to IAS 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p>
    <w:p>
      <w:pPr>
        <w:pStyle w:val="TextBody"/>
        <w:bidi w:val="0"/>
        <w:spacing w:before="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Senior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Document Obligations constitute “Senior Indebtedness” (or any comparable term) under and as defined in the documentation governing any other Subordinated Indebtedness. </w:t>
      </w:r>
    </w:p>
    <w:p>
      <w:pPr>
        <w:pStyle w:val="TextBody"/>
        <w:bidi w:val="0"/>
        <w:spacing w:before="36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Federal Reserve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Holdings, Bidco, any Borrower or any other Restricted Subsidiary is engaged or will engage, principally or as one of its important activities, in the business of purchasing or carrying margin stock (within the meaning of Regulation U of the Board of Governors), or in extending credit for the purpose of purchasing or carrying margin stock. No part of the proceeds of the Loans will be used, directly or indirectly, for any purpose that violates the provisions of Regulations U or X of the Board of Governors. </w:t>
      </w:r>
    </w:p>
    <w:p>
      <w:pPr>
        <w:pStyle w:val="TextBody"/>
        <w:bidi w:val="0"/>
        <w:spacing w:before="36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Borrowers will use the proceeds of: </w:t>
      </w:r>
    </w:p>
    <w:p>
      <w:pPr>
        <w:pStyle w:val="TextBody"/>
        <w:bidi w:val="0"/>
        <w:spacing w:before="240" w:after="0"/>
        <w:jc w:val="left"/>
        <w:rPr>
          <w:rFonts w:ascii="Times New Roman" w:hAnsi="Times New Roman"/>
          <w:sz w:val="20"/>
        </w:rPr>
      </w:pPr>
      <w:r>
        <w:rPr>
          <w:rFonts w:ascii="Times New Roman" w:hAnsi="Times New Roman"/>
          <w:sz w:val="20"/>
        </w:rPr>
        <w:t xml:space="preserve">(a)     (i) the Initial Term Loans made on the Effective Date to directly or indirectly finance the Transactions and (ii) the Initial Term Loans made as a Certain Funds Utilization on or after the Effective Date until the Initial Term Commitment Expiration to directly or indirectly finance the Refinancing; </w:t>
      </w:r>
    </w:p>
    <w:p>
      <w:pPr>
        <w:pStyle w:val="TextBody"/>
        <w:bidi w:val="0"/>
        <w:spacing w:before="240" w:after="0"/>
        <w:jc w:val="left"/>
        <w:rPr>
          <w:rFonts w:ascii="Times New Roman" w:hAnsi="Times New Roman"/>
          <w:sz w:val="20"/>
        </w:rPr>
      </w:pPr>
      <w:r>
        <w:rPr>
          <w:rFonts w:ascii="Times New Roman" w:hAnsi="Times New Roman"/>
          <w:sz w:val="20"/>
        </w:rPr>
        <w:t xml:space="preserve">(b)     the Revolving Loans and Swingline Loans made, and the Letters of Credit issued, on the Effective Date to (i) fund the Acquisition, the Refinancing, the other transactions contemplated by the Acquisition Documents and the Transaction Costs, (ii) cash collateralize, backstop, replace or provide credit support for any existing letters of credit for the account of the Company and its subsidiaries and (iii) fund any working capital needs; </w:t>
      </w:r>
      <w:r>
        <w:rPr>
          <w:rFonts w:ascii="Times New Roman" w:hAnsi="Times New Roman"/>
          <w:sz w:val="20"/>
          <w:u w:val="single"/>
        </w:rPr>
        <w:t>provided</w:t>
      </w:r>
      <w:r>
        <w:rPr>
          <w:rFonts w:ascii="Times New Roman" w:hAnsi="Times New Roman"/>
          <w:sz w:val="20"/>
        </w:rPr>
        <w:t xml:space="preserve"> that the principal amount of Revolving Loans made on the Effective Date for the purposes described in clause (b)(i) above shall not exceed $50,000,000; and </w:t>
      </w:r>
    </w:p>
    <w:p>
      <w:pPr>
        <w:pStyle w:val="TextBody"/>
        <w:bidi w:val="0"/>
        <w:spacing w:before="240" w:after="0"/>
        <w:jc w:val="left"/>
        <w:rPr>
          <w:rFonts w:ascii="Times New Roman" w:hAnsi="Times New Roman"/>
          <w:sz w:val="20"/>
        </w:rPr>
      </w:pPr>
      <w:r>
        <w:rPr>
          <w:rFonts w:ascii="Times New Roman" w:hAnsi="Times New Roman"/>
          <w:sz w:val="20"/>
        </w:rPr>
        <w:t xml:space="preserve">(c)     the Revolving Loans and Swingline Loans, and Letters of Credit issued, after the Effective Date for working capital and other general corporate purposes (including for capital expenditures, Permitted Acquisitions, Permitted Investments, Restricted Payments and any other transactions not prohibited by the Loan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(d)     the Amendment No. 1 Refinancing Term Loans to refinance in full the Initial Term Loans outstanding immediately prior to the Amendment No. 1 Effective Date. </w:t>
      </w:r>
    </w:p>
    <w:p>
      <w:pPr>
        <w:pStyle w:val="TextBody"/>
        <w:bidi w:val="0"/>
        <w:spacing w:before="36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Anti-Corruption Laws; Sanctions; 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Holdings, Bidco and the Restricted Subsidiaries is in compliance in all material respects with (i) applicable Sanctions, (ii) Title III of the USA Patriot Act, and (iii) the United States Foreign Corrupt Practices Act of 1977, as amended, the UK Bribery Act or any law or regulation implementing the OECD Convention on Combatting Bribery of Foreign Public Officials (collectively, “</w:t>
      </w:r>
      <w:r>
        <w:rPr>
          <w:rFonts w:ascii="Times New Roman" w:hAnsi="Times New Roman"/>
          <w:sz w:val="20"/>
          <w:u w:val="single"/>
        </w:rPr>
        <w:t>Anti-Corruption Laws</w:t>
      </w:r>
      <w:r>
        <w:rPr>
          <w:rFonts w:ascii="Times New Roman" w:hAnsi="Times New Roman"/>
          <w:sz w:val="20"/>
        </w:rPr>
        <w:t xml:space="preserve">”), in each of (i) through (iii), to the extent applicable to the relevant entity in a jurisdiction in which such entity operates. </w:t>
      </w:r>
    </w:p>
    <w:p>
      <w:pPr>
        <w:pStyle w:val="TextBody"/>
        <w:bidi w:val="0"/>
        <w:spacing w:before="240" w:after="0"/>
        <w:jc w:val="left"/>
        <w:rPr>
          <w:rFonts w:ascii="Times New Roman" w:hAnsi="Times New Roman"/>
          <w:sz w:val="20"/>
        </w:rPr>
      </w:pPr>
      <w:r>
        <w:rPr>
          <w:rFonts w:ascii="Times New Roman" w:hAnsi="Times New Roman"/>
          <w:sz w:val="20"/>
        </w:rPr>
        <w:t xml:space="preserve">(b)     None of Holdings, any Intermediate Parent, Bidco, any of the Restricted Subsidiaries or, any director or officer thereof, or to the knowledge of Bidco, any employee thereof, is an individual or entity with whom dealings are prohibited by any Sanctions, nor is Holdings, any Intermediate Parent, Bidco or any Restricted Subsidiary located, organized or resident in a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 and Certain Funds Utilization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each Lender (x) to make Loans and the obligations of each Issuing Bank to issue Letters of Credit hereunder on the Effective Date and (y) to make any Certain Funds Utilization on or following the Effective Date shall be subject to satisfaction of the following conditions (or waiver thereof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its counsel) shall have received from each Certain Funds Loan Party either (i) a counterpart of this Agreement signed on behalf of such party or (ii) otherwise, written evidence satisfactory to the Administrative Agent (which may include facsimile or other electronic transmission of a signed counterpart of this Agreement) that such party has signed a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have received a written opinion (addressed to the Administrative Agent, the Lenders and the Issuing Banks and dated the Effective Date) of (i) Carey Olsen (Guernsey) LLP, as Guernsey law counsel to the Administrative Agent, (ii) Ogier, as Luxembourg law counsel to the Finco Borrower, (iii) Kirkland &amp; Ellis, LLP, as New York law counsel to each Certain Funds Loan Party, (iv) Nauta-Dutilh Avocats Luxembourg S.à r.l., as Luxembourg law counsel to the Administrative Agent and (v) Milbank LLP, as English law counsel to the Administrative Agent, in each case in form and substance reasonably satisfactory to the Administrative Agent. Each applicable party hereby requests such counsel deliver such opinion.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have received a certificate of each Certain Funds Loan Party, dated the Effective Date, in form and substance reasonably satisfactory to the Administrative Agent, executed by any Responsible Officer of such Certain Funds Loan Party, and (i) including or attaching the documents referred to in </w:t>
      </w:r>
      <w:r>
        <w:rPr>
          <w:rFonts w:ascii="Times New Roman" w:hAnsi="Times New Roman"/>
          <w:sz w:val="20"/>
          <w:u w:val="single"/>
        </w:rPr>
        <w:t>Section 4.01(d)</w:t>
      </w:r>
      <w:r>
        <w:rPr>
          <w:rFonts w:ascii="Times New Roman" w:hAnsi="Times New Roman"/>
          <w:sz w:val="20"/>
        </w:rPr>
        <w:t>, (ii) confirming that, subject to the guarantee limitations set out in this Agreement, borrowing or guaranteeing or securing (as appropriate) the total Commitments hereunder would not cause any borrowing, guarantee, security or other similar limit binding on it to be exceeded and (iii) with respect to the Finco Borrower, attaching (x) a copy of an excerpt from the Luxembourg Companies Register in relation to the Finco Borrower dated no earlier than one (1) Business Day prior to the date of this Agreement and a copy of a certificate of non-registration of judgements (</w:t>
      </w:r>
      <w:r>
        <w:rPr>
          <w:rFonts w:ascii="Times New Roman" w:hAnsi="Times New Roman"/>
          <w:i/>
          <w:sz w:val="20"/>
        </w:rPr>
        <w:t>certificat de non-inscription d’une décision judiciaire</w:t>
      </w:r>
      <w:r>
        <w:rPr>
          <w:rFonts w:ascii="Times New Roman" w:hAnsi="Times New Roman"/>
          <w:sz w:val="20"/>
        </w:rPr>
        <w:t xml:space="preserve">) issued by the Luxembourg Companies Register dated no earlier than one (1) Business Day prior to the date of this Agreement, or (y) in the event the items under (x) above are not available at the date of the certificate, a </w:t>
      </w:r>
      <w:r>
        <w:rPr>
          <w:rFonts w:ascii="Times New Roman" w:hAnsi="Times New Roman"/>
          <w:i/>
          <w:sz w:val="20"/>
        </w:rPr>
        <w:t>certificat de coutume</w:t>
      </w:r>
      <w:r>
        <w:rPr>
          <w:rFonts w:ascii="Times New Roman" w:hAnsi="Times New Roman"/>
          <w:sz w:val="20"/>
        </w:rPr>
        <w:t xml:space="preserve"> (good standing certificate) issued by a Luxembourg public notary.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have received a copy of (i) each Organizational Document of each Certain Funds Loan Party, (ii) signature and (as applicable) incumbency certificates of the Responsible Officers of each Certain Funds Loan Party executing the Loan Documents to which it is a party, and (iii) copies of resolutions of the board of directors or managers, shareholders, partners, and/or similar governing bodies of each Certain Funds Loan Party approving and authorizing the execution, delivery and performance of Loan Documents to which it is a party, certified as of the Effective Date by a secretary, an assistant secretary or a Responsible Officer of such Certain Funds Loan Party as being in full force and effect without modification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p>
    <w:p>
      <w:pPr>
        <w:pStyle w:val="TextBody"/>
        <w:bidi w:val="0"/>
        <w:spacing w:before="0" w:after="0"/>
        <w:jc w:val="left"/>
        <w:rPr>
          <w:rFonts w:ascii="Times New Roman" w:hAnsi="Times New Roman"/>
          <w:sz w:val="20"/>
        </w:rPr>
      </w:pPr>
      <w:r>
        <w:rPr>
          <w:rFonts w:ascii="Times New Roman" w:hAnsi="Times New Roman"/>
          <w:sz w:val="20"/>
        </w:rPr>
        <w:t xml:space="preserve">(e)     The Administrative Agent shall have received (or substantially simultaneously with the initial funding of Loans on the Effective Date, shall receive) all fees and other amounts previously agreed in writing by the Joint Lead Arrangers and the Borrowers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Loan Document; </w:t>
      </w:r>
      <w:r>
        <w:rPr>
          <w:rFonts w:ascii="Times New Roman" w:hAnsi="Times New Roman"/>
          <w:sz w:val="20"/>
          <w:u w:val="single"/>
        </w:rPr>
        <w:t>provided tha</w:t>
      </w:r>
      <w:r>
        <w:rPr>
          <w:rFonts w:ascii="Times New Roman" w:hAnsi="Times New Roman"/>
          <w:sz w:val="20"/>
        </w:rPr>
        <w:t xml:space="preserve">t a reference to payment of such fees in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(including by reference to a funds flow statement) shall be deemed to satisfy this paragraph (e). </w:t>
      </w:r>
    </w:p>
    <w:p>
      <w:pPr>
        <w:pStyle w:val="TextBody"/>
        <w:bidi w:val="0"/>
        <w:spacing w:before="240" w:after="0"/>
        <w:jc w:val="left"/>
        <w:rPr>
          <w:rFonts w:ascii="Times New Roman" w:hAnsi="Times New Roman"/>
          <w:sz w:val="20"/>
        </w:rPr>
      </w:pPr>
      <w:r>
        <w:rPr>
          <w:rFonts w:ascii="Times New Roman" w:hAnsi="Times New Roman"/>
          <w:sz w:val="20"/>
        </w:rPr>
        <w:t xml:space="preserve">(f)     Subject to Section 5.14, the Administrative Agent (or its counsel) shall have received from the relevant Certain Funds Loan Party, in each case to the extent required on the Effective Date: (w) a counterpart of each Initial Guernsey Collateral Agreement signed on behalf of each Certain Funds Loan Party that is a party thereto, (x) a counterpart of each Initial Luxembourg Collateral Agreement signed on behalf of each Certain Funds Loan Party that is a party thereto, (y) a counterpart of the Collateral Agreement signed on behalf of each Certain Funds Loan Party that is a party thereto and (z) subject to the Agreed Security Principles, (i) a counterpart of the first ranking security governed by Guernsey law granted by the Finco Borrower in favor of the Collateral Agent over any structural intercompany receivables owed to it by Bidco as security for the Secured Obligations, (ii) each counterpart of the first ranking security governed by Guernsey or English law (as applicable) granted by Bidco in favor of the Finco Borrower over its material operating bank accounts (without control over use) as security for Bidco’s obligations under any structural intercompany loans made to it by the Finco Borrower, (iii) a counterpart of the second ranking security governed by Guernsey or English law (as applicable) granted by Bidco in favor of the Collateral Agent over its material operating bank accounts (without control over use) as security for the Secured Obligations, and (iv) a counterpart of the first ranking security governed by Guernsey or English law (as applicable) granted by the Finco Borrower in favor of the Collateral Agent over its rights in respect of the security referred to in clause (z)(ii) above as security for the Secured Obligations, in each case signed on behalf of each Certain Funds Loan Party that is a party thereto (or, in each case, written evidence satisfactory to the Administrative Agent (which may include facsimile or other electronic transmission of a signed counterpart of the relevant document) that such party has signed a counterpart of such document).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(i) a copy of the Announcement, (ii) a copy of the Co-operation Agreement, (iii) a copy of the Scheme Circular, (iv) a copy of the Fee Letter, (v) a copy of the Model and (vi) a copy of the Tax Structure Memorandum.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shall have received a certificate from a Responsible Officer of Bidco certifying that, as of the Effective Date, (i) the Scheme Effective Date has occurred and (ii) the Minimum Equity Requirement shall have been satisfied, or substantially concurrently with, or prior to, the initial funding of Loans on the Effective Date,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(i)     (i) There is no Major Event of Default continuing on the date of the proposed Certain Funds Utilization and (ii) it is not unlawful in any applicable jurisdiction for such Lender to make, or to allow to have outstanding, the proposed Certain Funds Utilization.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have received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p>
    <w:p>
      <w:pPr>
        <w:pStyle w:val="TextBody"/>
        <w:bidi w:val="0"/>
        <w:spacing w:before="0" w:after="0"/>
        <w:jc w:val="left"/>
        <w:rPr>
          <w:rFonts w:ascii="Times New Roman" w:hAnsi="Times New Roman"/>
          <w:sz w:val="20"/>
        </w:rPr>
      </w:pPr>
      <w:r>
        <w:rPr>
          <w:rFonts w:ascii="Times New Roman" w:hAnsi="Times New Roman"/>
          <w:sz w:val="20"/>
        </w:rPr>
        <w:t xml:space="preserve">(k)     Solely with respect to any Certain Funds Utilization, the Administrative Agent shall have received a certificate from a Responsible Officer of Bidco certifying that as of the date of such Certain Funds Utilization, the Minimum Equity Requirement shall have been satisfied, or substantially concurrently with, or prior to, the funding of Loans in connection therewith, shall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(l)     The Pari Passu Intercreditor Agreement shall have been duly executed and delivered by all of the Certain Funds Loan Parties stated to be party thereto.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conditions set forth in this </w:t>
      </w:r>
      <w:r>
        <w:rPr>
          <w:rFonts w:ascii="Times New Roman" w:hAnsi="Times New Roman"/>
          <w:sz w:val="20"/>
          <w:u w:val="single"/>
        </w:rPr>
        <w:t>Section 4.01</w:t>
      </w:r>
      <w:r>
        <w:rPr>
          <w:rFonts w:ascii="Times New Roman" w:hAnsi="Times New Roman"/>
          <w:sz w:val="20"/>
        </w:rPr>
        <w:t xml:space="preserve"> have been satisfied, by releasing its signature page hereto or to an Assignment and Assumption, the Administrative Agent and each Lender party hereto shall be deemed to have consented to, approved, accepted or be satisfied with each document or other matter required hereunder to be consented to or approved by, or acceptable or satisfactory to, the Administrative Agent or such Lender, as the case may be. </w:t>
      </w:r>
    </w:p>
    <w:p>
      <w:pPr>
        <w:pStyle w:val="TextBody"/>
        <w:bidi w:val="0"/>
        <w:spacing w:before="36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Effective Date (other than any Certain Funds Utilization, which shall be governed by </w:t>
      </w:r>
      <w:r>
        <w:rPr>
          <w:rFonts w:ascii="Times New Roman" w:hAnsi="Times New Roman"/>
          <w:sz w:val="20"/>
          <w:u w:val="single"/>
        </w:rPr>
        <w:t>Section 4.01</w:t>
      </w:r>
      <w:r>
        <w:rPr>
          <w:rFonts w:ascii="Times New Roman" w:hAnsi="Times New Roman"/>
          <w:sz w:val="20"/>
        </w:rPr>
        <w:t xml:space="preserve"> only), the obligation of each Lender to make a Loan on the occasion of any Borrowing, and of each Issuing Bank to issue, amend, renew or extend any Letter of Credit (other than any initial Borrowing under any Incremental Facility or any Borrowing used to finance a Limited Condition Transaction), is subject to receipt of the request therefor in accordance herewith and to the satisfaction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each Loan Party set forth in the Loan Documents (or in the case of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date of such credit extension or on such earlier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the case may be,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Borrowing, the Administrative Agent shall have received a request for Borrowing that complies with the requirements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Borrowing (</w:t>
      </w:r>
      <w:r>
        <w:rPr>
          <w:rFonts w:ascii="Times New Roman" w:hAnsi="Times New Roman"/>
          <w:sz w:val="20"/>
          <w:u w:val="single"/>
        </w:rPr>
        <w:t>provided</w:t>
      </w:r>
      <w:r>
        <w:rPr>
          <w:rFonts w:ascii="Times New Roman" w:hAnsi="Times New Roman"/>
          <w:sz w:val="20"/>
        </w:rPr>
        <w:t xml:space="preserve"> that a conversion or a continuation of a Borrowing shall not constitute a “Borrowing” for purposes of this </w:t>
      </w:r>
      <w:r>
        <w:rPr>
          <w:rFonts w:ascii="Times New Roman" w:hAnsi="Times New Roman"/>
          <w:sz w:val="20"/>
          <w:u w:val="single"/>
        </w:rPr>
        <w:t>Section 4.02</w:t>
      </w:r>
      <w:r>
        <w:rPr>
          <w:rFonts w:ascii="Times New Roman" w:hAnsi="Times New Roman"/>
          <w:sz w:val="20"/>
        </w:rPr>
        <w:t xml:space="preserve">), other than a Borrowing under any Incremental Facility or a Borrowing the proceeds of which are used to finance a Limited Condition Transaction, and each issuance, amendment, renewal or extension of a Letter of Credit shall be deemed to constitute a representation and warranty by Holdings and Bidco on the date thereof as to the matters specified in paragraphs (a) and (b) of this </w:t>
      </w:r>
      <w:r>
        <w:rPr>
          <w:rFonts w:ascii="Times New Roman" w:hAnsi="Times New Roman"/>
          <w:sz w:val="20"/>
          <w:u w:val="single"/>
        </w:rPr>
        <w:t>Section 4.02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and Bidco covenants and agrees with the Lenders that: </w:t>
      </w:r>
    </w:p>
    <w:p>
      <w:pPr>
        <w:pStyle w:val="TextBody"/>
        <w:bidi w:val="0"/>
        <w:spacing w:before="36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or a Borrower will furnish to the Administrative Agent, on behalf of each Lender: </w:t>
      </w:r>
    </w:p>
    <w:p>
      <w:pPr>
        <w:pStyle w:val="TextBody"/>
        <w:bidi w:val="0"/>
        <w:spacing w:before="240" w:after="0"/>
        <w:jc w:val="left"/>
        <w:rPr>
          <w:rFonts w:ascii="Times New Roman" w:hAnsi="Times New Roman"/>
          <w:sz w:val="20"/>
        </w:rPr>
      </w:pPr>
      <w:r>
        <w:rPr>
          <w:rFonts w:ascii="Times New Roman" w:hAnsi="Times New Roman"/>
          <w:sz w:val="20"/>
        </w:rPr>
        <w:t xml:space="preserve">(a)     on or before the date that is one hundred and twenty five (125) days after the end of each fiscal year of Bidco (or, in the case of financial statements for the fiscal year ending December 31, 2019, on or before the date that is one hundred and fifty (150) days after the end of such fiscal year), the audited consolidated balance sheet and audited consolidated statements of operations and comprehensive loss and cash flows of Bidco and its Subsidiaries as of the end of and for such year, and related notes thereto,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(other than with respect to, or resulting from, (A) an upcoming maturity date of any Indebtedness occurring within one year from the time such opinion is delivered, (B) any actual failure to satisfy a financial maintenance covenant or any potential inability to satisfy a financial maintenance covenant on a future date or in a future period, (C) a civil or criminal investigative demand, subpoena or other request for information arising from any investigation or inquiry by or on behalf of any Governmental Authority or any claim, complaint, other form of accusation of a potential or actual charge or claim, litigation, investigation, arbitration or any other form of proceeding or inquiry arising from or relating to any of the foregoing or (D) the activities, operations, financial results, assets or liabilities of any Unrestricted Subsidiary) to the effect that such consolidated financial statements present fairly in all material respects the financial condition as of the end of and for such year and results of operations and cash flows of Bidco (and/or its predecessor, as applicable) and its Subsidiaries on a consolidated basis in accordance with IFRS consistently applied; </w:t>
      </w:r>
    </w:p>
    <w:p>
      <w:pPr>
        <w:pStyle w:val="TextBody"/>
        <w:bidi w:val="0"/>
        <w:spacing w:before="240" w:after="0"/>
        <w:jc w:val="left"/>
        <w:rPr>
          <w:rFonts w:ascii="Times New Roman" w:hAnsi="Times New Roman"/>
          <w:sz w:val="20"/>
        </w:rPr>
      </w:pPr>
      <w:r>
        <w:rPr>
          <w:rFonts w:ascii="Times New Roman" w:hAnsi="Times New Roman"/>
          <w:sz w:val="20"/>
        </w:rPr>
        <w:t xml:space="preserve">(b)     on or before the date that is sixty (60) days after the end of each of the first three fiscal quarters of each fiscal year of Bidco (or, in the case of financial statements for the fiscal quarters ended September 30, 2019, March 31, 2020, June 30, 2020 and September 30, 2020, on or before the date that is ninety (90) days after the end of such fiscal quarter), unaudited consolidated balance sheet and unaudited consolidated statements of operations and comprehensive loss and cash flows of Bidco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Bidco (and/or its predecessor, as applicable) and its Subsidiaries on a consolidated basis in accordance with IFRS consistently applied, subject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(c)     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p>
    <w:p>
      <w:pPr>
        <w:pStyle w:val="TextBody"/>
        <w:bidi w:val="0"/>
        <w:spacing w:before="0" w:after="0"/>
        <w:jc w:val="left"/>
        <w:rPr>
          <w:rFonts w:ascii="Times New Roman" w:hAnsi="Times New Roman"/>
          <w:sz w:val="20"/>
        </w:rPr>
      </w:pPr>
      <w:r>
        <w:rPr>
          <w:rFonts w:ascii="Times New Roman" w:hAnsi="Times New Roman"/>
          <w:sz w:val="20"/>
        </w:rPr>
        <w:t xml:space="preserve">(d)     not later than five Business Days after any delivery of financial statements under paragraph (a) or (b) above, commencing with the financial statements delivered for the first full fiscal quarter after the Effective Date,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solely to the extent the Borrowers would be required to prepay the Term Borrowing pursuant to </w:t>
      </w:r>
      <w:r>
        <w:rPr>
          <w:rFonts w:ascii="Times New Roman" w:hAnsi="Times New Roman"/>
          <w:sz w:val="20"/>
          <w:u w:val="single"/>
        </w:rPr>
        <w:t>Section 2.10(d)</w:t>
      </w:r>
      <w:r>
        <w:rPr>
          <w:rFonts w:ascii="Times New Roman" w:hAnsi="Times New Roman"/>
          <w:sz w:val="20"/>
        </w:rPr>
        <w:t xml:space="preserve">, beginning with the financial statements for the fiscal year of Bidco ending December 31, 2020, of Excess Cash Flow for such fiscal year and (iii) in the case of financial statements delivered under paragraph (a) above, setting forth a reasonably detailed calculation of the Net Proceeds received during the applicable period by or on behalf of Bidco or any of the Restricted Subsidiaries in respect of any event described in clause (a) of the definition of the term “Prepayment Event” and the portion of such Net Proceeds that has been invested or are intended to be reinvested in accordance with the proviso in </w:t>
      </w:r>
      <w:r>
        <w:rPr>
          <w:rFonts w:ascii="Times New Roman" w:hAnsi="Times New Roman"/>
          <w:sz w:val="20"/>
          <w:u w:val="single"/>
        </w:rPr>
        <w:t>Section 2.10(c)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Bidco or any Restricted Subsidiary with the SEC or with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(f)     promptly following any request therefor, such other information regarding the operations, business affairs and financial condition of Holdings, any Intermediate Parent, Bidco or any Restricted Subsidiary, or compliance with the terms of any Loan Document, as the Administrative Agent on its own behalf or on behalf of any Lender may reasonably request in writing; and </w:t>
      </w:r>
    </w:p>
    <w:p>
      <w:pPr>
        <w:pStyle w:val="TextBody"/>
        <w:bidi w:val="0"/>
        <w:spacing w:before="240" w:after="0"/>
        <w:jc w:val="left"/>
        <w:rPr>
          <w:rFonts w:ascii="Times New Roman" w:hAnsi="Times New Roman"/>
          <w:sz w:val="20"/>
        </w:rPr>
      </w:pPr>
      <w:r>
        <w:rPr>
          <w:rFonts w:ascii="Times New Roman" w:hAnsi="Times New Roman"/>
          <w:sz w:val="20"/>
        </w:rPr>
        <w:t xml:space="preserve">(g)     Bidco or a Borrower shall promptly conduct a quarterly conference call that the Lenders may attend to discuss the financial condition and results of operations of Bidco and its Subsidiaries for the most recently ended measurement period for which financial statements have been delivered pursuant to Sections 5.01(a) and (b), at a date and time to be determined by Bidco or a Borrower with reasonable advance notice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above may be satisfied with respect to financial information of Bidco and its Subsidiaries by furnishing (A) the Form 10-K or 10-Q (or the equivalent), as applicable, of Bidco (or a parent company thereof) filed with the SEC within the applicable time periods required by applicable law and regulations or (B) the applicable financial statements of Holdings (or any direct or indirect parent of Holdings); </w:t>
      </w:r>
      <w:r>
        <w:rPr>
          <w:rFonts w:ascii="Times New Roman" w:hAnsi="Times New Roman"/>
          <w:sz w:val="20"/>
          <w:u w:val="single"/>
        </w:rPr>
        <w:t>provided</w:t>
      </w:r>
      <w:r>
        <w:rPr>
          <w:rFonts w:ascii="Times New Roman" w:hAnsi="Times New Roman"/>
          <w:sz w:val="20"/>
        </w:rPr>
        <w:t xml:space="preserve"> that (i) to the extent such information relates to a parent of Bidco, such information is accompanied by consolidating information, which may be unaudited, that explains in reasonable detail the differences between the information relating to such parent, on the one hand, and the information relating to Bidco and its Subsidiaries on a standalone basis, on the other hand, and (ii) to the extent such information referred to in (A) or (B) above is in lieu of information required to be provided under paragraph (a) above, such materials are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(i) an upcoming maturity date of any Indebtedness occurring within one year from the time such opinion is delivered, (ii) any actual failure to satisfy a financial maintenance covenant or any potential inability to satisfy a financial maintenance covenant on a future date or in a future period, (iii) a civil investigative demand, subpoena or similar request arising from any investigation by any Governmental Authority or any claim, litigation, investigation or proceeding arising from or relating to any of the foregoing) or (iv) the activities, operations, financial results, assets or liabilities of any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p>
    <w:p>
      <w:pPr>
        <w:pStyle w:val="TextBody"/>
        <w:bidi w:val="0"/>
        <w:spacing w:before="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Bidco or a Borrower posts such documents, or provides a link thereto on the Borrower’s website on the Internet at the website address listed on </w:t>
      </w:r>
      <w:r>
        <w:rPr>
          <w:rFonts w:ascii="Times New Roman" w:hAnsi="Times New Roman"/>
          <w:sz w:val="20"/>
          <w:u w:val="single"/>
        </w:rPr>
        <w:t>Schedule 9.01</w:t>
      </w:r>
      <w:r>
        <w:rPr>
          <w:rFonts w:ascii="Times New Roman" w:hAnsi="Times New Roman"/>
          <w:sz w:val="20"/>
        </w:rPr>
        <w:t xml:space="preserve"> (or otherwise notified pursuant to </w:t>
      </w:r>
      <w:r>
        <w:rPr>
          <w:rFonts w:ascii="Times New Roman" w:hAnsi="Times New Roman"/>
          <w:sz w:val="20"/>
          <w:u w:val="single"/>
        </w:rPr>
        <w:t>Section 9.01(d)</w:t>
      </w:r>
      <w:r>
        <w:rPr>
          <w:rFonts w:ascii="Times New Roman" w:hAnsi="Times New Roman"/>
          <w:sz w:val="20"/>
        </w:rPr>
        <w:t xml:space="preserve">); or (ii) on which such documents are posted on Bidco’s or a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maintain paper copies of the documents referred to above, and each Lender shall be solely responsible for timely accessing posted documents or requesting delivery of paper copies of such documents from the Administrative Agent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neither Bidco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w:t>
      </w:r>
      <w:r>
        <w:rPr>
          <w:rFonts w:ascii="Times New Roman" w:hAnsi="Times New Roman"/>
          <w:sz w:val="20"/>
          <w:u w:val="single"/>
        </w:rPr>
        <w:t>Section 5.01</w:t>
      </w:r>
      <w:r>
        <w:rPr>
          <w:rFonts w:ascii="Times New Roman" w:hAnsi="Times New Roman"/>
          <w:sz w:val="20"/>
        </w:rPr>
        <w:t xml:space="preserve">) to any third party or (v) that relates to any investigation by any Governmental Authority to the extent (x) such information is identifiable to a particular individual and Bidco in good faith determines such information should remain confidential or (y) the information requested is not factual in nature. </w:t>
      </w:r>
    </w:p>
    <w:p>
      <w:pPr>
        <w:pStyle w:val="TextBody"/>
        <w:bidi w:val="0"/>
        <w:spacing w:before="240" w:after="0"/>
        <w:jc w:val="left"/>
        <w:rPr>
          <w:rFonts w:ascii="Times New Roman" w:hAnsi="Times New Roman"/>
          <w:sz w:val="20"/>
        </w:rPr>
      </w:pPr>
      <w:r>
        <w:rPr>
          <w:rFonts w:ascii="Times New Roman" w:hAnsi="Times New Roman"/>
          <w:sz w:val="20"/>
        </w:rPr>
        <w:t>The Borrowers hereby acknowledge that (a) the Administrative Agent and/or the Joint Lead Arrangers will make available to the Lenders and the Issuing Banks materials and/or information provided by or on behalf of the Borrowers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and who may be engaged in investment and other market-related activities with respect to the Borrowers’ or their Affiliates’ securities. The Borrowers hereby agree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Issuing Banks and the Lenders to treat such Borrower Materials as not containing any Material Non-Public Information (although it may be sensitive and proprietary)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9.12</w:t>
      </w:r>
      <w:r>
        <w:rPr>
          <w:rFonts w:ascii="Times New Roman" w:hAnsi="Times New Roman"/>
          <w:sz w:val="20"/>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w:t>
      </w:r>
      <w:r>
        <w:rPr>
          <w:rFonts w:ascii="Times New Roman" w:hAnsi="Times New Roman"/>
          <w:sz w:val="20"/>
          <w:u w:val="single"/>
        </w:rPr>
        <w:t>provided</w:t>
      </w:r>
      <w:r>
        <w:rPr>
          <w:rFonts w:ascii="Times New Roman" w:hAnsi="Times New Roman"/>
          <w:sz w:val="20"/>
        </w:rPr>
        <w:t xml:space="preserve"> that the Borrowers’ failure to comply with this sentence shall not constitute a Default or an Event of Default under this Agreement or the Loan Documents. Notwithstanding the foregoing, the Borrowers shall be under no obligation to mark any Borrower Materials as “PUBLIC”. Each Loan Party hereby acknowledges and agrees that, unless Bidco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p>
    <w:p>
      <w:pPr>
        <w:pStyle w:val="TextBody"/>
        <w:bidi w:val="0"/>
        <w:spacing w:before="0" w:after="0"/>
        <w:jc w:val="left"/>
        <w:rPr>
          <w:rFonts w:ascii="Times New Roman" w:hAnsi="Times New Roman"/>
          <w:sz w:val="20"/>
        </w:rPr>
      </w:pPr>
      <w:r>
        <w:rPr>
          <w:rFonts w:ascii="Times New Roman" w:hAnsi="Times New Roman"/>
          <w:sz w:val="20"/>
        </w:rPr>
        <w:t xml:space="preserve">or a Borrower notifies the Administrative Agent in advance, all financial statements and certificates furnished pursuant to </w:t>
      </w:r>
      <w:r>
        <w:rPr>
          <w:rFonts w:ascii="Times New Roman" w:hAnsi="Times New Roman"/>
          <w:sz w:val="20"/>
          <w:u w:val="single"/>
        </w:rPr>
        <w:t>Sections 5.01(a)</w:t>
      </w:r>
      <w:r>
        <w:rPr>
          <w:rFonts w:ascii="Times New Roman" w:hAnsi="Times New Roman"/>
          <w:sz w:val="20"/>
        </w:rPr>
        <w:t xml:space="preserve">, </w:t>
      </w:r>
      <w:r>
        <w:rPr>
          <w:rFonts w:ascii="Times New Roman" w:hAnsi="Times New Roman"/>
          <w:sz w:val="20"/>
          <w:u w:val="single"/>
        </w:rPr>
        <w:t>5.01(b)</w:t>
      </w:r>
      <w:r>
        <w:rPr>
          <w:rFonts w:ascii="Times New Roman" w:hAnsi="Times New Roman"/>
          <w:sz w:val="20"/>
        </w:rPr>
        <w:t xml:space="preserve">, </w:t>
      </w:r>
      <w:r>
        <w:rPr>
          <w:rFonts w:ascii="Times New Roman" w:hAnsi="Times New Roman"/>
          <w:sz w:val="20"/>
          <w:u w:val="single"/>
        </w:rPr>
        <w:t>5.01(c)</w:t>
      </w:r>
      <w:r>
        <w:rPr>
          <w:rFonts w:ascii="Times New Roman" w:hAnsi="Times New Roman"/>
          <w:sz w:val="20"/>
        </w:rPr>
        <w:t xml:space="preserve"> and </w:t>
      </w:r>
      <w:r>
        <w:rPr>
          <w:rFonts w:ascii="Times New Roman" w:hAnsi="Times New Roman"/>
          <w:sz w:val="20"/>
          <w:u w:val="single"/>
        </w:rPr>
        <w:t>5.01(d)</w:t>
      </w:r>
      <w:r>
        <w:rPr>
          <w:rFonts w:ascii="Times New Roman" w:hAnsi="Times New Roman"/>
          <w:sz w:val="20"/>
        </w:rPr>
        <w:t xml:space="preserve"> above are hereby deemed to be suitable for distribution, and to be made available, to all Lenders and may be treated by the Administrative Agent and the Lenders as not containing any Material Non-Public Information. </w:t>
      </w:r>
    </w:p>
    <w:p>
      <w:pPr>
        <w:pStyle w:val="TextBody"/>
        <w:bidi w:val="0"/>
        <w:spacing w:before="36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any Responsible Officer of Bidco or a Borrower obtains actual knowledge thereof, Holdings, Bidco or a Borrower will furnish to the Administrative Agent (for distribution to each Lender through the Administrative Agent) written notice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permissible by Requirements of Law, the filing or commencement of any action, suit or proceeding by or before any arbitrator or Governmental Authority against or, to the knowledge of a Financial Officer or another executive officer of Holdings, Bidco or any Subsidiary, affecting Holdings, any Intermediate Parent, Bidco or any Subsidiary, or the receipt of a written notice of an Environmental Liability, in each case that would reasonably be expected to result in a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(c)     the occurrence of any ERISA Event with respect to a Plan sponsored by a Loan Party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w:t>
      </w:r>
      <w:r>
        <w:rPr>
          <w:rFonts w:ascii="Times New Roman" w:hAnsi="Times New Roman"/>
          <w:sz w:val="20"/>
          <w:u w:val="single"/>
        </w:rPr>
        <w:t>Section 5.02</w:t>
      </w:r>
      <w:r>
        <w:rPr>
          <w:rFonts w:ascii="Times New Roman" w:hAnsi="Times New Roman"/>
          <w:sz w:val="20"/>
        </w:rPr>
        <w:t xml:space="preserve"> shall be accompanied by a written statement of a Responsible Officer of Holdings, Bidco or a Borrower setting forth the details of the event or development requiring such notice and any action taken or proposed to be taken with respect thereto. </w:t>
      </w:r>
    </w:p>
    <w:p>
      <w:pPr>
        <w:pStyle w:val="TextBody"/>
        <w:bidi w:val="0"/>
        <w:spacing w:before="36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Information Regarding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Holdings, Bidco or a Borrower will furnish to the Administrative Agent prompt (and in any event within thirty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in a jurisdiction where an organizational identification number is required to be included in a UCC financing statement for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Not later than five Business Days after financial statements are required to be delivered pursuant to </w:t>
      </w:r>
      <w:r>
        <w:rPr>
          <w:rFonts w:ascii="Times New Roman" w:hAnsi="Times New Roman"/>
          <w:sz w:val="20"/>
          <w:u w:val="single"/>
        </w:rPr>
        <w:t>Section 5.01(a)</w:t>
      </w:r>
      <w:r>
        <w:rPr>
          <w:rFonts w:ascii="Times New Roman" w:hAnsi="Times New Roman"/>
          <w:sz w:val="20"/>
        </w:rPr>
        <w:t xml:space="preserve">, Holdings, Bidco or a Borrower shall deliver to the Administrative Agent a certificate executed by a Responsible Officer of Holdings, Bidco or a Borrower (i) setting forth the information required pursuant to Paragraphs 1, 2(a), 6, 7 and 8 of the Perfection Certificate (in a schedule, supplement or otherwise) or confirming that there has been no change in such information since the later of (x) the date of the Perfection Certificate delivered on the Effective Date or (y) the date of the most recent certificate delivered pursuant to this </w:t>
      </w:r>
      <w:r>
        <w:rPr>
          <w:rFonts w:ascii="Times New Roman" w:hAnsi="Times New Roman"/>
          <w:sz w:val="20"/>
          <w:u w:val="single"/>
        </w:rPr>
        <w:t>Section 5.03</w:t>
      </w:r>
      <w:r>
        <w:rPr>
          <w:rFonts w:ascii="Times New Roman" w:hAnsi="Times New Roman"/>
          <w:sz w:val="20"/>
        </w:rPr>
        <w:t xml:space="preserve">, (ii) identifying any Wholly Owned Restricted Subsidiary that has become, or ceased to be, a Material Subsidiary, a Guarantor Coverage Material Subsidiary or an Excluded Subsidiary during the most recently ended fiscal year and (iii) certifying that all notices required to be given prior to the date of such certificate by this </w:t>
      </w:r>
      <w:r>
        <w:rPr>
          <w:rFonts w:ascii="Times New Roman" w:hAnsi="Times New Roman"/>
          <w:sz w:val="20"/>
          <w:u w:val="single"/>
        </w:rPr>
        <w:t>Section 5.03</w:t>
      </w:r>
      <w:r>
        <w:rPr>
          <w:rFonts w:ascii="Times New Roman" w:hAnsi="Times New Roman"/>
          <w:sz w:val="20"/>
        </w:rPr>
        <w:t xml:space="preserve"> have been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Existence; 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Bidco) that the failure to do so would not reasonably be expected to have a Material Adverse Effect; </w:t>
      </w:r>
      <w:r>
        <w:rPr>
          <w:rFonts w:ascii="Times New Roman" w:hAnsi="Times New Roman"/>
          <w:sz w:val="20"/>
          <w:u w:val="single"/>
        </w:rPr>
        <w:t>provided</w:t>
      </w:r>
      <w:r>
        <w:rPr>
          <w:rFonts w:ascii="Times New Roman" w:hAnsi="Times New Roman"/>
          <w:sz w:val="20"/>
        </w:rPr>
        <w:t xml:space="preserve"> that the foregoing shall not prohibit any merger, amalgamation, consolidation, liquidation or dissolution permitted under </w:t>
      </w:r>
      <w:r>
        <w:rPr>
          <w:rFonts w:ascii="Times New Roman" w:hAnsi="Times New Roman"/>
          <w:sz w:val="20"/>
          <w:u w:val="single"/>
        </w:rPr>
        <w:t>Section 6.03</w:t>
      </w:r>
      <w:r>
        <w:rPr>
          <w:rFonts w:ascii="Times New Roman" w:hAnsi="Times New Roman"/>
          <w:sz w:val="20"/>
        </w:rPr>
        <w:t xml:space="preserve"> or any Asset Sale permitted by </w:t>
      </w:r>
      <w:r>
        <w:rPr>
          <w:rFonts w:ascii="Times New Roman" w:hAnsi="Times New Roman"/>
          <w:sz w:val="20"/>
          <w:u w:val="single"/>
        </w:rPr>
        <w:t>Section 6.04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Payment of Taxes,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any Intermediate Parent, Bidco or any of its Subsidiaries and Holdings, Bidco or such Subsidiary, as the case may be, has set aside on its books adequate reserves therefor to the extent required by and in accordance with IFRS and applicable local standards, or (b) the failure to make payment would not reasonably be expected, individually or in the aggregate,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keep and maintain all tangible property material to the conduct of its business in good working order and condition (subject to casualty, condemnation and ordinary wear and tear), which shall include, in the case of the Satellites (other than any Satellites yet to be launched), the provision of tracking, telemetry, control and monitoring of the Satellites in their designated orbital positions in accordance with prudent and diligent standards in the commercial satellite industry, in each case, except where the failure to do so would not reasonably be expected to have,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Collateral Agent, information presented in reasonable detail as to the insurance so carried. Bidco shall cause each such general liability policy of insurance (other than directors and officers policies, workers’ compensation policies and business interruption insurance) in excess of $10,000,000 and except, in the case of any Foreign Subsidiary where it is not customary to do so in the relevant jurisdiction, to (i) in the case of each liability insurance policy, name the Collateral Agent, on behalf of the Secured Parties, as an additional insured thereunder as its interests may appear and (ii) in the case of each property insurance policy, contain a lenders loss payable clause and mortgagee endorsement, as applicable, that names the Collateral Agent, on behalf of the Secured Parties, as the lender loss payee and mortgagee, as applicable,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p>
    <w:p>
      <w:pPr>
        <w:pStyle w:val="TextBody"/>
        <w:bidi w:val="0"/>
        <w:spacing w:before="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Books and Records; Inspection and Audit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of the Restricted Subsidiaries to, maintain proper books of record and account in which entries that are full, true and correct in all material respects and are in conformity with IFRS (or applicable local standards) consistently applied shall be made of all material financial transactions and matters involving the assets and business of Holdings, any Intermediate Parent, Bidco or the Restricted Subsidiaries, as the case may be. Each of Holdings and Bidco will, and will cause any Intermediate Parent and each Restricted Subsidiary to, permit any representatives designated by the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hAnsi="Times New Roman"/>
          <w:sz w:val="20"/>
          <w:u w:val="single"/>
        </w:rPr>
        <w:t>provided</w:t>
      </w:r>
      <w:r>
        <w:rPr>
          <w:rFonts w:ascii="Times New Roman" w:hAnsi="Times New Roman"/>
          <w:sz w:val="20"/>
        </w:rPr>
        <w:t xml:space="preserve"> that (i) such representatives shall use commercially reasonable efforts to avoid interruption of the normal business operations of Bidco and its Subsidiaries and (ii) excluding any such visits and inspections during the continuation of an Event of Default, only the Administrative Agent on behalf of the Lenders may exercise visitation and inspection rights of the Administrative Agent and the Lenders under this </w:t>
      </w:r>
      <w:r>
        <w:rPr>
          <w:rFonts w:ascii="Times New Roman" w:hAnsi="Times New Roman"/>
          <w:sz w:val="20"/>
          <w:u w:val="single"/>
        </w:rPr>
        <w:t>Section 5.08</w:t>
      </w:r>
      <w:r>
        <w:rPr>
          <w:rFonts w:ascii="Times New Roman" w:hAnsi="Times New Roman"/>
          <w:sz w:val="20"/>
        </w:rPr>
        <w:t xml:space="preserve"> and the Administrative Agent shall not exercise such rights more often than one time during any calendar year absent the existence of an Event of Default and such time shall be at the Borrowers’ expense; </w:t>
      </w:r>
      <w:r>
        <w:rPr>
          <w:rFonts w:ascii="Times New Roman" w:hAnsi="Times New Roman"/>
          <w:sz w:val="20"/>
          <w:u w:val="single"/>
        </w:rPr>
        <w:t>provided, further</w:t>
      </w:r>
      <w:r>
        <w:rPr>
          <w:rFonts w:ascii="Times New Roman" w:hAnsi="Times New Roman"/>
          <w:sz w:val="20"/>
        </w:rPr>
        <w:t xml:space="preserve"> that (a) when an Event of Default exists, the Administrative Agent (or any of its representatives or independent contractors) may do any of the foregoing at the expense of the Borrowers at any time during normal business hours and upon reasonable advance notice and (b) the Administrative Agent and the Lenders shall give Holdings and Bidco the opportunity to participate in any discussions with Holdings’ or Bidco’s independent public accountants. </w:t>
      </w:r>
    </w:p>
    <w:p>
      <w:pPr>
        <w:pStyle w:val="TextBody"/>
        <w:bidi w:val="0"/>
        <w:spacing w:before="36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Bidco will, and will cause any Intermediate Parent and each Subsidiary to, comply with all Requirements of Law (including ERISA and other applicable pension laws, Environmental Laws and the USA PATRIOT Act) with respect to it, its property and operations, except where the failure to do so, individually or in the aggregate, would not reasonably be expected to result in a Material Adverse Effect. </w:t>
      </w:r>
    </w:p>
    <w:p>
      <w:pPr>
        <w:pStyle w:val="TextBody"/>
        <w:bidi w:val="0"/>
        <w:spacing w:before="36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Use of Proceeds and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the Borrowers will use the proceeds of the Term Loans, the Revolving Loans, the Swingline Loans and the Letters of Credit solely in accordance with </w:t>
      </w:r>
      <w:r>
        <w:rPr>
          <w:rFonts w:ascii="Times New Roman" w:hAnsi="Times New Roman"/>
          <w:sz w:val="20"/>
          <w:u w:val="single"/>
        </w:rPr>
        <w:t>Section 3.17</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Additional Subsidiaries; Guarantor Coverage Test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 any additional Domestic Restricted Subsidiary that is not an Excluded Subsidiary or Intermediate Parent is formed or acquired after the Effective Date, (ii) any Domestic Restricted Subsidiary ceases to be an Excluded Subsidiary (other than any Immaterial Subsidiary that becomes a Material Subsidiary, which shall be subject to </w:t>
      </w:r>
      <w:r>
        <w:rPr>
          <w:rFonts w:ascii="Times New Roman" w:hAnsi="Times New Roman"/>
          <w:sz w:val="20"/>
          <w:u w:val="single"/>
        </w:rPr>
        <w:t>Section 5.11(b))</w:t>
      </w:r>
      <w:r>
        <w:rPr>
          <w:rFonts w:ascii="Times New Roman" w:hAnsi="Times New Roman"/>
          <w:sz w:val="20"/>
        </w:rPr>
        <w:t xml:space="preserve"> or (iii) Bidco, at its option, elects to cause a Domestic Subsidiary that is otherwise an Excluded Subsidiary, or to the extent reasonably acceptable to the Administrative Agent, a Foreign Subsidiary that is otherwise an Excluded Subsidiary (including any Subsidiary that is not a Wholly Owned Subsidiary or any consolidated Affiliate in which Bidco and its Subsidiaries own no Equity Interest) to become a Subsidiary Loan Party (such Subsidiary Loan Party, a “</w:t>
      </w:r>
      <w:r>
        <w:rPr>
          <w:rFonts w:ascii="Times New Roman" w:hAnsi="Times New Roman"/>
          <w:sz w:val="20"/>
          <w:u w:val="single"/>
        </w:rPr>
        <w:t>Borrower-Designated Guarantor</w:t>
      </w:r>
      <w:r>
        <w:rPr>
          <w:rFonts w:ascii="Times New Roman" w:hAnsi="Times New Roman"/>
          <w:sz w:val="20"/>
        </w:rPr>
        <w:t xml:space="preserve">”), then Holdings, Bidco or a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p>
    <w:p>
      <w:pPr>
        <w:pStyle w:val="TextBody"/>
        <w:bidi w:val="0"/>
        <w:spacing w:before="0" w:after="0"/>
        <w:jc w:val="left"/>
        <w:rPr>
          <w:rFonts w:ascii="Times New Roman" w:hAnsi="Times New Roman"/>
          <w:sz w:val="20"/>
        </w:rPr>
      </w:pPr>
      <w:r>
        <w:rPr>
          <w:rFonts w:ascii="Times New Roman" w:hAnsi="Times New Roman"/>
          <w:sz w:val="20"/>
        </w:rPr>
        <w:t xml:space="preserve">will, within 30 days (or such longer period as may be agreed to by the Administrative Agent in its reasonable discretion) after (x) such newly formed or acquired Restricted Subsidiary or any Intermediate Parent is formed or acquired, (y) such Restricted Subsidiary ceases to be an Excluded Subsidiary or (z) Bidco has made such election, notify the Administrative Agent thereof, and will cause such Restricted Subsidiary (unless such Restricted Subsidiary is an Excluded Subsidiary) or any Intermediate Parent to satisfy the Collateral and Guarantee Requirement with respect to such Restricted Subsidiary or any Intermediate Parent and with respect to any Equity Interest in or Indebtedness of such Restricted Subsidiary or any Intermediate Parent owned by or on behalf of any Loan Party within 30 days (or 60 days in the case of a Borrower-Designated Guarantor that is a Foreign Subsidiary) after such notice (or such longer period as the Administrative Agent shall reasonably agree), Bidco shall deliver to the Administrative Agent a completed Perfection Certificate (or supplement thereof) with respect to such Domestic Restricted Subsidiary or any Intermediate Parent signed by a Responsible Officer, together with all attachments contemplated thereby concurrently with the satisfaction of the Collateral and Guarantee Requirement with respect to such Restricted Subsidiary or any Intermediate Parent. </w:t>
      </w:r>
    </w:p>
    <w:p>
      <w:pPr>
        <w:pStyle w:val="TextBody"/>
        <w:bidi w:val="0"/>
        <w:spacing w:before="240" w:after="0"/>
        <w:jc w:val="left"/>
        <w:rPr>
          <w:rFonts w:ascii="Times New Roman" w:hAnsi="Times New Roman"/>
          <w:sz w:val="20"/>
        </w:rPr>
      </w:pPr>
      <w:r>
        <w:rPr>
          <w:rFonts w:ascii="Times New Roman" w:hAnsi="Times New Roman"/>
          <w:sz w:val="20"/>
        </w:rPr>
        <w:t xml:space="preserve">(b)     Within 45 days (or such longer period as otherwise provided in this Agreement or as the Administrative Agent may reasonably agree) after Holdings, Bidco or a Borrower identifies any new Material Subsidiary that is a Domestic Subsidiary pursuant to </w:t>
      </w:r>
      <w:r>
        <w:rPr>
          <w:rFonts w:ascii="Times New Roman" w:hAnsi="Times New Roman"/>
          <w:sz w:val="20"/>
          <w:u w:val="single"/>
        </w:rPr>
        <w:t>Section 5.03(b)</w:t>
      </w:r>
      <w:r>
        <w:rPr>
          <w:rFonts w:ascii="Times New Roman" w:hAnsi="Times New Roman"/>
          <w:sz w:val="20"/>
        </w:rPr>
        <w:t xml:space="preserve">, all actions (if any) required to be taken with respect to such Subsidiary in order to satisfy the Collateral and Guarantee Requirement shall have been taken with respect to such Subsidiary, to the extent not already satisfied pursuant to </w:t>
      </w:r>
      <w:r>
        <w:rPr>
          <w:rFonts w:ascii="Times New Roman" w:hAnsi="Times New Roman"/>
          <w:sz w:val="20"/>
          <w:u w:val="single"/>
        </w:rPr>
        <w:t>Section 5.11(a)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Bidco shall ensure that, subject to the Agreed Security Principles, the Guarantor Coverage Test is satisfied on: </w:t>
      </w:r>
    </w:p>
    <w:p>
      <w:pPr>
        <w:pStyle w:val="TextBody"/>
        <w:bidi w:val="0"/>
        <w:spacing w:before="120" w:after="0"/>
        <w:jc w:val="left"/>
        <w:rPr>
          <w:rFonts w:ascii="Times New Roman" w:hAnsi="Times New Roman"/>
          <w:sz w:val="20"/>
        </w:rPr>
      </w:pPr>
      <w:r>
        <w:rPr>
          <w:rFonts w:ascii="Times New Roman" w:hAnsi="Times New Roman"/>
          <w:sz w:val="20"/>
        </w:rPr>
        <w:t xml:space="preserve">(i)     the date which is 150 days after (and excluding) the Effective Date (or such later date as the Administrative Agent may reasonably agree), by reference to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or, if no such statements have been delivered, the most recent audited consolidated financial statements of the Company (or, at the option of Bidco, such other financial statements for the most recently completed Test Period prior to such test date for which Bidco has sufficient available information to be able to determine the Guarantor Coverage Test); and </w:t>
      </w:r>
    </w:p>
    <w:p>
      <w:pPr>
        <w:pStyle w:val="TextBody"/>
        <w:bidi w:val="0"/>
        <w:spacing w:before="120" w:after="0"/>
        <w:jc w:val="left"/>
        <w:rPr>
          <w:rFonts w:ascii="Times New Roman" w:hAnsi="Times New Roman"/>
          <w:sz w:val="20"/>
        </w:rPr>
      </w:pPr>
      <w:r>
        <w:rPr>
          <w:rFonts w:ascii="Times New Roman" w:hAnsi="Times New Roman"/>
          <w:sz w:val="20"/>
        </w:rPr>
        <w:t xml:space="preserve">(ii)     thereafter, on the date on which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are required to be delivered to the Administrative Agent in respect of each fiscal year ending after the date on which the Guarantor Coverage Test is required to be satisfied in accordance with paragraph (i) above, by reference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(d)     If, in accordance with the provisions of paragraph (c)(ii) above, the Guarantor Coverage Test is not satisfied on any test date referred to in paragraph (c)(ii) above: </w:t>
      </w:r>
    </w:p>
    <w:p>
      <w:pPr>
        <w:pStyle w:val="TextBody"/>
        <w:bidi w:val="0"/>
        <w:spacing w:before="120" w:after="0"/>
        <w:jc w:val="left"/>
        <w:rPr>
          <w:rFonts w:ascii="Times New Roman" w:hAnsi="Times New Roman"/>
          <w:sz w:val="20"/>
        </w:rPr>
      </w:pPr>
      <w:r>
        <w:rPr>
          <w:rFonts w:ascii="Times New Roman" w:hAnsi="Times New Roman"/>
          <w:sz w:val="20"/>
        </w:rPr>
        <w:t xml:space="preserve">(i)     Bidco shall ensure that within 150 days of such test date (or such later date as the Administrative Agent may reasonably agree), such other Restricted Subsidiaries of Bidco (as Bidco may elect in its sole discretion) shall, subject to and on terms consistent with the Agreed Security Principles, accede as Guarantors to ensure that the Guarantor Coverage Test is satisfied (calculated as if such Guarantors had been Guarantors at such test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p>
    <w:p>
      <w:pPr>
        <w:pStyle w:val="TextBody"/>
        <w:bidi w:val="0"/>
        <w:spacing w:before="0" w:after="0"/>
        <w:jc w:val="left"/>
        <w:rPr>
          <w:rFonts w:ascii="Times New Roman" w:hAnsi="Times New Roman"/>
          <w:sz w:val="20"/>
        </w:rPr>
      </w:pPr>
      <w:r>
        <w:rPr>
          <w:rFonts w:ascii="Times New Roman" w:hAnsi="Times New Roman"/>
          <w:sz w:val="20"/>
        </w:rPr>
        <w:t xml:space="preserve">(ii)     if Bidco has satisfied its obligations under paragraph (i) above within such 150 days of such test date (or such later date as the Administrative Agent may reasonably agree), no Default, Event of Default or other breach of the Loan Documents shall arise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(e)     Bidco shall ensure that, subject to and on terms consistent with the Agreed Security Principles: </w:t>
      </w:r>
    </w:p>
    <w:p>
      <w:pPr>
        <w:pStyle w:val="TextBody"/>
        <w:bidi w:val="0"/>
        <w:spacing w:before="120" w:after="0"/>
        <w:jc w:val="left"/>
        <w:rPr>
          <w:rFonts w:ascii="Times New Roman" w:hAnsi="Times New Roman"/>
          <w:sz w:val="20"/>
        </w:rPr>
      </w:pPr>
      <w:r>
        <w:rPr>
          <w:rFonts w:ascii="Times New Roman" w:hAnsi="Times New Roman"/>
          <w:sz w:val="20"/>
        </w:rPr>
        <w:t xml:space="preserve">(i)     each Restricted Subsidiary that is a Guarantor Coverage Material Subsidiary at the Effective Date and that has not ceased to be a Guarantor Coverage Material Subsidiary at the date referenced in paragraph (c)(i) above, tested by reference to the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or, if no such statements have been delivered, the most recent audited consolidated financial statements of the Company (or, at the option of Bidco, such other financial statements for the most recently completed Test Period) shall have acceded as a Guarantor within the time period described for satisfaction of the Guarantor Coverage Test in paragraph (c)(i) above and taken all actions (if any) required to be taken with respect to such Subsidiary in order to satisfy the Collateral and Guarantee Requirement, to the extent not already satisfied pursuant to </w:t>
      </w:r>
      <w:r>
        <w:rPr>
          <w:rFonts w:ascii="Times New Roman" w:hAnsi="Times New Roman"/>
          <w:sz w:val="20"/>
          <w:u w:val="single"/>
        </w:rPr>
        <w:t>Section 5.11(a)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each Restricted Subsidiary that becomes a Guarantor Coverage Material Subsidiary after the Effective Date (by reference to the most recent financial statements that are required to be delivered pursuant to </w:t>
      </w:r>
      <w:r>
        <w:rPr>
          <w:rFonts w:ascii="Times New Roman" w:hAnsi="Times New Roman"/>
          <w:sz w:val="20"/>
          <w:u w:val="single"/>
        </w:rPr>
        <w:t>Section 5.01(a))</w:t>
      </w:r>
      <w:r>
        <w:rPr>
          <w:rFonts w:ascii="Times New Roman" w:hAnsi="Times New Roman"/>
          <w:sz w:val="20"/>
        </w:rPr>
        <w:t xml:space="preserve"> will accede as a Guarantor within 150 days of the date on which such financial statements are required to be delivered to the Administrative Agent in accordance with </w:t>
      </w:r>
      <w:r>
        <w:rPr>
          <w:rFonts w:ascii="Times New Roman" w:hAnsi="Times New Roman"/>
          <w:sz w:val="20"/>
          <w:u w:val="single"/>
        </w:rPr>
        <w:t>Section 5.01(a)</w:t>
      </w:r>
      <w:r>
        <w:rPr>
          <w:rFonts w:ascii="Times New Roman" w:hAnsi="Times New Roman"/>
          <w:sz w:val="20"/>
        </w:rPr>
        <w:t xml:space="preserve"> (or such later date as the Administrative Agent may reasonably agree) and take all actions (if any) required to be taken with respect to such Subsidiary in order to satisfy the Collateral and Guarantee Requirement, to the extent not already satisfied pursuant to </w:t>
      </w:r>
      <w:r>
        <w:rPr>
          <w:rFonts w:ascii="Times New Roman" w:hAnsi="Times New Roman"/>
          <w:sz w:val="20"/>
          <w:u w:val="single"/>
        </w:rPr>
        <w:t>Section 5.11(a)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(i) the last paragraph of the definition of “Collateral and Guarantee Requirement” and (ii) in the case of Non-U.S. Loan Parties, the Agreed Security Principles, each of Holdings and Bidco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(b)     If, after the Effective Date, any material assets (other than Excluded Assets), are acquired by any Loan Party or are held by any Subsidiary on or after the time it becomes a Loan Party pursuant to </w:t>
      </w:r>
      <w:r>
        <w:rPr>
          <w:rFonts w:ascii="Times New Roman" w:hAnsi="Times New Roman"/>
          <w:sz w:val="20"/>
          <w:u w:val="single"/>
        </w:rPr>
        <w:t>Section 5.11</w:t>
      </w:r>
      <w:r>
        <w:rPr>
          <w:rFonts w:ascii="Times New Roman" w:hAnsi="Times New Roman"/>
          <w:sz w:val="20"/>
        </w:rPr>
        <w:t xml:space="preserve"> (other than assets constituting Collateral under a Security Document that become subject to the Lien created by such Security Document upon acquisition thereof or constituting Excluded Assets), Bidco will notify the Administrative Agent thereof, and, if requested by the Administrative Agent, Bidco will cause such assets to be subjected to a Lien securing the Secured Obligations and will take and cause the other U.S. Loan Parties to take, such actions as shall be necessary and reasonably requested by the Administrative Agent to grant and perfect such Liens, including actions described in paragraph (a) of this </w:t>
      </w:r>
      <w:r>
        <w:rPr>
          <w:rFonts w:ascii="Times New Roman" w:hAnsi="Times New Roman"/>
          <w:sz w:val="20"/>
          <w:u w:val="single"/>
        </w:rPr>
        <w:t>Section 5.12</w:t>
      </w:r>
      <w:r>
        <w:rPr>
          <w:rFonts w:ascii="Times New Roman" w:hAnsi="Times New Roman"/>
          <w:sz w:val="20"/>
        </w:rPr>
        <w:t xml:space="preserve"> and as required pursuant to the “Collateral and Guarantee Requirement,” all at the expense of the Loan Parties and subject to the last paragraph of the definition of the term “Collateral and Guarantee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Designation of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may at any time after the Effective Date designate any Restricted Subsidiary (other than any Borrower) as an Unrestricted Subsidiary or any Unrestricted Subsidiary as a Restricted Subsidiary; </w:t>
      </w:r>
      <w:r>
        <w:rPr>
          <w:rFonts w:ascii="Times New Roman" w:hAnsi="Times New Roman"/>
          <w:sz w:val="20"/>
          <w:u w:val="single"/>
        </w:rPr>
        <w:t>provided</w:t>
      </w:r>
      <w:r>
        <w:rPr>
          <w:rFonts w:ascii="Times New Roman" w:hAnsi="Times New Roman"/>
          <w:sz w:val="20"/>
        </w:rPr>
        <w:t xml:space="preserve"> that immediately after such designation on a Pro Forma Basis, no Event of Default shall have occurred and be continuing. The designation of any Subsidiary as an Unrestricted Subsidiary after the Effective Date shall constitute an Investment by Bidco therein at the date of designation in an amount equal to the fair market value of Bidco’s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Bidco in Unrestricted Subsidiaries pursuant to the preceding sentence in an amount equal to the fair market value at the date of such designation of Bidco’s or its Subsidiary’s (as applicable) Investment in such Subsidiary. </w:t>
      </w:r>
    </w:p>
    <w:p>
      <w:pPr>
        <w:pStyle w:val="TextBody"/>
        <w:bidi w:val="0"/>
        <w:spacing w:before="36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Certain Post-Closing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and in any event within the time periods after the Effective Date specified in </w:t>
      </w:r>
      <w:r>
        <w:rPr>
          <w:rFonts w:ascii="Times New Roman" w:hAnsi="Times New Roman"/>
          <w:sz w:val="20"/>
          <w:u w:val="single"/>
        </w:rPr>
        <w:t>Schedule 5.14</w:t>
      </w:r>
      <w:r>
        <w:rPr>
          <w:rFonts w:ascii="Times New Roman" w:hAnsi="Times New Roman"/>
          <w:sz w:val="20"/>
        </w:rPr>
        <w:t xml:space="preserve"> or such later date as the Administrative Agent reasonably agrees to in writing, including to reasonably accommodate circumstances unforeseen on the Effective Date, Holdings, Bidco and each other Loan Party shall deliver the documents or take the actions specified on </w:t>
      </w:r>
      <w:r>
        <w:rPr>
          <w:rFonts w:ascii="Times New Roman" w:hAnsi="Times New Roman"/>
          <w:sz w:val="20"/>
          <w:u w:val="single"/>
        </w:rPr>
        <w:t>Schedule 5.14</w:t>
      </w:r>
      <w:r>
        <w:rPr>
          <w:rFonts w:ascii="Times New Roman" w:hAnsi="Times New Roman"/>
          <w:sz w:val="20"/>
        </w:rPr>
        <w:t xml:space="preserve"> that would have been required to be delivered or taken on the Effective Date, in each case except to the extent otherwise agreed by the Administrative Agent pursuant to its authority as set forth in the definition of the term “Collateral and Guarantee Requirement.” </w:t>
      </w:r>
    </w:p>
    <w:p>
      <w:pPr>
        <w:pStyle w:val="TextBody"/>
        <w:bidi w:val="0"/>
        <w:spacing w:before="36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Maintenance of Rating of Bidco and the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Parties shall use commercially reasonable efforts to maintain (i) a public corporate credit rating (but not any particular rating) from S&amp;P and a public corporate family rating (but not any particular rating) from Moody’s, in each case in respect of Bidco and (ii) a public rating (but not any particular rating) in respect of the Loans from each of S&amp;P and Moody’s. </w:t>
      </w:r>
    </w:p>
    <w:p>
      <w:pPr>
        <w:pStyle w:val="TextBody"/>
        <w:bidi w:val="0"/>
        <w:spacing w:before="36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Lines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p>
    <w:p>
      <w:pPr>
        <w:pStyle w:val="TextBody"/>
        <w:bidi w:val="0"/>
        <w:spacing w:before="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Transactions with Affiliates.</w:t>
      </w:r>
      <w:r>
        <w:rPr>
          <w:rFonts w:ascii="Times New Roman" w:hAnsi="Times New Roman"/>
          <w:sz w:val="20"/>
        </w:rPr>
        <w:t xml:space="preserve"> Bidco will conduct, and cause each of the Restricted Subsidiaries to conduct, all transactions with any of its Affiliates (other than Bidco and the Restricted Subsidiaries (including any entity that becomes a Restricted Subsidiary as a result of such transaction) involving aggregate payments or consideration in excess of the greater of $75,000,000 and 10% of Consolidated EBITDA for the most recently ended Test Period, calculated on a Pro Forma Basis, at the time of such Affiliate transaction, for any individual transaction or series of related transactions, on terms substantially as favorable to Bidco or such Restricted Subsidiary as would be obtainable by such Person at the time in a comparable arm’s-length transaction with a Person other than an Affiliate; </w:t>
      </w:r>
      <w:r>
        <w:rPr>
          <w:rFonts w:ascii="Times New Roman" w:hAnsi="Times New Roman"/>
          <w:sz w:val="20"/>
          <w:u w:val="single"/>
        </w:rPr>
        <w:t>provided</w:t>
      </w:r>
      <w:r>
        <w:rPr>
          <w:rFonts w:ascii="Times New Roman" w:hAnsi="Times New Roman"/>
          <w:sz w:val="20"/>
        </w:rPr>
        <w:t xml:space="preserve"> that the foregoing restrictions shall not apply to: (i) any merger, amalgamation or consolidation with any direct or indirect parent of Bidco; </w:t>
      </w:r>
      <w:r>
        <w:rPr>
          <w:rFonts w:ascii="Times New Roman" w:hAnsi="Times New Roman"/>
          <w:sz w:val="20"/>
          <w:u w:val="single"/>
        </w:rPr>
        <w:t>provided</w:t>
      </w:r>
      <w:r>
        <w:rPr>
          <w:rFonts w:ascii="Times New Roman" w:hAnsi="Times New Roman"/>
          <w:sz w:val="20"/>
        </w:rPr>
        <w:t xml:space="preserve"> that such parent entity shall have no material liabilities and no material assets other than cash, Cash Equivalents and the Equity Interests of Bidco and such merger, amalgamation or consolidation is otherwise consummated in compliance with this Agreement, (ii) the payment of fees and expenses related to the Transactions, (iii)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w:t>
      </w:r>
      <w:r>
        <w:rPr>
          <w:rFonts w:ascii="Times New Roman" w:hAnsi="Times New Roman"/>
          <w:sz w:val="20"/>
          <w:u w:val="single"/>
        </w:rPr>
        <w:t>Section 6.05(b)(xv)(H)</w:t>
      </w:r>
      <w:r>
        <w:rPr>
          <w:rFonts w:ascii="Times New Roman" w:hAnsi="Times New Roman"/>
          <w:sz w:val="20"/>
        </w:rPr>
        <w:t xml:space="preserve">, (iv) issuances of Equity Interests of Bidco to the extent otherwise permitted by this Agreement, (v) employment and severance arrangements between Bidco and the Restricted Subsidiaries and their respective officers and employees in the ordinary course of business or otherwise in connection with the Transactions (including loans and advances pursuant to clause (16) of the definition of “Permitted Investments”), (vi) payments by Bidco and the Restricted Subsidiaries in respect of any Tax relief or pursuant to any tax sharing agreement or arrangement among Bidco and the Restricted Subsidiaries and other Persons with which Bidco or any of its Restricted Subsidiaries is required or permitted to file a consolidated, combined or unitary tax return or with which Bidco or any Restricted Subsidiary is a part of a group for tax purposes, (vii) the payment of customary fees and reasonable out-of-pocket costs to, and indemnities provided on behalf of, members of the Board of Directors, officers and employees of Holdings (or any direct or indirect parent thereof), any Intermediate Parent, Bidco and the Restricted Subsidiaries in the ordinary course of business to the extent attributable to the ownership or operation of Bidco and the Restricted Subsidiaries, (viii) transactions pursuant to the Tax Structure Memorandum and/or permitted agreements in existence or contemplated on the Effective Date and set forth on </w:t>
      </w:r>
      <w:r>
        <w:rPr>
          <w:rFonts w:ascii="Times New Roman" w:hAnsi="Times New Roman"/>
          <w:sz w:val="20"/>
          <w:u w:val="single"/>
        </w:rPr>
        <w:t>Schedule 5.17</w:t>
      </w:r>
      <w:r>
        <w:rPr>
          <w:rFonts w:ascii="Times New Roman" w:hAnsi="Times New Roman"/>
          <w:sz w:val="20"/>
        </w:rPr>
        <w:t xml:space="preserve"> or any amendment thereto to the extent such an amendment is not adverse to the Lenders in any material respect, (ix) payments to or from, and transactions with, any joint venture in the ordinary course of business (including, without limitation, any cash management activities related thereto), (x) transactions with customers, clients, suppliers, contractors, joint venture partners or purchasers or sellers of goods or services that are Affiliates, in each case in the ordinary course of business and which are fair to Bidco and the Restricted Subsidiaries, in the reasonable determination of Bidco, or are on terms at least as favorable as might reasonably have been obtained at such time from an unaffiliated party, (xi) sales of accounts receivable, or participations therein, or Receivables Assets or related assets in connection with or any Receivables Facility, (xii) payments made in connection with the Transactions, (xiii) customary payments by Bidco and the Restricted Subsidiaries, directly or indirectly, to the Investors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Bidco or such other Restricted Subsidiary in good faith and (xiv) any other (A) Indebtedness permitted under </w:t>
      </w:r>
      <w:r>
        <w:rPr>
          <w:rFonts w:ascii="Times New Roman" w:hAnsi="Times New Roman"/>
          <w:sz w:val="20"/>
          <w:u w:val="single"/>
        </w:rPr>
        <w:t>Section 6.01</w:t>
      </w:r>
      <w:r>
        <w:rPr>
          <w:rFonts w:ascii="Times New Roman" w:hAnsi="Times New Roman"/>
          <w:sz w:val="20"/>
        </w:rPr>
        <w:t xml:space="preserve"> and Liens permitted under </w:t>
      </w:r>
      <w:r>
        <w:rPr>
          <w:rFonts w:ascii="Times New Roman" w:hAnsi="Times New Roman"/>
          <w:sz w:val="20"/>
          <w:u w:val="single"/>
        </w:rPr>
        <w:t>Section 6.02</w:t>
      </w:r>
      <w:r>
        <w:rPr>
          <w:rFonts w:ascii="Times New Roman" w:hAnsi="Times New Roman"/>
          <w:sz w:val="20"/>
        </w:rPr>
        <w:t xml:space="preserve">; provided that such Indebtedness and Liens are on terms which are fair and reasonable to Bidco and its Subsidiaries as determined by the majority of disinterested members of the board of directors of Bidco or such other Subsidiary and (B) transactions permitted under </w:t>
      </w:r>
      <w:r>
        <w:rPr>
          <w:rFonts w:ascii="Times New Roman" w:hAnsi="Times New Roman"/>
          <w:sz w:val="20"/>
          <w:u w:val="single"/>
        </w:rPr>
        <w:t>Section 6.03</w:t>
      </w:r>
      <w:r>
        <w:rPr>
          <w:rFonts w:ascii="Times New Roman" w:hAnsi="Times New Roman"/>
          <w:sz w:val="20"/>
        </w:rPr>
        <w:t xml:space="preserve"> and Restricted Payments permitted under </w:t>
      </w:r>
      <w:r>
        <w:rPr>
          <w:rFonts w:ascii="Times New Roman" w:hAnsi="Times New Roman"/>
          <w:sz w:val="20"/>
          <w:u w:val="single"/>
        </w:rPr>
        <w:t>Section 6.05</w:t>
      </w:r>
      <w:r>
        <w:rPr>
          <w:rFonts w:ascii="Times New Roman" w:hAnsi="Times New Roman"/>
          <w:sz w:val="20"/>
        </w:rPr>
        <w:t xml:space="preserve"> (other than pursuant to </w:t>
      </w:r>
      <w:r>
        <w:rPr>
          <w:rFonts w:ascii="Times New Roman" w:hAnsi="Times New Roman"/>
          <w:sz w:val="20"/>
          <w:u w:val="single"/>
        </w:rPr>
        <w:t>Section 6.05(b)(xv)(J)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p>
    <w:p>
      <w:pPr>
        <w:pStyle w:val="TextBody"/>
        <w:bidi w:val="0"/>
        <w:spacing w:before="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Refinancing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its Restricted Subsidiaries shall consummate the Refinancing on or prior to the Target Debt Refinancing Outside Date. </w:t>
      </w:r>
    </w:p>
    <w:p>
      <w:pPr>
        <w:pStyle w:val="TextBody"/>
        <w:bidi w:val="0"/>
        <w:spacing w:before="36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Acquisition Undertakings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Bidco and its Restricted Subsidiaries shall, subject always to the Companies Act 2006 and any applicable listing rules, (i) within 60 days after the Scheme Effective Date (or such later date as the Administrative Agent may reasonably agree), procure that such action as is necessary is taken to procure that trading in the shares in Company on the Main Market of the London Stock Exchange is cancelled and (ii) as soon as reasonably practicable thereafter, procure that the Company is re-registered as a private limited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u w:val="single"/>
        </w:rPr>
        <w:t>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(with respect to </w:t>
      </w:r>
      <w:r>
        <w:rPr>
          <w:rFonts w:ascii="Times New Roman" w:hAnsi="Times New Roman"/>
          <w:sz w:val="20"/>
          <w:u w:val="single"/>
        </w:rPr>
        <w:t>Sections 6.03(b)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only) and Bidco covenants and agrees with the Lenders that: </w:t>
      </w:r>
    </w:p>
    <w:p>
      <w:pPr>
        <w:pStyle w:val="TextBody"/>
        <w:bidi w:val="0"/>
        <w:spacing w:before="36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 Certain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Bidco shall not, and shall not permit any of its Restricted Subsidiaries to create, incur, issue, assume, guarantee or otherwise become liable, contingently or otherwise (collectively, “</w:t>
      </w:r>
      <w:r>
        <w:rPr>
          <w:rFonts w:ascii="Times New Roman" w:hAnsi="Times New Roman"/>
          <w:sz w:val="20"/>
          <w:u w:val="single"/>
        </w:rPr>
        <w:t>incur</w:t>
      </w:r>
      <w:r>
        <w:rPr>
          <w:rFonts w:ascii="Times New Roman" w:hAnsi="Times New Roman"/>
          <w:sz w:val="20"/>
        </w:rPr>
        <w:t>” and collectively, an “</w:t>
      </w:r>
      <w:r>
        <w:rPr>
          <w:rFonts w:ascii="Times New Roman" w:hAnsi="Times New Roman"/>
          <w:sz w:val="20"/>
          <w:u w:val="single"/>
        </w:rPr>
        <w:t>incurrence</w:t>
      </w:r>
      <w:r>
        <w:rPr>
          <w:rFonts w:ascii="Times New Roman" w:hAnsi="Times New Roman"/>
          <w:sz w:val="20"/>
        </w:rPr>
        <w:t xml:space="preserve">”) with respect to any Indebtedness (including Acquired Indebtedness) and Bidco shall not issue any shares of Disqualified Equity Interests and shall not permit any Restricted Subsidiary to issue any shares of Disqualified Equity Interests or Preferred Stock;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Bidco may incur Indebtedness (including Acquired Indebtedness) or issue shares of Disqualified Equity Interests, and any of its Restricted Subsidiaries may incur Indebtedness (including Acquired Indebtedness), issue shares of Disqualified Equity Interests and issue Preferred Stock that is, in each case, secured by a Lien on the Collateral that is </w:t>
      </w:r>
      <w:r>
        <w:rPr>
          <w:rFonts w:ascii="Times New Roman" w:hAnsi="Times New Roman"/>
          <w:sz w:val="20"/>
          <w:u w:val="single"/>
        </w:rPr>
        <w:t>pari passu</w:t>
      </w:r>
      <w:r>
        <w:rPr>
          <w:rFonts w:ascii="Times New Roman" w:hAnsi="Times New Roman"/>
          <w:sz w:val="20"/>
        </w:rPr>
        <w:t xml:space="preserve"> with the Lien securing the Secured Obligations, secured by a Lien on the Collateral that is junior to the Lien securing the Secured Obligations, or that is unsecured or secured by assets that are not Collateral to the extent that (1) if such Indebtedness, Disqualified Equity Interests or Preferred Stock is secured by a Lien on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Liens on the Collateral securing the Secured Obligations, the Senior Secured First Lien Net Leverage Ratio of Bidco and the Restricted Subsidiaries (including for the purposes of such calculation any Disqualified Equity Interests or Preferred Stock that is secured by a Lien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Liens on the Collateral securing the Secured Obligations), after giving effect to the incurrence of such Indebtedness, Disqualified Equity Interests or Preferred Stock, as applicable, and the use of proceeds thereof, on a Pro Forma Basis would not exceed 5.10 to 1.00 , (2) if such Indebtedness, Disqualified Equity Interests or Preferred Stock is secured by a Lien on the Collateral on a junior priority basis with the Liens on the Collateral securing the Secured Obligations, the Senior Secured Net Leverage Ratio of Bidco and the Restricted Subsidiaries (including for the purposes of such calculation any Disqualified Equity Interests or Preferred Stock that is secured by a Lien on a junior basis to the Liens on the Collateral securing the Secured Obligations), after giving effect to the incurrence of such Indebtedness, Disqualified Equity Interests or Preferred Stock, as applicable, and the use of proceeds thereof, on a Pro Forma Basis would not exceed 5.10 to 1.00 and (3) if such Indebtedness, Disqualified Equity Interests or Preferred Stock is unsecured or is secured by assets that do not become Collateral, either (A) the Total Net Leverage Ratio of Bidco and the Restricted Subsidiaries (including for the purposes of such calculation any Disqualified Equity Interests or Preferred Stock that is unsecured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p>
    <w:p>
      <w:pPr>
        <w:pStyle w:val="TextBody"/>
        <w:bidi w:val="0"/>
        <w:spacing w:before="0" w:after="0"/>
        <w:jc w:val="left"/>
        <w:rPr>
          <w:rFonts w:ascii="Times New Roman" w:hAnsi="Times New Roman"/>
          <w:sz w:val="20"/>
        </w:rPr>
      </w:pPr>
      <w:r>
        <w:rPr>
          <w:rFonts w:ascii="Times New Roman" w:hAnsi="Times New Roman"/>
          <w:sz w:val="20"/>
        </w:rPr>
        <w:t xml:space="preserve">secured by assets that are not Collateral), after giving effect to the incurrence of such Indebtedness, Disqualified Equity Interests or Preferred Stock, as applicable, and the use of proceeds thereof, on a Pro Forma Basis would not exceed 5.10 to 1.00 or (B) the Interest Coverage Ratio of Bidco and the Restricted Subsidiaries, after giving effect to the incurrence of such Indebtedness, Disqualified Equity Interests or Preferred Stock, as applicable, and the use of proceeds thereof, on a Pro Forma Basis, would be at least 2.00 to 1.00;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Pro Forma Basis, together with any amounts incurred or issued, as applicable, and outstanding by Restricted Subsidiaries that are not Guarantors pursuant to clauses (xi)(b)(x) and (xvi) of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pursuant to this paragraph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6.01(a)</w:t>
      </w:r>
      <w:r>
        <w:rPr>
          <w:rFonts w:ascii="Times New Roman" w:hAnsi="Times New Roman"/>
          <w:sz w:val="20"/>
        </w:rPr>
        <w:t xml:space="preserve"> hereof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of Bidco and any of the Restricted Subsidiaries under the Loan Documents (including any Indebtedness incurred pursuant to </w:t>
      </w:r>
      <w:r>
        <w:rPr>
          <w:rFonts w:ascii="Times New Roman" w:hAnsi="Times New Roman"/>
          <w:sz w:val="20"/>
          <w:u w:val="single"/>
        </w:rPr>
        <w:t>Section 2.19</w:t>
      </w:r>
      <w:r>
        <w:rPr>
          <w:rFonts w:ascii="Times New Roman" w:hAnsi="Times New Roman"/>
          <w:sz w:val="20"/>
        </w:rPr>
        <w:t xml:space="preserve"> or </w:t>
      </w:r>
      <w:r>
        <w:rPr>
          <w:rFonts w:ascii="Times New Roman" w:hAnsi="Times New Roman"/>
          <w:sz w:val="20"/>
          <w:u w:val="single"/>
        </w:rPr>
        <w:t>2.20</w:t>
      </w:r>
      <w:r>
        <w:rPr>
          <w:rFonts w:ascii="Times New Roman" w:hAnsi="Times New Roman"/>
          <w:sz w:val="20"/>
        </w:rPr>
        <w:t xml:space="preserve">) and any Credit Agreement Refinancing Indebtedness in respect thereof that is subject to the Required Additional Debt Terms;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of Bidco and its Restricted Subsidiaries in existence on the Effective Date (other than Indebtedness described in clause (i) of this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Indebtedness (including Capitalized Lease Obligations), Disqualified Equity Interests and Preferred Stock incurred by Bidco or any of its Restricted Subsidiaries, to finance the purchase, lease or improvement of property (real or personal), equipment or other assets that, in each case, are used or useful in a Similar Business, whether through the direct purchase of assets or the Equity Interests of any Person owning such assets; </w:t>
      </w:r>
      <w:r>
        <w:rPr>
          <w:rFonts w:ascii="Times New Roman" w:hAnsi="Times New Roman"/>
          <w:sz w:val="20"/>
          <w:u w:val="single"/>
        </w:rPr>
        <w:t>provided</w:t>
      </w:r>
      <w:r>
        <w:rPr>
          <w:rFonts w:ascii="Times New Roman" w:hAnsi="Times New Roman"/>
          <w:sz w:val="20"/>
        </w:rPr>
        <w:t xml:space="preserve"> that, at the time of any such incurrence of Indebtedness, Disqualified Equity Interests or Preferred Stock (and after giving </w:t>
      </w:r>
      <w:r>
        <w:rPr>
          <w:rFonts w:ascii="Times New Roman" w:hAnsi="Times New Roman"/>
          <w:sz w:val="20"/>
          <w:u w:val="single"/>
        </w:rPr>
        <w:t>Pro Forma Eff</w:t>
      </w:r>
      <w:r>
        <w:rPr>
          <w:rFonts w:ascii="Times New Roman" w:hAnsi="Times New Roman"/>
          <w:sz w:val="20"/>
        </w:rPr>
        <w:t xml:space="preserve">ect thereto), the aggregate amount of Indebtedness, Disqualified Equity Interests and Preferred Stock incurred pursuant to this clause (iii), when aggregated with the outstanding amount of Refinancing Indebtedness in respect of Indebtedness, Disqualified Equity Interests and Preferred Stock initially incurred in reliance on this clause (iii), does not exceed the greater of $300,000,000 and 40% of Consolidated EBITDA for the most recently ended Test Period, calculated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(iv)     Indebtedness incurred by Bidco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p>
    <w:p>
      <w:pPr>
        <w:pStyle w:val="TextBody"/>
        <w:bidi w:val="0"/>
        <w:spacing w:before="0" w:after="0"/>
        <w:jc w:val="left"/>
        <w:rPr>
          <w:rFonts w:ascii="Times New Roman" w:hAnsi="Times New Roman"/>
          <w:sz w:val="20"/>
        </w:rPr>
      </w:pPr>
      <w:r>
        <w:rPr>
          <w:rFonts w:ascii="Times New Roman" w:hAnsi="Times New Roman"/>
          <w:sz w:val="20"/>
        </w:rPr>
        <w:t xml:space="preserve">(v)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the Acquisition, any acquisition or other investment or any disposition, in each case, not prohibited hereunder; </w:t>
      </w:r>
    </w:p>
    <w:p>
      <w:pPr>
        <w:pStyle w:val="TextBody"/>
        <w:bidi w:val="0"/>
        <w:spacing w:before="120" w:after="0"/>
        <w:jc w:val="left"/>
        <w:rPr>
          <w:rFonts w:ascii="Times New Roman" w:hAnsi="Times New Roman"/>
          <w:sz w:val="20"/>
        </w:rPr>
      </w:pPr>
      <w:r>
        <w:rPr>
          <w:rFonts w:ascii="Times New Roman" w:hAnsi="Times New Roman"/>
          <w:sz w:val="20"/>
        </w:rPr>
        <w:t xml:space="preserve">(vi)     Indebtedness of Bidco owing to a Restricted Subsidiary; </w:t>
      </w:r>
      <w:r>
        <w:rPr>
          <w:rFonts w:ascii="Times New Roman" w:hAnsi="Times New Roman"/>
          <w:sz w:val="20"/>
          <w:u w:val="single"/>
        </w:rPr>
        <w:t>provided</w:t>
      </w:r>
      <w:r>
        <w:rPr>
          <w:rFonts w:ascii="Times New Roman" w:hAnsi="Times New Roman"/>
          <w:sz w:val="20"/>
        </w:rPr>
        <w:t xml:space="preserve"> that any such Indebtedness owing to a Restricted Subsidiary that is not a Loan Party is expressly subordinated in right of payment to the Secured Obligations (but only to the extent permitted by applicable law and not giving rise to adverse tax consequences);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subsequent issuance or transfer of any Equity Interests or any other event that results in any such Restricted Subsidiary ceasing to be a Restricted Subsidiary or any other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 </w:t>
      </w:r>
    </w:p>
    <w:p>
      <w:pPr>
        <w:pStyle w:val="TextBody"/>
        <w:bidi w:val="0"/>
        <w:spacing w:before="120" w:after="0"/>
        <w:jc w:val="left"/>
        <w:rPr>
          <w:rFonts w:ascii="Times New Roman" w:hAnsi="Times New Roman"/>
          <w:sz w:val="20"/>
        </w:rPr>
      </w:pPr>
      <w:r>
        <w:rPr>
          <w:rFonts w:ascii="Times New Roman" w:hAnsi="Times New Roman"/>
          <w:sz w:val="20"/>
        </w:rPr>
        <w:t xml:space="preserve">(vii)     Indebtedness of a Restricted Subsidiary owing to Bidco or another Restricted Subsidiary; </w:t>
      </w:r>
      <w:r>
        <w:rPr>
          <w:rFonts w:ascii="Times New Roman" w:hAnsi="Times New Roman"/>
          <w:sz w:val="20"/>
          <w:u w:val="single"/>
        </w:rPr>
        <w:t>provided</w:t>
      </w:r>
      <w:r>
        <w:rPr>
          <w:rFonts w:ascii="Times New Roman" w:hAnsi="Times New Roman"/>
          <w:sz w:val="20"/>
        </w:rPr>
        <w:t xml:space="preserve"> that if a Loan Party incurs such Indebtedness owing to a Restricted Subsidiary that is not a Loan Party, such Indebtedness is expressly subordinated in right of payment to the Secured Obligations (but only to the extent permitted by applicable law and not giving rise to adverse tax consequences); </w:t>
      </w:r>
      <w:r>
        <w:rPr>
          <w:rFonts w:ascii="Times New Roman" w:hAnsi="Times New Roman"/>
          <w:sz w:val="20"/>
          <w:u w:val="single"/>
        </w:rPr>
        <w:t>provide</w:t>
      </w:r>
      <w:r>
        <w:rPr>
          <w:rFonts w:ascii="Times New Roman" w:hAnsi="Times New Roman"/>
          <w:sz w:val="20"/>
        </w:rPr>
        <w:t xml:space="preserve">d, </w:t>
      </w:r>
      <w:r>
        <w:rPr>
          <w:rFonts w:ascii="Times New Roman" w:hAnsi="Times New Roman"/>
          <w:sz w:val="20"/>
          <w:u w:val="single"/>
        </w:rPr>
        <w:t>further</w:t>
      </w:r>
      <w:r>
        <w:rPr>
          <w:rFonts w:ascii="Times New Roman" w:hAnsi="Times New Roman"/>
          <w:sz w:val="20"/>
        </w:rPr>
        <w:t xml:space="preserve">, that any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(vii); </w:t>
      </w:r>
    </w:p>
    <w:p>
      <w:pPr>
        <w:pStyle w:val="TextBody"/>
        <w:bidi w:val="0"/>
        <w:spacing w:before="120" w:after="0"/>
        <w:jc w:val="left"/>
        <w:rPr>
          <w:rFonts w:ascii="Times New Roman" w:hAnsi="Times New Roman"/>
          <w:sz w:val="20"/>
        </w:rPr>
      </w:pPr>
      <w:r>
        <w:rPr>
          <w:rFonts w:ascii="Times New Roman" w:hAnsi="Times New Roman"/>
          <w:sz w:val="20"/>
        </w:rPr>
        <w:t xml:space="preserve">(viii)     shares of Preferred Stock of a Restricted Subsidiary issued to Bidco or another Restricted Subsidiary, </w:t>
      </w:r>
      <w:r>
        <w:rPr>
          <w:rFonts w:ascii="Times New Roman" w:hAnsi="Times New Roman"/>
          <w:sz w:val="20"/>
          <w:u w:val="single"/>
        </w:rPr>
        <w:t>provided</w:t>
      </w:r>
      <w:r>
        <w:rPr>
          <w:rFonts w:ascii="Times New Roman" w:hAnsi="Times New Roman"/>
          <w:sz w:val="20"/>
        </w:rPr>
        <w:t xml:space="preserve"> that any subsequent issuance or transfer of any Equity Interests or any other event which results in any such Restricted Subsidiary ceasing to be a Restricted Subsidiary or any other subsequent transfer of any such shares of Preferred Stock (except to Bidco or another of its Restricted Subsidiaries) shall be deemed in each case to be an issuance of such shares of Preferred Stock not permitted by this clause (viii); </w:t>
      </w:r>
    </w:p>
    <w:p>
      <w:pPr>
        <w:pStyle w:val="TextBody"/>
        <w:bidi w:val="0"/>
        <w:spacing w:before="120" w:after="0"/>
        <w:jc w:val="left"/>
        <w:rPr>
          <w:rFonts w:ascii="Times New Roman" w:hAnsi="Times New Roman"/>
          <w:sz w:val="20"/>
        </w:rPr>
      </w:pPr>
      <w:r>
        <w:rPr>
          <w:rFonts w:ascii="Times New Roman" w:hAnsi="Times New Roman"/>
          <w:sz w:val="20"/>
        </w:rPr>
        <w:t xml:space="preserve">(ix)     Hedging Obligations incurred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(x)     obligations in respect of self-insurance and obligations in respect of performance, bid, appeal and surety bonds, performance and completion guarantees, statutory, export or import indemnities, customs and completion guarantees (not for borrowed money) and similar obligations provided by Bidco or any of its Restricted Subsidiaries or obligations in respect of letters of credit, bank guarantees or similar instruments related thereto, in each case,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(a) Indebtedness, Disqualified Equity Interests or Preferred Stock of Bidco or any Restricted Subsidiary equal to 200.0% of the net cash proceeds received by Bidco since immediately after the Effective Date from the issue or sale of Equity Interests of Bidco or cash contributed to the capital of Bidco or any Restricted Subsidiary (in each case, other than Excluded Contributions or proceeds of Disqualified Equity Interests or sales of Equity Interests to Bidco or any of its Subsidiaries) as determined in accordance with clauses (A)(2) and (A)(3) of </w:t>
      </w:r>
      <w:r>
        <w:rPr>
          <w:rFonts w:ascii="Times New Roman" w:hAnsi="Times New Roman"/>
          <w:sz w:val="20"/>
          <w:u w:val="single"/>
        </w:rPr>
        <w:t>Section 6.05(a)</w:t>
      </w:r>
      <w:r>
        <w:rPr>
          <w:rFonts w:ascii="Times New Roman" w:hAnsi="Times New Roman"/>
          <w:sz w:val="20"/>
        </w:rPr>
        <w:t xml:space="preserve"> hereof to the extent such net cash proceeds or cash have not been applied pursuant to such clauses to make Restricted Payments or to make other Investments, payments or exchanges pursuant to </w:t>
      </w:r>
      <w:r>
        <w:rPr>
          <w:rFonts w:ascii="Times New Roman" w:hAnsi="Times New Roman"/>
          <w:sz w:val="20"/>
          <w:u w:val="single"/>
        </w:rPr>
        <w:t>Section 6.05(b)</w:t>
      </w:r>
      <w:r>
        <w:rPr>
          <w:rFonts w:ascii="Times New Roman" w:hAnsi="Times New Roman"/>
          <w:sz w:val="20"/>
        </w:rPr>
        <w:t xml:space="preserve"> hereof or to make Permitted Investments (other than Permitted Investments specified in clauses (1) and (3) of the definition thereof) and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p>
    <w:p>
      <w:pPr>
        <w:pStyle w:val="TextBody"/>
        <w:bidi w:val="0"/>
        <w:spacing w:before="0" w:after="0"/>
        <w:jc w:val="left"/>
        <w:rPr>
          <w:rFonts w:ascii="Times New Roman" w:hAnsi="Times New Roman"/>
          <w:sz w:val="20"/>
        </w:rPr>
      </w:pPr>
      <w:r>
        <w:rPr>
          <w:rFonts w:ascii="Times New Roman" w:hAnsi="Times New Roman"/>
          <w:sz w:val="20"/>
        </w:rPr>
        <w:t xml:space="preserve">Indebtedness, Disqualified Equity Interests or Preferred Stock of Bidco or any Restricted Subsidiary not otherwise permitted hereunder in an aggregate principal amount or liquidation preference, which when aggregated with the principal amount and liquidation preference of all other Indebtedness, Disqualified Equity Interests and Preferred Stock then outstanding and incurred pursuant to this clause (xi)(b) and the outstanding amount of Indebtedness, Disqualified Equity Interests or Preferred Stock of Bidco or any Restricted Subsidiary which serves to refinance any Indebtedness, Disqualified Equity Interests or Preferred Stock incurred as permitted under this clause (xi)(b) or any Indebtedness, Disqualified Equity Interests or Preferred Stock issued to so refund or refinance such Indebtedness, Disqualified Equity Interests or Preferred Stock, does not, at the time of any such incurrence of Indebtedness (and after giving Pro Forma Effect thereto), exceed the sum of (x) the greater of $450,000,000 and 60% of Consolidated EBITDA for the most recently ended Test Period, calculated on a Pro Forma Basis; </w:t>
      </w:r>
      <w:r>
        <w:rPr>
          <w:rFonts w:ascii="Times New Roman" w:hAnsi="Times New Roman"/>
          <w:sz w:val="20"/>
          <w:u w:val="single"/>
        </w:rPr>
        <w:t>provided</w:t>
      </w:r>
      <w:r>
        <w:rPr>
          <w:rFonts w:ascii="Times New Roman" w:hAnsi="Times New Roman"/>
          <w:sz w:val="20"/>
        </w:rPr>
        <w:t xml:space="preserve"> that available amounts under this clause (xi)(b)(x) may be used to incur Incremental Facilities or Incremental Equivalent Debt in reliance on the General Debt Basket Reallocated Amount and such usage shall be deemed to be a utilization of the basket under this Section 6.01(b)(xi)(b), and (y) an additional amount of Indebtedness in lieu of Restricted Payments permitted under </w:t>
      </w:r>
      <w:r>
        <w:rPr>
          <w:rFonts w:ascii="Times New Roman" w:hAnsi="Times New Roman"/>
          <w:sz w:val="20"/>
          <w:u w:val="single"/>
        </w:rPr>
        <w:t>Section 6.05</w:t>
      </w:r>
      <w:r>
        <w:rPr>
          <w:rFonts w:ascii="Times New Roman" w:hAnsi="Times New Roman"/>
          <w:sz w:val="20"/>
        </w:rPr>
        <w:t xml:space="preserve"> (it being understood that such Indebtedness shall be deemed a Restricted Payment for purposes of compliance with </w:t>
      </w:r>
      <w:r>
        <w:rPr>
          <w:rFonts w:ascii="Times New Roman" w:hAnsi="Times New Roman"/>
          <w:sz w:val="20"/>
          <w:u w:val="single"/>
        </w:rPr>
        <w:t>Section 6.05)</w:t>
      </w:r>
      <w:r>
        <w:rPr>
          <w:rFonts w:ascii="Times New Roman" w:hAnsi="Times New Roman"/>
          <w:sz w:val="20"/>
        </w:rPr>
        <w:t xml:space="preserve"> (it being understood that any Indebtedness, Disqualified Equity Interests or Preferred Stock incurred pursuant to this clause (xi)(b) shall cease to be deemed incurred or outstanding for purposes of this clause (xi)(b) but shall be deemed incurred for the purposes of </w:t>
      </w:r>
      <w:r>
        <w:rPr>
          <w:rFonts w:ascii="Times New Roman" w:hAnsi="Times New Roman"/>
          <w:sz w:val="20"/>
          <w:u w:val="single"/>
        </w:rPr>
        <w:t>Section 6.01(a)</w:t>
      </w:r>
      <w:r>
        <w:rPr>
          <w:rFonts w:ascii="Times New Roman" w:hAnsi="Times New Roman"/>
          <w:sz w:val="20"/>
        </w:rPr>
        <w:t xml:space="preserve"> hereof from and after the first date on which Bidco or such Restricted Subsidiary could have incurred such Indebtedness, Disqualified Equity Interests or Preferred Stock under </w:t>
      </w:r>
      <w:r>
        <w:rPr>
          <w:rFonts w:ascii="Times New Roman" w:hAnsi="Times New Roman"/>
          <w:sz w:val="20"/>
          <w:u w:val="single"/>
        </w:rPr>
        <w:t>Section 6.01(a)</w:t>
      </w:r>
      <w:r>
        <w:rPr>
          <w:rFonts w:ascii="Times New Roman" w:hAnsi="Times New Roman"/>
          <w:sz w:val="20"/>
        </w:rPr>
        <w:t xml:space="preserve"> hereof without reliance on this clause (xi)(b)); </w:t>
      </w:r>
      <w:r>
        <w:rPr>
          <w:rFonts w:ascii="Times New Roman" w:hAnsi="Times New Roman"/>
          <w:sz w:val="20"/>
          <w:u w:val="single"/>
        </w:rPr>
        <w:t>provided</w:t>
      </w:r>
      <w:r>
        <w:rPr>
          <w:rFonts w:ascii="Times New Roman" w:hAnsi="Times New Roman"/>
          <w:sz w:val="20"/>
        </w:rPr>
        <w:t xml:space="preserve"> that such Indebtedness, Disqualified Equity Interests or Preferred Stock incurred pursuant to this clause (xi)(b) may be secured by a Lien on the Collateral that is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 securing the Secured Obligations, secured by a Lien on the Collateral that is junior to the Lien securing the Secured Obligations, or may be unsecured or secured by assets that are not Collateral to the extent that such Lien is permitted under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w:t>
      </w:r>
      <w:r>
        <w:rPr>
          <w:rFonts w:ascii="Times New Roman" w:hAnsi="Times New Roman"/>
          <w:sz w:val="20"/>
          <w:u w:val="single"/>
        </w:rPr>
        <w:t>Pro Forma Basis</w:t>
      </w:r>
      <w:r>
        <w:rPr>
          <w:rFonts w:ascii="Times New Roman" w:hAnsi="Times New Roman"/>
          <w:sz w:val="20"/>
        </w:rPr>
        <w:t xml:space="preserve">, together with any amounts incurred or issued, as applicable, and outstanding by Restricted Subsidiaries that are not Guarantors pursuant to </w:t>
      </w:r>
      <w:r>
        <w:rPr>
          <w:rFonts w:ascii="Times New Roman" w:hAnsi="Times New Roman"/>
          <w:sz w:val="20"/>
          <w:u w:val="single"/>
        </w:rPr>
        <w:t>Section 6.01(a)</w:t>
      </w:r>
      <w:r>
        <w:rPr>
          <w:rFonts w:ascii="Times New Roman" w:hAnsi="Times New Roman"/>
          <w:sz w:val="20"/>
        </w:rPr>
        <w:t xml:space="preserve">, this clause (xi)(b)(x) of this </w:t>
      </w:r>
      <w:r>
        <w:rPr>
          <w:rFonts w:ascii="Times New Roman" w:hAnsi="Times New Roman"/>
          <w:sz w:val="20"/>
          <w:u w:val="single"/>
        </w:rPr>
        <w:t>Section 6.01(b)</w:t>
      </w:r>
      <w:r>
        <w:rPr>
          <w:rFonts w:ascii="Times New Roman" w:hAnsi="Times New Roman"/>
          <w:sz w:val="20"/>
        </w:rPr>
        <w:t xml:space="preserve"> and clause (xvi) of this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Section 6.05</w:t>
      </w:r>
      <w:r>
        <w:rPr>
          <w:rFonts w:ascii="Times New Roman" w:hAnsi="Times New Roman"/>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left"/>
        <w:rPr>
          <w:rFonts w:ascii="Times New Roman" w:hAnsi="Times New Roman"/>
          <w:sz w:val="20"/>
        </w:rPr>
      </w:pPr>
      <w:r>
        <w:rPr>
          <w:rFonts w:ascii="Times New Roman" w:hAnsi="Times New Roman"/>
          <w:sz w:val="20"/>
        </w:rPr>
        <w:t xml:space="preserve">(xii)     the incurrence by Bidco or any Restricted Subsidiary of Indebtedness or issuance by Bidco or any Restricted Subsidiary, of Bidco of Indebtedness, Disqualified Equity Interests or Preferred Stock of Bidco or any Restricted Subsidiary which serves to refund, refinance, replace, renew, extend or defease (collectively, “refinance” and “refinances,” with “refinanced” and “refinancing” having a correlative meaning) any Indebtedness incurred or Disqualified Equity Interests or Preferred Stock issued as permitted under </w:t>
      </w:r>
      <w:r>
        <w:rPr>
          <w:rFonts w:ascii="Times New Roman" w:hAnsi="Times New Roman"/>
          <w:sz w:val="20"/>
          <w:u w:val="single"/>
        </w:rPr>
        <w:t>Section 6.01(a)</w:t>
      </w:r>
      <w:r>
        <w:rPr>
          <w:rFonts w:ascii="Times New Roman" w:hAnsi="Times New Roman"/>
          <w:sz w:val="20"/>
        </w:rPr>
        <w:t xml:space="preserve"> hereof and clauses (ii), (iii) and (xi) of this </w:t>
      </w:r>
      <w:r>
        <w:rPr>
          <w:rFonts w:ascii="Times New Roman" w:hAnsi="Times New Roman"/>
          <w:sz w:val="20"/>
          <w:u w:val="single"/>
        </w:rPr>
        <w:t>Section 6.01(b)</w:t>
      </w:r>
      <w:r>
        <w:rPr>
          <w:rFonts w:ascii="Times New Roman" w:hAnsi="Times New Roman"/>
          <w:sz w:val="20"/>
        </w:rPr>
        <w:t xml:space="preserve">, this clause (xii) and clauses (xvi), (xix), (xxix), (xxx) or (xxxi) of this </w:t>
      </w:r>
      <w:r>
        <w:rPr>
          <w:rFonts w:ascii="Times New Roman" w:hAnsi="Times New Roman"/>
          <w:sz w:val="20"/>
          <w:u w:val="single"/>
        </w:rPr>
        <w:t>Section 6.01(b)</w:t>
      </w:r>
      <w:r>
        <w:rPr>
          <w:rFonts w:ascii="Times New Roman" w:hAnsi="Times New Roman"/>
          <w:sz w:val="20"/>
        </w:rPr>
        <w:t xml:space="preserve"> or any Indebtedness incurred or Disqualified Equity Interests or Preferred Stock issued to so extend, replace, refund, refinance, renew or defease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p>
    <w:p>
      <w:pPr>
        <w:pStyle w:val="TextBody"/>
        <w:bidi w:val="0"/>
        <w:spacing w:before="0" w:after="0"/>
        <w:jc w:val="left"/>
        <w:rPr>
          <w:rFonts w:ascii="Times New Roman" w:hAnsi="Times New Roman"/>
          <w:sz w:val="20"/>
        </w:rPr>
      </w:pPr>
      <w:r>
        <w:rPr>
          <w:rFonts w:ascii="Times New Roman" w:hAnsi="Times New Roman"/>
          <w:sz w:val="20"/>
        </w:rPr>
        <w:t>Disqualified Equity Interests or Preferred Stock including additional Indebtedness, Disqualified Equity Interests or Preferred Stock incurred to pay premiums (including reasonable tender premiums), defeasance costs and fees in connection therewith (the “</w:t>
      </w:r>
      <w:r>
        <w:rPr>
          <w:rFonts w:ascii="Times New Roman" w:hAnsi="Times New Roman"/>
          <w:sz w:val="20"/>
          <w:u w:val="single"/>
        </w:rPr>
        <w:t>Refinancing Indebtedness</w:t>
      </w:r>
      <w:r>
        <w:rPr>
          <w:rFonts w:ascii="Times New Roman" w:hAnsi="Times New Roman"/>
          <w:sz w:val="20"/>
        </w:rPr>
        <w:t xml:space="preserve">”) prior to its respective maturity;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any Designated Earlier Maturing Debt, has a Weighted Average Life to Maturity at the time such Refinancing Indebtedness is incurred which is not less than the remaining Weighted Average Life to Maturity of the Indebtedness, Disqualified Equity Interests or Preferred Stock being extended, replaced, refunded, refinanced, renewed or defeased,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Refinancing Indebtedness extends, replaces, refunds, refinances, renews or defeases (i) Indebtedness subordinated in right of payment to the Loan Document Obligations, such Refinancing Indebtedness is subordinated in right of payment to the Loan Document Obligations at least to the same extent as the Indebtedness being extended, replaced, refunded, refinanced, renewed or defeased, (ii) Disqualified Equity Interests or Preferred Stock, such Refinancing Indebtedness must be Disqualified Equity Interests or Preferred Stock,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(C)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Disqualified Equity Interests or Preferred Stock of a Subsidiary of Bidco that is not a Guarantor that refinances Indebtedness, Disqualified Equity Interests or Preferred Stock of Bidco or a Borrower;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Disqualified Equity Interests or Preferred Stock of a Subsidiary of Bidco that is not a Guarantor that refinances Indebtedness, Disqualified Equity Interests or Preferred Stock of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Indebtedness, Disqualified Equity Interests or Preferred Stock of Bidco or a Restricted Subsidiary that refinances Indebtedness, Disqualified Equity Interests or Preferred Stock of an Unrestricted Subsidiary; and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subclause (A) of this clause (xii) shall not apply to any refunding or refinancing of any outstanding Secured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(xiii)     Indebtedness in respect of Cash Management Obligations, Bank Products provided by banks or other financial institutions to Bidco and its Restricted Subsidiaries in the ordinary course of business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(xiv)     Indebtedness of Bidco or any of its Restricted Subsidiaries supported by a letter of credit issued pursuant to credit facilities, in a principal amount not in excess of the stated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(xv)     any guarantee by Bidco or a Restricted Subsidiary of Indebtedness or other obligations of any Restricted Subsidiary so long as the incurrence of such Indebtedness incurred by such Restricted Subsidiary is permitted under the terms of this Agreement or any guarantee by a Restricted Subsidiary of Indebtedness or other obligations of Bidco so long as the incurrence of such Indebtedness incurred by Bidco is permitted under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p>
    <w:p>
      <w:pPr>
        <w:pStyle w:val="TextBody"/>
        <w:bidi w:val="0"/>
        <w:spacing w:before="0" w:after="0"/>
        <w:jc w:val="left"/>
        <w:rPr>
          <w:rFonts w:ascii="Times New Roman" w:hAnsi="Times New Roman"/>
          <w:sz w:val="20"/>
        </w:rPr>
      </w:pPr>
      <w:r>
        <w:rPr>
          <w:rFonts w:ascii="Times New Roman" w:hAnsi="Times New Roman"/>
          <w:sz w:val="20"/>
        </w:rPr>
        <w:t xml:space="preserve">(xvi)     Indebtedness, Disqualified Equity Interests or Preferred Stock of a Restricted Subsidiary incurred to finance or assumed in connection with an acquisition; provided that, at the time of any such incurrence of Indebtedness, Disqualified Equity Interests or Preferred Stock (and after giving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Forma</w:t>
      </w:r>
      <w:r>
        <w:rPr>
          <w:rFonts w:ascii="Times New Roman" w:hAnsi="Times New Roman"/>
          <w:sz w:val="20"/>
        </w:rPr>
        <w:t xml:space="preserve"> </w:t>
      </w:r>
      <w:r>
        <w:rPr>
          <w:rFonts w:ascii="Times New Roman" w:hAnsi="Times New Roman"/>
          <w:sz w:val="20"/>
          <w:u w:val="single"/>
        </w:rPr>
        <w:t>Effect</w:t>
      </w:r>
      <w:r>
        <w:rPr>
          <w:rFonts w:ascii="Times New Roman" w:hAnsi="Times New Roman"/>
          <w:sz w:val="20"/>
        </w:rPr>
        <w:t xml:space="preserve"> thereto), the aggregate amount of such Indebtedness, Disqualified Equity Interests or Preferred Stock incurred under this clause (xvi), when aggregated with the outstanding amount of Indebtedness, Disqualified Equity Interests or Preferred Stock of Bidco or any Restricted Subsidiary which serves to refinance any Indebtedness, Disqualified Equity Interests or Preferred Stock incurred as permitted under this clause (xvi) or any Indebtedness, Disqualified Equity Interests or Preferred Stock issued to so refund or refinance such Indebtedness, Disqualified Equity Interests or Preferred Stock, does not exceed the greater of $150,000,000 and 20% of Consolidated EBITDA for the most recently ended Test Period, calculated on a Pro Forma Basis, in the aggregate (it being understood that any Indebtedness, Disqualified Equity Interests or Preferred Stock incurred pursuant to this clause (xvi) shall cease to be deemed incurred or outstanding for purposes of this clause (xvi) but shall be deemed incurred for the purposes of </w:t>
      </w:r>
      <w:r>
        <w:rPr>
          <w:rFonts w:ascii="Times New Roman" w:hAnsi="Times New Roman"/>
          <w:sz w:val="20"/>
          <w:u w:val="single"/>
        </w:rPr>
        <w:t>Section 6.01(a)</w:t>
      </w:r>
      <w:r>
        <w:rPr>
          <w:rFonts w:ascii="Times New Roman" w:hAnsi="Times New Roman"/>
          <w:sz w:val="20"/>
        </w:rPr>
        <w:t xml:space="preserve"> hereof from and after the first date on which such Restricted Subsidiary could have incurred such Indebtedness, Disqualified Equity Interests or Preferred Stock under </w:t>
      </w:r>
      <w:r>
        <w:rPr>
          <w:rFonts w:ascii="Times New Roman" w:hAnsi="Times New Roman"/>
          <w:sz w:val="20"/>
          <w:u w:val="single"/>
        </w:rPr>
        <w:t>Section 6.01(a)</w:t>
      </w:r>
      <w:r>
        <w:rPr>
          <w:rFonts w:ascii="Times New Roman" w:hAnsi="Times New Roman"/>
          <w:sz w:val="20"/>
        </w:rPr>
        <w:t xml:space="preserve"> hereof without reliance on this clause (xvi));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 a Pro Forma Basis, together with any amounts incurred or issued, as applicable, and outstanding by Restricted Subsidiaries that are not Guarantors pursuant to </w:t>
      </w:r>
      <w:r>
        <w:rPr>
          <w:rFonts w:ascii="Times New Roman" w:hAnsi="Times New Roman"/>
          <w:sz w:val="20"/>
          <w:u w:val="single"/>
        </w:rPr>
        <w:t>Section 6.01(a)</w:t>
      </w:r>
      <w:r>
        <w:rPr>
          <w:rFonts w:ascii="Times New Roman" w:hAnsi="Times New Roman"/>
          <w:sz w:val="20"/>
        </w:rPr>
        <w:t xml:space="preserve">, clause (xi)(b)(x) of this </w:t>
      </w:r>
      <w:r>
        <w:rPr>
          <w:rFonts w:ascii="Times New Roman" w:hAnsi="Times New Roman"/>
          <w:sz w:val="20"/>
          <w:u w:val="single"/>
        </w:rPr>
        <w:t>Section 6.01(b)</w:t>
      </w:r>
      <w:r>
        <w:rPr>
          <w:rFonts w:ascii="Times New Roman" w:hAnsi="Times New Roman"/>
          <w:sz w:val="20"/>
        </w:rPr>
        <w:t xml:space="preserve"> and this clause (xvi) of this </w:t>
      </w:r>
      <w:r>
        <w:rPr>
          <w:rFonts w:ascii="Times New Roman" w:hAnsi="Times New Roman"/>
          <w:sz w:val="20"/>
          <w:u w:val="single"/>
        </w:rPr>
        <w:t>Section 6.01(b)</w:t>
      </w:r>
      <w:r>
        <w:rPr>
          <w:rFonts w:ascii="Times New Roman" w:hAnsi="Times New Roman"/>
          <w:sz w:val="20"/>
        </w:rPr>
        <w:t xml:space="preserve">, no more than the greater of $750,000,000 and 100%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limitation shall not apply to Indebtedness of any Person that becomes a Restricted Subsidiary in connection with a Permitted Acquisition or any other Investment not prohibited by </w:t>
      </w:r>
      <w:r>
        <w:rPr>
          <w:rFonts w:ascii="Times New Roman" w:hAnsi="Times New Roman"/>
          <w:sz w:val="20"/>
          <w:u w:val="single"/>
        </w:rPr>
        <w:t xml:space="preserve">Section 6.05 </w:t>
      </w:r>
      <w:r>
        <w:rPr>
          <w:rFonts w:ascii="Times New Roman" w:hAnsi="Times New Roman"/>
          <w:sz w:val="20"/>
        </w:rPr>
        <w:t xml:space="preserve">(or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left"/>
        <w:rPr>
          <w:rFonts w:ascii="Times New Roman" w:hAnsi="Times New Roman"/>
          <w:sz w:val="20"/>
        </w:rPr>
      </w:pPr>
      <w:r>
        <w:rPr>
          <w:rFonts w:ascii="Times New Roman" w:hAnsi="Times New Roman"/>
          <w:sz w:val="20"/>
        </w:rPr>
        <w:t xml:space="preserve">(xvii)     Indebtedness of Bidco or any of its Restricted Subsidiaries consisting of (i) the financing of insurance premiums or (ii) take-or-pay obligations contained in supply arrangements; </w:t>
      </w:r>
    </w:p>
    <w:p>
      <w:pPr>
        <w:pStyle w:val="TextBody"/>
        <w:bidi w:val="0"/>
        <w:spacing w:before="120" w:after="0"/>
        <w:jc w:val="left"/>
        <w:rPr>
          <w:rFonts w:ascii="Times New Roman" w:hAnsi="Times New Roman"/>
          <w:sz w:val="20"/>
        </w:rPr>
      </w:pPr>
      <w:r>
        <w:rPr>
          <w:rFonts w:ascii="Times New Roman" w:hAnsi="Times New Roman"/>
          <w:sz w:val="20"/>
        </w:rPr>
        <w:t xml:space="preserve">(xviii)     Indebtedness consisting of Indebtedness issued by Bidco or any of its Restricted Subsidiaries to current or former officers, directors and employees thereof, their respective estates, spouses or former spouses, in each case to finance the purchase or redemption of Equity Interests of Bidco or any direct or indirect parent company of Bidco to the extent described in </w:t>
      </w:r>
      <w:r>
        <w:rPr>
          <w:rFonts w:ascii="Times New Roman" w:hAnsi="Times New Roman"/>
          <w:sz w:val="20"/>
          <w:u w:val="single"/>
        </w:rPr>
        <w:t>Section 6.05(b)</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(xix)     Indebtedness of any Restricted Subsidiary that is not a Guarantor;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w:t>
      </w:r>
      <w:r>
        <w:rPr>
          <w:rFonts w:ascii="Times New Roman" w:hAnsi="Times New Roman"/>
          <w:sz w:val="20"/>
          <w:u w:val="single"/>
        </w:rPr>
        <w:t>Pro Forma Eff</w:t>
      </w:r>
      <w:r>
        <w:rPr>
          <w:rFonts w:ascii="Times New Roman" w:hAnsi="Times New Roman"/>
          <w:sz w:val="20"/>
        </w:rPr>
        <w:t xml:space="preserve">ect thereto), the aggregate amount of Indebtedness incurred under this clause (xix), when aggregated with the outstanding amount of Indebtedness of any Restricted Subsidiary that is not a Guarantor which serves to refinance any Indebtedness incurred as permitted under this clause (xix) or any Indebtedness issued to so refund or refinance such Indebtedness, does not exceed the greater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p>
    <w:p>
      <w:pPr>
        <w:pStyle w:val="TextBody"/>
        <w:bidi w:val="0"/>
        <w:spacing w:before="0" w:after="0"/>
        <w:jc w:val="left"/>
        <w:rPr>
          <w:rFonts w:ascii="Times New Roman" w:hAnsi="Times New Roman"/>
          <w:sz w:val="20"/>
        </w:rPr>
      </w:pPr>
      <w:r>
        <w:rPr>
          <w:rFonts w:ascii="Times New Roman" w:hAnsi="Times New Roman"/>
          <w:sz w:val="20"/>
        </w:rPr>
        <w:t xml:space="preserve">$112,500,000 and 15% of Consolidated EBITDA for the most recently ended Test Period, calculated on a Pro Forma Basis, in the aggregate (it being understood that any Indebtedness incurred pursuant to this clause (xix) shall cease to be deemed incurred or outstanding for purposes of this clause (xix) but shall be deemed incurred for the purposes of the first paragraph of this covenant from and after the first date on which Bidco or such Restricted Subsidiary could have incurred such Indebtedness under the first paragraph of this covenant without reliance on this clause (xix));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limitation shall not apply to Indebtedness of any Person that becomes a Restricted Subsidiary in connection with an Investment not prohibited this Agreement (or of any Person not previously a Restricted Subsidiary that is merged or consolidated with or into Bidco or a Restricted Subsidiary) if such Indebtedness is outstanding prior to such Person becoming a Restricted Subsidiary and to the extent such Indebtedness is not incurred in contemplation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(xx)     Indebtedness representing deferred compensation or stock-based compensation owed to employees of direct or indirect parent companies of Bidco, Bidco or the Restricted Subsidiaries incurred in the ordinary course of business or consistent with past practice or in connection with the Transactions, any Investment or any acquisition (by merger, consolidation, amalgamation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(xxi)     Settlement Indebtedness; </w:t>
      </w:r>
    </w:p>
    <w:p>
      <w:pPr>
        <w:pStyle w:val="TextBody"/>
        <w:bidi w:val="0"/>
        <w:spacing w:before="120" w:after="0"/>
        <w:jc w:val="left"/>
        <w:rPr>
          <w:rFonts w:ascii="Times New Roman" w:hAnsi="Times New Roman"/>
          <w:sz w:val="20"/>
        </w:rPr>
      </w:pPr>
      <w:r>
        <w:rPr>
          <w:rFonts w:ascii="Times New Roman" w:hAnsi="Times New Roman"/>
          <w:sz w:val="20"/>
        </w:rPr>
        <w:t xml:space="preserve">(xxii)     customer deposits and advance payments received in the ordinary course of business or consistent with past practice from customers for the purchase of goods or services; </w:t>
      </w:r>
    </w:p>
    <w:p>
      <w:pPr>
        <w:pStyle w:val="TextBody"/>
        <w:bidi w:val="0"/>
        <w:spacing w:before="120" w:after="0"/>
        <w:jc w:val="left"/>
        <w:rPr>
          <w:rFonts w:ascii="Times New Roman" w:hAnsi="Times New Roman"/>
          <w:sz w:val="20"/>
        </w:rPr>
      </w:pPr>
      <w:r>
        <w:rPr>
          <w:rFonts w:ascii="Times New Roman" w:hAnsi="Times New Roman"/>
          <w:sz w:val="20"/>
        </w:rPr>
        <w:t xml:space="preserve">(xxiii)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w:t>
      </w:r>
    </w:p>
    <w:p>
      <w:pPr>
        <w:pStyle w:val="TextBody"/>
        <w:bidi w:val="0"/>
        <w:spacing w:before="120" w:after="0"/>
        <w:jc w:val="left"/>
        <w:rPr>
          <w:rFonts w:ascii="Times New Roman" w:hAnsi="Times New Roman"/>
          <w:sz w:val="20"/>
        </w:rPr>
      </w:pPr>
      <w:r>
        <w:rPr>
          <w:rFonts w:ascii="Times New Roman" w:hAnsi="Times New Roman"/>
          <w:sz w:val="20"/>
        </w:rPr>
        <w:t xml:space="preserve">(xxiv)     additional Indebtedness of Bidco or any of its Restricted Subsidiaries in an aggregate principal amount not to exceed the Available Amount that is not otherwise applied pursuant to clause (34) of the definition of “Permitted Liens” and </w:t>
      </w:r>
      <w:r>
        <w:rPr>
          <w:rFonts w:ascii="Times New Roman" w:hAnsi="Times New Roman"/>
          <w:sz w:val="20"/>
          <w:u w:val="single"/>
        </w:rPr>
        <w:t>Section 6.05(a)(A)</w:t>
      </w:r>
      <w:r>
        <w:rPr>
          <w:rFonts w:ascii="Times New Roman" w:hAnsi="Times New Roman"/>
          <w:sz w:val="20"/>
        </w:rPr>
        <w:t xml:space="preserve"> as in effect immediately prior to the incurrence of such Indebtedness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(xxv)     additional Indebtedness of Bidco or any of its Restricted Subsidiaries in an aggregate principal amount that does not exceed the amount of Excluded Contributions made since the Effective Date that is not otherwise applied pursuant to clause (35) of the definition of “Permitted Liens” and</w:t>
      </w:r>
      <w:r>
        <w:rPr>
          <w:rFonts w:ascii="Times New Roman" w:hAnsi="Times New Roman"/>
          <w:sz w:val="20"/>
          <w:u w:val="single"/>
        </w:rPr>
        <w:t xml:space="preserve"> Section 6.05(b)(x)</w:t>
      </w:r>
      <w:r>
        <w:rPr>
          <w:rFonts w:ascii="Times New Roman" w:hAnsi="Times New Roman"/>
          <w:sz w:val="20"/>
        </w:rPr>
        <w:t xml:space="preserve"> as in effect immediately prior to the incurrence of such Indebtedness (and after giving Pro Forma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(xxvi)     (a) Indebtedness of Bidco, any Borrower or any Subsidiary Loan Party issued in lieu of Incremental Facilities consisting of one or more series of loans (including bridge facilities), bonds, notes or debentures (and any Registered Equivalent Notes issued in exchange therefor) that are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or unsecured or that are subordinated (the “</w:t>
      </w:r>
      <w:r>
        <w:rPr>
          <w:rFonts w:ascii="Times New Roman" w:hAnsi="Times New Roman"/>
          <w:sz w:val="20"/>
          <w:u w:val="single"/>
        </w:rPr>
        <w:t>Incremental Equivalent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aggregate principal amount of all such Indebtedness incurred pursuant to this clause shall not exceed at the time of incurrence the Incremental Cap at such time and (y) such Indebtedness complies with the Required Additional Debt Terms and (b) any Refinancing Indebtedness in respect of Indebtedness incurred pursuant to the foregoing subclause (a);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Incremental Equivalent Debt is (i) broadly syndicated to banks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p>
    <w:p>
      <w:pPr>
        <w:pStyle w:val="TextBody"/>
        <w:bidi w:val="0"/>
        <w:spacing w:before="0" w:after="0"/>
        <w:jc w:val="left"/>
        <w:rPr>
          <w:rFonts w:ascii="Times New Roman" w:hAnsi="Times New Roman"/>
          <w:sz w:val="20"/>
        </w:rPr>
      </w:pPr>
      <w:r>
        <w:rPr>
          <w:rFonts w:ascii="Times New Roman" w:hAnsi="Times New Roman"/>
          <w:sz w:val="20"/>
        </w:rPr>
        <w:t xml:space="preserve">other institutional investors, (ii) a term loan that is equal in right of payment to the Loan Document Obligations and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and (iii) denominated in dollars, </w:t>
      </w:r>
      <w:r>
        <w:rPr>
          <w:rFonts w:ascii="Times New Roman" w:hAnsi="Times New Roman"/>
          <w:sz w:val="20"/>
          <w:u w:val="single"/>
        </w:rPr>
        <w:t>then</w:t>
      </w:r>
      <w:r>
        <w:rPr>
          <w:rFonts w:ascii="Times New Roman" w:hAnsi="Times New Roman"/>
          <w:sz w:val="20"/>
        </w:rPr>
        <w:t xml:space="preserve"> the Amendment No. 1 Refinancing Term Loans shall be subject to the “most favored nation” pricing adjustment (if applicable) set forth in the proviso to </w:t>
      </w:r>
      <w:r>
        <w:rPr>
          <w:rFonts w:ascii="Times New Roman" w:hAnsi="Times New Roman"/>
          <w:sz w:val="20"/>
          <w:u w:val="single"/>
        </w:rPr>
        <w:t>Section 2.19(b)</w:t>
      </w:r>
      <w:r>
        <w:rPr>
          <w:rFonts w:ascii="Times New Roman" w:hAnsi="Times New Roman"/>
          <w:sz w:val="20"/>
        </w:rPr>
        <w:t xml:space="preserve"> as if such Incremental Equivalent Debt was an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(xxvii)     Indebtedness to a customer to finance the acquisition of any equipment necessary to perform services for such customer; </w:t>
      </w:r>
      <w:r>
        <w:rPr>
          <w:rFonts w:ascii="Times New Roman" w:hAnsi="Times New Roman"/>
          <w:sz w:val="20"/>
          <w:u w:val="single"/>
        </w:rPr>
        <w:t>provided</w:t>
      </w:r>
      <w:r>
        <w:rPr>
          <w:rFonts w:ascii="Times New Roman" w:hAnsi="Times New Roman"/>
          <w:sz w:val="20"/>
        </w:rPr>
        <w:t xml:space="preserve"> that the terms of such Indebtedness are consistent with those entered into with respect to similar Indebtedness prior to the Effective Date, including that (1) the repayment of such Indebtedness is conditional upon such customer ordering a specific amount of goods or services and (2) such Indebtedness does not bear interest or provide for scheduled amortization or maturity; </w:t>
      </w:r>
    </w:p>
    <w:p>
      <w:pPr>
        <w:pStyle w:val="TextBody"/>
        <w:bidi w:val="0"/>
        <w:spacing w:before="120" w:after="0"/>
        <w:jc w:val="left"/>
        <w:rPr>
          <w:rFonts w:ascii="Times New Roman" w:hAnsi="Times New Roman"/>
          <w:sz w:val="20"/>
        </w:rPr>
      </w:pPr>
      <w:r>
        <w:rPr>
          <w:rFonts w:ascii="Times New Roman" w:hAnsi="Times New Roman"/>
          <w:sz w:val="20"/>
        </w:rPr>
        <w:t xml:space="preserve">(xxviii)     Indebtedness of Bidco or any of its Restricted Subsidiaries arising pursuant to any Permitted Intercompany Activities, any Permitted Tax Restructuring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(xxix)     to the extent constituting Indebtedness, obligations under or in respect of Receivables Facilities;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Pro Forma Effect thereto), the aggregate amount of Indebtedness pursuant to this clause (xxix), when aggregated with the outstanding amount of Indebtedness incurred in reliance on clause (xxx) and the outstanding amount of Refinancing Indebtedness in respect of Indebtedness initially incurred in reliance on this clause (xxix) or clause (xxx), does not exceed $400,000,000; </w:t>
      </w:r>
    </w:p>
    <w:p>
      <w:pPr>
        <w:pStyle w:val="TextBody"/>
        <w:bidi w:val="0"/>
        <w:spacing w:before="120" w:after="0"/>
        <w:jc w:val="left"/>
        <w:rPr>
          <w:rFonts w:ascii="Times New Roman" w:hAnsi="Times New Roman"/>
          <w:sz w:val="20"/>
        </w:rPr>
      </w:pPr>
      <w:r>
        <w:rPr>
          <w:rFonts w:ascii="Times New Roman" w:hAnsi="Times New Roman"/>
          <w:sz w:val="20"/>
        </w:rPr>
        <w:t xml:space="preserve">(xxx)     Indebtedness incurred in connection with any Sale and Lease-Back Transaction; </w:t>
      </w:r>
      <w:r>
        <w:rPr>
          <w:rFonts w:ascii="Times New Roman" w:hAnsi="Times New Roman"/>
          <w:sz w:val="20"/>
          <w:u w:val="single"/>
        </w:rPr>
        <w:t>provided</w:t>
      </w:r>
      <w:r>
        <w:rPr>
          <w:rFonts w:ascii="Times New Roman" w:hAnsi="Times New Roman"/>
          <w:sz w:val="20"/>
        </w:rPr>
        <w:t xml:space="preserve"> that, at the time of any such incurrence of Indebtedness (and after giving Pro Forma Effect thereto), the aggregate amount of Indebtedness pursuant to this clause (xxx), when aggregated with the outstanding amount of Indebtedness incurred in reliance on clause (xxix) and the outstanding amount of Refinancing Indebtedness in respect of Indebtedness initially incurred in reliance on this clause (xxx) or clause (xxix), does not exceed $400,000,000; </w:t>
      </w:r>
    </w:p>
    <w:p>
      <w:pPr>
        <w:pStyle w:val="TextBody"/>
        <w:bidi w:val="0"/>
        <w:spacing w:before="120" w:after="0"/>
        <w:jc w:val="left"/>
        <w:rPr>
          <w:rFonts w:ascii="Times New Roman" w:hAnsi="Times New Roman"/>
          <w:sz w:val="20"/>
        </w:rPr>
      </w:pPr>
      <w:r>
        <w:rPr>
          <w:rFonts w:ascii="Times New Roman" w:hAnsi="Times New Roman"/>
          <w:sz w:val="20"/>
        </w:rPr>
        <w:t xml:space="preserve">(xxxi)     Indebtedness under the Senior Secured Notes and any Refinancing Indebtedness in respect thereof; and </w:t>
      </w:r>
    </w:p>
    <w:p>
      <w:pPr>
        <w:pStyle w:val="TextBody"/>
        <w:bidi w:val="0"/>
        <w:spacing w:before="120" w:after="0"/>
        <w:jc w:val="left"/>
        <w:rPr>
          <w:rFonts w:ascii="Times New Roman" w:hAnsi="Times New Roman"/>
          <w:sz w:val="20"/>
        </w:rPr>
      </w:pPr>
      <w:r>
        <w:rPr>
          <w:rFonts w:ascii="Times New Roman" w:hAnsi="Times New Roman"/>
          <w:sz w:val="20"/>
        </w:rPr>
        <w:t xml:space="preserve">(xxxii)     all premiums (if any), interest (including post-petition interest), fees, expenses, charges and additional or contingent interest on obligations described in clauses (i) through (xxxi) above.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 item of Indebtedness, Disqualified Equity Interests or Preferred Stock (or any portion thereof) meets the criteria of more than one of the categories of permitted Indebtedness, Disqualified Equity Interests or Preferred Stock described in clauses (i) through (xxxii) of </w:t>
      </w:r>
      <w:r>
        <w:rPr>
          <w:rFonts w:ascii="Times New Roman" w:hAnsi="Times New Roman"/>
          <w:sz w:val="20"/>
          <w:u w:val="single"/>
        </w:rPr>
        <w:t>Section 6.01(b)</w:t>
      </w:r>
      <w:r>
        <w:rPr>
          <w:rFonts w:ascii="Times New Roman" w:hAnsi="Times New Roman"/>
          <w:sz w:val="20"/>
        </w:rPr>
        <w:t xml:space="preserve"> hereof or is entitled to be incurred pursuant to </w:t>
      </w:r>
      <w:r>
        <w:rPr>
          <w:rFonts w:ascii="Times New Roman" w:hAnsi="Times New Roman"/>
          <w:sz w:val="20"/>
          <w:u w:val="single"/>
        </w:rPr>
        <w:t>Section 6.01(a)</w:t>
      </w:r>
      <w:r>
        <w:rPr>
          <w:rFonts w:ascii="Times New Roman" w:hAnsi="Times New Roman"/>
          <w:sz w:val="20"/>
        </w:rPr>
        <w:t xml:space="preserve"> hereof, Bidco, in its sole discretion, shall classify or reclassify such item of Indebtedness, Disqualified Equity Interests or Preferred Stock (or any portion thereof) and shall only be required to include the amount and type of such Indebtedness, Disqualified Equity Interests or Preferred Stock in one of the above clauses or in </w:t>
      </w:r>
      <w:r>
        <w:rPr>
          <w:rFonts w:ascii="Times New Roman" w:hAnsi="Times New Roman"/>
          <w:sz w:val="20"/>
          <w:u w:val="single"/>
        </w:rPr>
        <w:t>Section 6.01(a)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all Indebtedness under this Agreement incurred on or after the Effective Date shall be deemed to have been incurred pursuant to </w:t>
      </w:r>
      <w:r>
        <w:rPr>
          <w:rFonts w:ascii="Times New Roman" w:hAnsi="Times New Roman"/>
          <w:sz w:val="20"/>
          <w:u w:val="single"/>
        </w:rPr>
        <w:t>Section 6.01(b)(i)</w:t>
      </w:r>
      <w:r>
        <w:rPr>
          <w:rFonts w:ascii="Times New Roman" w:hAnsi="Times New Roman"/>
          <w:sz w:val="20"/>
        </w:rPr>
        <w:t xml:space="preserve"> and (B) that all Indebtedness represented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p>
    <w:p>
      <w:pPr>
        <w:pStyle w:val="TextBody"/>
        <w:bidi w:val="0"/>
        <w:spacing w:before="0" w:after="0"/>
        <w:jc w:val="left"/>
        <w:rPr>
          <w:rFonts w:ascii="Times New Roman" w:hAnsi="Times New Roman"/>
          <w:sz w:val="20"/>
        </w:rPr>
      </w:pPr>
      <w:r>
        <w:rPr>
          <w:rFonts w:ascii="Times New Roman" w:hAnsi="Times New Roman"/>
          <w:sz w:val="20"/>
        </w:rPr>
        <w:t xml:space="preserve">Senior Secured Notes incurred on the Effective Date and all Guarantees of the foregoing will be deemed to have been incurred pursuant to </w:t>
      </w:r>
      <w:r>
        <w:rPr>
          <w:rFonts w:ascii="Times New Roman" w:hAnsi="Times New Roman"/>
          <w:sz w:val="20"/>
          <w:u w:val="single"/>
        </w:rPr>
        <w:t>Section 6.01(b)(xxxi)</w:t>
      </w:r>
      <w:r>
        <w:rPr>
          <w:rFonts w:ascii="Times New Roman" w:hAnsi="Times New Roman"/>
          <w:sz w:val="20"/>
        </w:rPr>
        <w:t xml:space="preserve">, and the Borrower shall not be permitted to reclassify all or any portion of Indebtedness incurred pursuant to </w:t>
      </w:r>
      <w:r>
        <w:rPr>
          <w:rFonts w:ascii="Times New Roman" w:hAnsi="Times New Roman"/>
          <w:sz w:val="20"/>
          <w:u w:val="single"/>
        </w:rPr>
        <w:t>Section 6.01(b)(i)</w:t>
      </w:r>
      <w:r>
        <w:rPr>
          <w:rFonts w:ascii="Times New Roman" w:hAnsi="Times New Roman"/>
          <w:sz w:val="20"/>
        </w:rPr>
        <w:t xml:space="preserve"> or </w:t>
      </w:r>
      <w:r>
        <w:rPr>
          <w:rFonts w:ascii="Times New Roman" w:hAnsi="Times New Roman"/>
          <w:sz w:val="20"/>
          <w:u w:val="single"/>
        </w:rPr>
        <w:t>Section 6.01(b)(xxxi)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time of incurrence or reclassification, Bidco shall be entitled to divide and classify or reclassify an item of Indebtedness in more than one of the types of Indebtedness described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hereof (it being understood that any Indebtedness incurred pursuant to one of the clauses of </w:t>
      </w:r>
      <w:r>
        <w:rPr>
          <w:rFonts w:ascii="Times New Roman" w:hAnsi="Times New Roman"/>
          <w:sz w:val="20"/>
          <w:u w:val="single"/>
        </w:rPr>
        <w:t>Section 6.01(b)</w:t>
      </w:r>
      <w:r>
        <w:rPr>
          <w:rFonts w:ascii="Times New Roman" w:hAnsi="Times New Roman"/>
          <w:sz w:val="20"/>
        </w:rPr>
        <w:t xml:space="preserve"> shall cease to be deemed incurred or outstanding for purposes of such clause but shall be deemed incurred for the purposes of </w:t>
      </w:r>
      <w:r>
        <w:rPr>
          <w:rFonts w:ascii="Times New Roman" w:hAnsi="Times New Roman"/>
          <w:sz w:val="20"/>
          <w:u w:val="single"/>
        </w:rPr>
        <w:t>Section 6.01(a)</w:t>
      </w:r>
      <w:r>
        <w:rPr>
          <w:rFonts w:ascii="Times New Roman" w:hAnsi="Times New Roman"/>
          <w:sz w:val="20"/>
        </w:rPr>
        <w:t xml:space="preserve"> from and after the first date on which Bidco or its Restricted Subsidiaries could have incurred such Indebtedness under </w:t>
      </w:r>
      <w:r>
        <w:rPr>
          <w:rFonts w:ascii="Times New Roman" w:hAnsi="Times New Roman"/>
          <w:sz w:val="20"/>
          <w:u w:val="single"/>
        </w:rPr>
        <w:t>Section 6.01(a)</w:t>
      </w:r>
      <w:r>
        <w:rPr>
          <w:rFonts w:ascii="Times New Roman" w:hAnsi="Times New Roman"/>
          <w:sz w:val="20"/>
        </w:rPr>
        <w:t xml:space="preserve"> without reliance on such clause of </w:t>
      </w:r>
      <w:r>
        <w:rPr>
          <w:rFonts w:ascii="Times New Roman" w:hAnsi="Times New Roman"/>
          <w:sz w:val="20"/>
          <w:u w:val="single"/>
        </w:rPr>
        <w:t>Section 6.01(b)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in the event that Bidco or a Restricted Subsidiary enters into or increases commitments under a credit facility, the Interest Coverage Ratio, the Senior Secured First Lien Net Leverage Ratio, the Senior Secured Net Leverage Ratio or the Total Net Leverage Ratio, as applicable, for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Interest Coverage Ratio, Senior Secured First Lien Net Leverage Ratio, the Senior Secured Net Leverage Ratio or the Total Net Leverage Ratio, as applicable, test is satisfied with respect thereto at such time, any borrowing or reborrowing thereunder (and the issuance and creation of letters of credit and bankers’ acceptances thereunder) shall be permitted under this covenant irrespective of the Interest Coverage Ratio, Senior Secured First Lien Net Leverage Ratio, the Senior Secured Net Leverage Ratio or the Total Net Leverage Ratio, as applicable, at the time of any borrowing or reborrowing thereunder (or the issuance or creation of letters of credit or bankers’ acceptances thereunder) (the committed amount permitted to be borrowed or reborrowed (and the issuance and creation of letters of credit and bankers’ acceptances) on a date pursuant to the operation of this paragraph shall be the “</w:t>
      </w:r>
      <w:r>
        <w:rPr>
          <w:rFonts w:ascii="Times New Roman" w:hAnsi="Times New Roman"/>
          <w:sz w:val="20"/>
          <w:u w:val="single"/>
        </w:rPr>
        <w:t>Reserved Indebtedness Amount</w:t>
      </w:r>
      <w:r>
        <w:rPr>
          <w:rFonts w:ascii="Times New Roman" w:hAnsi="Times New Roman"/>
          <w:sz w:val="20"/>
        </w:rPr>
        <w:t xml:space="preserve">” as of such date for purposes of the Interest Coverage Ratio, Senior Secured First Lien Net Leverage Ratio, the Senior Secured Net Leverage Ratio or the Total Net Leverage Ratio,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(iv)     accrual of interest or dividends, the accretion of accreted value, the accretion or amortization of original issue discount and the payment of interest or dividends in the form of additional Indebtedness, Disqualified Equity Interests or Preferred Stock, as the case may be, of the same class shall not be deemed to be an incurrence or issuance of Indebtedness, Disqualified Equity Interests or Preferred Stock for purposes of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hAnsi="Times New Roman"/>
          <w:sz w:val="20"/>
          <w:u w:val="single"/>
        </w:rPr>
        <w:t>provided</w:t>
      </w:r>
      <w:r>
        <w:rPr>
          <w:rFonts w:ascii="Times New Roman" w:hAnsi="Times New Roman"/>
          <w:sz w:val="20"/>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w:t>
      </w:r>
      <w:r>
        <w:rPr>
          <w:rFonts w:ascii="Times New Roman" w:hAnsi="Times New Roman"/>
          <w:sz w:val="20"/>
          <w:u w:val="single"/>
        </w:rPr>
        <w:t>plus</w:t>
      </w:r>
      <w:r>
        <w:rPr>
          <w:rFonts w:ascii="Times New Roman" w:hAnsi="Times New Roman"/>
          <w:sz w:val="20"/>
        </w:rPr>
        <w:t xml:space="preserve"> (ii) the aggregate amount of fees, underwriting discounts, premiums and other costs and expenses incurred in connection with such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p>
    <w:p>
      <w:pPr>
        <w:pStyle w:val="TextBody"/>
        <w:bidi w:val="0"/>
        <w:spacing w:before="0" w:after="0"/>
        <w:jc w:val="left"/>
        <w:rPr>
          <w:rFonts w:ascii="Times New Roman" w:hAnsi="Times New Roman"/>
          <w:sz w:val="20"/>
        </w:rPr>
      </w:pPr>
      <w:r>
        <w:rPr>
          <w:rFonts w:ascii="Times New Roman" w:hAnsi="Times New Roman"/>
          <w:sz w:val="20"/>
        </w:rPr>
        <w:t xml:space="preserve">(vi)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(vii)     in the case of any refinancing of any Indebtedness permitted under </w:t>
      </w:r>
      <w:r>
        <w:rPr>
          <w:rFonts w:ascii="Times New Roman" w:hAnsi="Times New Roman"/>
          <w:sz w:val="20"/>
          <w:u w:val="single"/>
        </w:rPr>
        <w:t>Section 6.01(a)</w:t>
      </w:r>
      <w:r>
        <w:rPr>
          <w:rFonts w:ascii="Times New Roman" w:hAnsi="Times New Roman"/>
          <w:sz w:val="20"/>
        </w:rPr>
        <w:t xml:space="preserve"> and clause (ii), (iii), (xi)(a), (xii), (xvi) or (xix) of </w:t>
      </w:r>
      <w:r>
        <w:rPr>
          <w:rFonts w:ascii="Times New Roman" w:hAnsi="Times New Roman"/>
          <w:sz w:val="20"/>
          <w:u w:val="single"/>
        </w:rPr>
        <w:t>Section 6.01(b)</w:t>
      </w:r>
      <w:r>
        <w:rPr>
          <w:rFonts w:ascii="Times New Roman" w:hAnsi="Times New Roman"/>
          <w:sz w:val="20"/>
        </w:rPr>
        <w:t xml:space="preserve"> hereof or any portion thereof, the amount of Indebtedness being incurred to finance the aggregate amount of accrued and unpaid interest, dividends, premiums (including tender premiums), defeasance costs and fees and expenses (including original issue discount, upfront fees or similar fees) in connection with such refinancing shall not be deemed to be an incurrence or issuance of Indebtedness for purposes of this covenant, and the principal amount of any Disqualified Equity Interests of Bidco or a Restricted Subsidiary, or Preferred Stock of a Restricted Subsidiary, will be equal to the greater of the maximum mandatory redemption or repurchase price (not including, in either case, any redemption or repurchase premium) or the liquidation preference thereof; </w:t>
      </w:r>
    </w:p>
    <w:p>
      <w:pPr>
        <w:pStyle w:val="TextBody"/>
        <w:bidi w:val="0"/>
        <w:spacing w:before="120" w:after="0"/>
        <w:jc w:val="left"/>
        <w:rPr>
          <w:rFonts w:ascii="Times New Roman" w:hAnsi="Times New Roman"/>
          <w:sz w:val="20"/>
        </w:rPr>
      </w:pPr>
      <w:r>
        <w:rPr>
          <w:rFonts w:ascii="Times New Roman" w:hAnsi="Times New Roman"/>
          <w:sz w:val="20"/>
        </w:rPr>
        <w:t xml:space="preserve">(viii)     notwithstanding anything in this </w:t>
      </w:r>
      <w:r>
        <w:rPr>
          <w:rFonts w:ascii="Times New Roman" w:hAnsi="Times New Roman"/>
          <w:sz w:val="20"/>
          <w:u w:val="single"/>
        </w:rPr>
        <w:t>Section 6.01</w:t>
      </w:r>
      <w:r>
        <w:rPr>
          <w:rFonts w:ascii="Times New Roman" w:hAnsi="Times New Roman"/>
          <w:sz w:val="20"/>
        </w:rPr>
        <w:t xml:space="preserve"> to the contrary, in the case of any Indebtedness incurred to refinance Indebtedness initially incurred in reliance on clause (iii), (xi)(b), or (xix) of </w:t>
      </w:r>
      <w:r>
        <w:rPr>
          <w:rFonts w:ascii="Times New Roman" w:hAnsi="Times New Roman"/>
          <w:sz w:val="20"/>
          <w:u w:val="single"/>
        </w:rPr>
        <w:t>Section 6.01(b)</w:t>
      </w:r>
      <w:r>
        <w:rPr>
          <w:rFonts w:ascii="Times New Roman" w:hAnsi="Times New Roman"/>
          <w:sz w:val="20"/>
        </w:rPr>
        <w:t xml:space="preserve"> hereof, measured by reference to a percentage of Consolidated EBITDA at the time of incurrence, and such refinancing would cause the percentage of Consolidated EBITDA restriction to be exceeded if calculated based on the percentage of Consolidated EBITDA on the date of such refinancing, such percentage of Consolidated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and fees and expenses (including original issue discount, upfront fees or similar fees) in connection with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(ix)     Guarantees of, or obligations in respect of letters of credit, bankers’ acceptances or other similar instruments relating to, Indebtedness that is otherwise included in the determination of a particular amount of Indebtedness shall not be included; and </w:t>
      </w:r>
    </w:p>
    <w:p>
      <w:pPr>
        <w:pStyle w:val="TextBody"/>
        <w:bidi w:val="0"/>
        <w:spacing w:before="120" w:after="0"/>
        <w:jc w:val="left"/>
        <w:rPr>
          <w:rFonts w:ascii="Times New Roman" w:hAnsi="Times New Roman"/>
          <w:sz w:val="20"/>
        </w:rPr>
      </w:pPr>
      <w:r>
        <w:rPr>
          <w:rFonts w:ascii="Times New Roman" w:hAnsi="Times New Roman"/>
          <w:sz w:val="20"/>
        </w:rPr>
        <w:t xml:space="preserve">(x)     pursuant to this Agreement (x) unsecured Indebtedness shall not be treated as subordinated or junior to Secured Indebtedness merely because it is unsecured and (y) Indebtedness shall not be treated as subordinated or junior to any other Indebtedness merely because it has a junior priority with respect to the same collateral or is secured by different collateral or because it is guaranteed by different obligors.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Bidco shall not, and shall not permit any Borrower or any Guarantor to create, incur, assume or permit to exist any Lien (except Permitted Liens) (each, a “</w:t>
      </w:r>
      <w:r>
        <w:rPr>
          <w:rFonts w:ascii="Times New Roman" w:hAnsi="Times New Roman"/>
          <w:sz w:val="20"/>
          <w:u w:val="single"/>
        </w:rPr>
        <w:t>Subject Lien</w:t>
      </w:r>
      <w:r>
        <w:rPr>
          <w:rFonts w:ascii="Times New Roman" w:hAnsi="Times New Roman"/>
          <w:sz w:val="20"/>
        </w:rPr>
        <w:t xml:space="preserve">”) that secures obligations under any Indebtedness or any related Guarantee on any asset or property of Bidco, any Borrower or any Guarantor, unless: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Subject Liens on any Collateral, (A) if the obligations secured by such Subject Lien are expressly junior to the Secured Obligations or (B) such Subject Lien is a Permitted Lien; or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Subject Lien on assets or property not constituting Collateral, any Subject Lien if (A) the Secured Obligations are equally and ratably secured with (or on a senior basis to, in the case such Subject Lien that secures any Subordinated Indebtedness) the obligations secured by such Subject Lien until such time as such obligations are no longer secured by such Subject Lien or (B) such Subject Lien is a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(b)     Any Lien created for the benefit of the Secured Parties pursuant to the preceding paragraph shall be automatically and unconditionally released and discharged upon the release and discharge of the Subject Lien that gave rise to the obligation to so secure the Secured Obligations. </w:t>
      </w:r>
    </w:p>
    <w:p>
      <w:pPr>
        <w:pStyle w:val="TextBody"/>
        <w:bidi w:val="0"/>
        <w:spacing w:before="240" w:after="0"/>
        <w:jc w:val="left"/>
        <w:rPr>
          <w:rFonts w:ascii="Times New Roman" w:hAnsi="Times New Roman"/>
          <w:sz w:val="20"/>
        </w:rPr>
      </w:pPr>
      <w:r>
        <w:rPr>
          <w:rFonts w:ascii="Times New Roman" w:hAnsi="Times New Roman"/>
          <w:sz w:val="20"/>
        </w:rPr>
        <w:t>(c)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hAnsi="Times New Roman"/>
          <w:sz w:val="20"/>
          <w:u w:val="single"/>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w:t>
      </w:r>
    </w:p>
    <w:p>
      <w:pPr>
        <w:pStyle w:val="TextBody"/>
        <w:bidi w:val="0"/>
        <w:spacing w:before="36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 Holdings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will not, and will not permit any other Restricted Subsidiary to, merge into or consolidate with any other Person, or permit any other Person to merge into or consolidate with it, or liquidate or dissolve (which, for the avoidance of doubt, shall not restrict Bidco or any Restricted Subsidiary from changing its organizational form), except that: </w:t>
      </w:r>
    </w:p>
    <w:p>
      <w:pPr>
        <w:pStyle w:val="TextBody"/>
        <w:bidi w:val="0"/>
        <w:spacing w:before="120" w:after="0"/>
        <w:jc w:val="left"/>
        <w:rPr>
          <w:rFonts w:ascii="Times New Roman" w:hAnsi="Times New Roman"/>
          <w:sz w:val="20"/>
        </w:rPr>
      </w:pPr>
      <w:r>
        <w:rPr>
          <w:rFonts w:ascii="Times New Roman" w:hAnsi="Times New Roman"/>
          <w:sz w:val="20"/>
        </w:rPr>
        <w:t xml:space="preserve">(i)     any Restricted Subsidiary other than a Borrower may merge or consolidate with (A) Bidco or a Borrower; </w:t>
      </w:r>
      <w:r>
        <w:rPr>
          <w:rFonts w:ascii="Times New Roman" w:hAnsi="Times New Roman"/>
          <w:sz w:val="20"/>
          <w:u w:val="single"/>
        </w:rPr>
        <w:t>provided</w:t>
      </w:r>
      <w:r>
        <w:rPr>
          <w:rFonts w:ascii="Times New Roman" w:hAnsi="Times New Roman"/>
          <w:sz w:val="20"/>
        </w:rPr>
        <w:t xml:space="preserve"> that Bidco or such Borrower shall be the continuing or surviving Person, or (B) any one or more Restricted Subsidiaries other than a Borrower; </w:t>
      </w:r>
      <w:r>
        <w:rPr>
          <w:rFonts w:ascii="Times New Roman" w:hAnsi="Times New Roman"/>
          <w:sz w:val="20"/>
          <w:u w:val="single"/>
        </w:rPr>
        <w:t>provided</w:t>
      </w:r>
      <w:r>
        <w:rPr>
          <w:rFonts w:ascii="Times New Roman" w:hAnsi="Times New Roman"/>
          <w:sz w:val="20"/>
        </w:rPr>
        <w:t xml:space="preserve"> that when any Subsidiary Loan Party is merging or consolidating with another Restricted Subsidiary other than a Borrower (1) the continuing or surviving Person shall be a Subsidiary Loan Party or (2) if the continuing or surviving Person is not a Subsidiary Loan Party, the acquisition of such Subsidiary Loan Party by such surviving Restricted Subsidiary is otherwise permitted under </w:t>
      </w:r>
      <w:r>
        <w:rPr>
          <w:rFonts w:ascii="Times New Roman" w:hAnsi="Times New Roman"/>
          <w:sz w:val="20"/>
          <w:u w:val="single"/>
        </w:rPr>
        <w:t>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any Restricted Subsidiary that is not a Loan Party may merge or consolidate with or into any other Restricted Subsidiary that is not a Loan Party and (B) any Restricted Subsidiary other than a Borrower may liquidate or dissolve or change its legal form if Bidco determines in good faith that such action is in the best interests of Bidco and the Restricted Subsidiaries and is not materially disadvantageous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(iii)     any Restricted Subsidiary other than a Borrower may make a disposition of all or substantially all of its assets (upon voluntary liquidation or otherwise) to Bidco or another Restricted Subsidiary; </w:t>
      </w:r>
      <w:r>
        <w:rPr>
          <w:rFonts w:ascii="Times New Roman" w:hAnsi="Times New Roman"/>
          <w:sz w:val="20"/>
          <w:u w:val="single"/>
        </w:rPr>
        <w:t>provided</w:t>
      </w:r>
      <w:r>
        <w:rPr>
          <w:rFonts w:ascii="Times New Roman" w:hAnsi="Times New Roman"/>
          <w:sz w:val="20"/>
        </w:rPr>
        <w:t xml:space="preserve"> that if the transferor in such a transaction is a Loan Party, then (A) the transferee must be a Loan Party, (B) to the extent constituting an Investment in a Restricted Subsidiary that is not a Loan Party, such Investment is a permitted Investment in a Restricted Subsidiary that is not a Loan Party in accordance with </w:t>
      </w:r>
      <w:r>
        <w:rPr>
          <w:rFonts w:ascii="Times New Roman" w:hAnsi="Times New Roman"/>
          <w:sz w:val="20"/>
          <w:u w:val="single"/>
        </w:rPr>
        <w:t>Section 6.05</w:t>
      </w:r>
      <w:r>
        <w:rPr>
          <w:rFonts w:ascii="Times New Roman" w:hAnsi="Times New Roman"/>
          <w:sz w:val="20"/>
        </w:rPr>
        <w:t xml:space="preserve"> or (C)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p>
    <w:p>
      <w:pPr>
        <w:pStyle w:val="TextBody"/>
        <w:bidi w:val="0"/>
        <w:spacing w:before="0" w:after="0"/>
        <w:jc w:val="left"/>
        <w:rPr>
          <w:rFonts w:ascii="Times New Roman" w:hAnsi="Times New Roman"/>
          <w:sz w:val="20"/>
        </w:rPr>
      </w:pPr>
      <w:r>
        <w:rPr>
          <w:rFonts w:ascii="Times New Roman" w:hAnsi="Times New Roman"/>
          <w:sz w:val="20"/>
        </w:rPr>
        <w:t xml:space="preserve">extent constituting a disposition to a Restricted Subsidiary that is not a Loan Party, such disposition is for fair market value (as determined in good faith by Bidco) and any promissory note or other non-cash consideration received in respect thereof is a permitted Investment in a Restricted Subsidiary that is not a Loan Party in accordance with </w:t>
      </w:r>
      <w:r>
        <w:rPr>
          <w:rFonts w:ascii="Times New Roman" w:hAnsi="Times New Roman"/>
          <w:sz w:val="20"/>
          <w:u w:val="single"/>
        </w:rPr>
        <w:t>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Bidco or a Borrower may merge or consolidate with (or dispose of all or substantially all of its assets to) any other Person; </w:t>
      </w:r>
      <w:r>
        <w:rPr>
          <w:rFonts w:ascii="Times New Roman" w:hAnsi="Times New Roman"/>
          <w:sz w:val="20"/>
          <w:u w:val="single"/>
        </w:rPr>
        <w:t>provided</w:t>
      </w:r>
      <w:r>
        <w:rPr>
          <w:rFonts w:ascii="Times New Roman" w:hAnsi="Times New Roman"/>
          <w:sz w:val="20"/>
        </w:rPr>
        <w:t xml:space="preserve"> that (A) Bidco or such Borrower shall be the continuing or surviving Person or (B) if the Person formed by or surviving any such merger or consolidation is not Bidco or such Borrower, as applicable, or is a Person into which Bidco or such Borrower has been liquidated (or, in connection with a disposition of all or substantially all of Bidco’s or such Borrower’s, as applicable, assets, if the transferee of such assets) (any such Person, the “</w:t>
      </w:r>
      <w:r>
        <w:rPr>
          <w:rFonts w:ascii="Times New Roman" w:hAnsi="Times New Roman"/>
          <w:sz w:val="20"/>
          <w:u w:val="single"/>
        </w:rPr>
        <w:t>Successor Entity</w:t>
      </w:r>
      <w:r>
        <w:rPr>
          <w:rFonts w:ascii="Times New Roman" w:hAnsi="Times New Roman"/>
          <w:sz w:val="20"/>
        </w:rPr>
        <w:t xml:space="preserve">”), (1) the Successor Entity shall be an entity organized or existing under the laws of (i) in the case of Bidco or the Finco Borrower, Luxembourg, (ii) in the case of Bidco, Guernsey, (iii) in the case of Bidco or an Additional Borrower, England and Wales or (iv) in the case of a Borrower (other than the Finco Borrower or an Additional Borrower), the United States, any State thereof or the District of Columbia, (2) the Successor Entity shall expressly assume all the obligations of Bidco or such Borrower, as applicable, under this Agreement and the other Loan Documents to which Bidco or such Borrower, as applicable, is a party pursuant to a supplement hereto or thereto in form and substance reasonably satisfactory to the Administrative Agent, (3) each Loan Party other than Bidco or such Borrower, as applicable,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Entity’s obligations under this Agreement and (4) Bidco or such Borrower, as applicable, shall have delivered to the Administrative Agent a certificate of a Responsible Officer of Bidco or such Borrower, as applicable, and an opinion of counsel, each stating that such merger or consolidation complies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(y) if such Person is not a Loan Party, no Event of Default (or, to the extent related to a Limited Condition Transaction, no Specified Event of Default) shall exist after giving effect to such merger or consolidation and (z) if the foregoing requirements are satisfied, the Successor Entity will succeed to, and be substituted for, Bidco or such Borrower, as applicable, under this Agreement and the other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or such Borrower, as applicable, will use commercially reasonable efforts to provide any documentation and other information about the Successor Entity as shall have been reasonably requested in writing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(v)     any Restricted Subsidiary other than a Borrower may merge, consolidate or amalgamate with any other Person in order to effect an Investment permitted pursuant to </w:t>
      </w:r>
      <w:r>
        <w:rPr>
          <w:rFonts w:ascii="Times New Roman" w:hAnsi="Times New Roman"/>
          <w:sz w:val="20"/>
          <w:u w:val="single"/>
        </w:rPr>
        <w:t>Section 6.05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continuing or surviving Person shall be Bidco or a Restricted Subsidiary, which together with each of the Restricted Subsidiaries, shall have complied with the requirements of </w:t>
      </w:r>
      <w:r>
        <w:rPr>
          <w:rFonts w:ascii="Times New Roman" w:hAnsi="Times New Roman"/>
          <w:sz w:val="20"/>
          <w:u w:val="single"/>
        </w:rPr>
        <w:t>Sections 5.11</w:t>
      </w:r>
      <w:r>
        <w:rPr>
          <w:rFonts w:ascii="Times New Roman" w:hAnsi="Times New Roman"/>
          <w:sz w:val="20"/>
        </w:rPr>
        <w:t xml:space="preserve"> and </w:t>
      </w:r>
      <w:r>
        <w:rPr>
          <w:rFonts w:ascii="Times New Roman" w:hAnsi="Times New Roman"/>
          <w:sz w:val="20"/>
          <w:u w:val="single"/>
        </w:rPr>
        <w:t>5.12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any Restricted Subsidiary other than a Borrower may effect a merger, dissolution, liquidation consolidation or amalgamation to effect an Asset Sale permitted pursuant to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Holdings will not, and will not permit any Intermediate Parent to, conduct, transact or otherwise engage in any business or operations other than (i) the ownership and/or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p>
    <w:p>
      <w:pPr>
        <w:pStyle w:val="TextBody"/>
        <w:bidi w:val="0"/>
        <w:spacing w:before="0" w:after="0"/>
        <w:jc w:val="left"/>
        <w:rPr>
          <w:rFonts w:ascii="Times New Roman" w:hAnsi="Times New Roman"/>
          <w:sz w:val="20"/>
        </w:rPr>
      </w:pPr>
      <w:r>
        <w:rPr>
          <w:rFonts w:ascii="Times New Roman" w:hAnsi="Times New Roman"/>
          <w:sz w:val="20"/>
        </w:rPr>
        <w:t xml:space="preserve">of the Equity Interests of Bidco, any Intermediate Parent and any other Subsidiary, (ii) the maintenance of its legal existence, including the ability to incur fees, costs and expenses relating to such maintenance, (iii) participating in tax, accounting and other administrative matters with respect to Holdings and its subsidiaries, (iv) the performance of its obligations under and in connection with the Loan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w:t>
      </w:r>
      <w:r>
        <w:rPr>
          <w:rFonts w:ascii="Times New Roman" w:hAnsi="Times New Roman"/>
          <w:sz w:val="20"/>
          <w:u w:val="single"/>
        </w:rPr>
        <w:t>Section 5.17</w:t>
      </w:r>
      <w:r>
        <w:rPr>
          <w:rFonts w:ascii="Times New Roman" w:hAnsi="Times New Roman"/>
          <w:sz w:val="20"/>
        </w:rPr>
        <w:t xml:space="preserve">, or any Investment in Bidco,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(c)     Holdings will not, and will not permit any Intermediate Parent to, own or acquire any material assets (other than Equity Interests as referred to in paragraph (b)(i) above, cash and Cash Equivalents, intercompany Investments in any Intermediate Parent, Bidco or any Subsidiary permitted hereunder) or incur any liabilities (other than liabilities as referred to in paragraph (b) above, liabilities imposed by law, including tax liabilities, and other liabilities incidental to its existence and business and activities permitted by this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Asset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shall not, and shall not permit any of its Restricted Subsidiaries to, consummate an Asset Sale, unless: </w:t>
      </w:r>
    </w:p>
    <w:p>
      <w:pPr>
        <w:pStyle w:val="TextBody"/>
        <w:bidi w:val="0"/>
        <w:spacing w:before="120" w:after="0"/>
        <w:jc w:val="left"/>
        <w:rPr>
          <w:rFonts w:ascii="Times New Roman" w:hAnsi="Times New Roman"/>
          <w:sz w:val="20"/>
        </w:rPr>
      </w:pPr>
      <w:r>
        <w:rPr>
          <w:rFonts w:ascii="Times New Roman" w:hAnsi="Times New Roman"/>
          <w:sz w:val="20"/>
        </w:rPr>
        <w:t xml:space="preserve">(i)     Bidco or such Restricted Subsidiary, as the case may be, receives consideration at the time of such Asset Sale at least equal to the Fair Market Value (as determined at the time of contractually agreeing to such Asset Sale) of the assets sold or otherwise disposed of; and </w:t>
      </w:r>
    </w:p>
    <w:p>
      <w:pPr>
        <w:pStyle w:val="TextBody"/>
        <w:bidi w:val="0"/>
        <w:spacing w:before="120" w:after="0"/>
        <w:jc w:val="left"/>
        <w:rPr>
          <w:rFonts w:ascii="Times New Roman" w:hAnsi="Times New Roman"/>
          <w:sz w:val="20"/>
        </w:rPr>
      </w:pPr>
      <w:r>
        <w:rPr>
          <w:rFonts w:ascii="Times New Roman" w:hAnsi="Times New Roman"/>
          <w:sz w:val="20"/>
        </w:rPr>
        <w:t xml:space="preserve">(ii)     except in the case of a Permitted Asset Swap, if the property or assets sold or otherwise disposed of have a Fair Market Value in excess of the greater of $375,000,000 and 50% of Consolidated EBITDA for the most recently ended Test Period at the time of such disposition, calculated on a Pro Forma Basis, at least 75% of the consideration therefor received by Bidco or such Restricted Subsidiary, as the case may be, is in the form of cash or Cash Equivalents; </w:t>
      </w:r>
      <w:r>
        <w:rPr>
          <w:rFonts w:ascii="Times New Roman" w:hAnsi="Times New Roman"/>
          <w:sz w:val="20"/>
          <w:u w:val="single"/>
        </w:rPr>
        <w:t>provided</w:t>
      </w:r>
      <w:r>
        <w:rPr>
          <w:rFonts w:ascii="Times New Roman" w:hAnsi="Times New Roman"/>
          <w:sz w:val="20"/>
        </w:rPr>
        <w:t xml:space="preserve"> that the amount of: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contingent or otherwise, of Bidco or such Restricted Subsidiary, other than liabilities that are by their terms subordinated to the Secured Obligations or that are owed to Bidco or a Restricted Subsidiary that (x) are assumed by the transferee of any such assets (or a third party in connection with such transfer) or (y) are otherwise cancelled or terminated in connection with the transaction with such transferee (other than intercompany debt owed to Bidco or its Restricted Subsidiaries) and, in each case, for which Bidco and all of its Restricted Subsidiaries have been validly released; </w:t>
      </w:r>
    </w:p>
    <w:p>
      <w:pPr>
        <w:pStyle w:val="TextBody"/>
        <w:bidi w:val="0"/>
        <w:spacing w:before="120" w:after="0"/>
        <w:jc w:val="left"/>
        <w:rPr>
          <w:rFonts w:ascii="Times New Roman" w:hAnsi="Times New Roman"/>
          <w:sz w:val="20"/>
        </w:rPr>
      </w:pPr>
      <w:r>
        <w:rPr>
          <w:rFonts w:ascii="Times New Roman" w:hAnsi="Times New Roman"/>
          <w:sz w:val="20"/>
        </w:rPr>
        <w:t xml:space="preserve">(B)     any securities, notes or other obligations or assets received by Bidco or such Restricted Subsidiary from such transferee that are converted by Bidco or such Restricted Subsidiary into cash or Cash Equivalents (to the extent of the cash or Cash Equivalents received) within 180 days following the closing of such Asset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p>
    <w:p>
      <w:pPr>
        <w:pStyle w:val="TextBody"/>
        <w:bidi w:val="0"/>
        <w:spacing w:before="0" w:after="0"/>
        <w:jc w:val="left"/>
        <w:rPr>
          <w:rFonts w:ascii="Times New Roman" w:hAnsi="Times New Roman"/>
          <w:sz w:val="20"/>
        </w:rPr>
      </w:pPr>
      <w:r>
        <w:rPr>
          <w:rFonts w:ascii="Times New Roman" w:hAnsi="Times New Roman"/>
          <w:sz w:val="20"/>
        </w:rPr>
        <w:t xml:space="preserve">(C)     Indebtedness of any Restricted Subsidiary that ceases to be a Restricted Subsidiary as a result of such Asset Sale (other than intercompany debt owed to Bidco or any Restricted Subsidiary), to the extent that Bidco and each other Restricted Subsidiary are released from any guarantee of payment of the principal amount of such Indebtedness in connection with such Asset Sale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consideration consisting of Indebtedness of a Borrower or a Guarantor (other than intercompany debt owed to Bidco or any Restricted Subsidiary and other than Subordinated Indebtedness) received after the Effective Date from Persons who are not Bidco, Holdings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any Designated Non-cash Consideration received by Bidco or such Restricted Subsidiary in such Asset Sale having an aggregate Fair Market Value taken together with all other Designated Non-cash Consideration received pursuant to this clause (E) that is at that time outstanding, not to exceed the greater of $225,000,000 and 30% of Consolidated EBITDA for the most recently ended Test Period at the time of the receipt of such Designated Non-cash Consideration, calculated on a Pro Forma Basis (with the Fair Market Value of each such item of Designated Non-cash Consideration being measured pursuant to this clause (E) at Bidco’s option, either at the time of contractually agreeing to such Asset Sale or at the time received and, in either case, without giving effect to subsequent changes in value); and </w:t>
      </w:r>
    </w:p>
    <w:p>
      <w:pPr>
        <w:pStyle w:val="TextBody"/>
        <w:bidi w:val="0"/>
        <w:spacing w:before="120" w:after="0"/>
        <w:jc w:val="left"/>
        <w:rPr>
          <w:rFonts w:ascii="Times New Roman" w:hAnsi="Times New Roman"/>
          <w:sz w:val="20"/>
        </w:rPr>
      </w:pPr>
      <w:r>
        <w:rPr>
          <w:rFonts w:ascii="Times New Roman" w:hAnsi="Times New Roman"/>
          <w:sz w:val="20"/>
        </w:rPr>
        <w:t xml:space="preserve">(F)     any Investment, Capital Stock, assets, property or capital or other expenditure of the kind referred to in Section 6.04(b)(ii) </w:t>
      </w:r>
    </w:p>
    <w:p>
      <w:pPr>
        <w:pStyle w:val="TextBody"/>
        <w:bidi w:val="0"/>
        <w:spacing w:before="120" w:after="0"/>
        <w:jc w:val="left"/>
        <w:rPr>
          <w:rFonts w:ascii="Times New Roman" w:hAnsi="Times New Roman"/>
          <w:sz w:val="20"/>
        </w:rPr>
      </w:pPr>
      <w:r>
        <w:rPr>
          <w:rFonts w:ascii="Times New Roman" w:hAnsi="Times New Roman"/>
          <w:sz w:val="20"/>
        </w:rPr>
        <w:t xml:space="preserve">shall be deemed to be Cash Equivalents for purposes of this provision and for no other purpose. </w:t>
      </w:r>
    </w:p>
    <w:p>
      <w:pPr>
        <w:pStyle w:val="TextBody"/>
        <w:bidi w:val="0"/>
        <w:spacing w:before="240" w:after="0"/>
        <w:jc w:val="left"/>
        <w:rPr>
          <w:rFonts w:ascii="Times New Roman" w:hAnsi="Times New Roman"/>
          <w:sz w:val="20"/>
        </w:rPr>
      </w:pPr>
      <w:r>
        <w:rPr>
          <w:rFonts w:ascii="Times New Roman" w:hAnsi="Times New Roman"/>
          <w:sz w:val="20"/>
        </w:rPr>
        <w:t xml:space="preserve">(b)     Within the Reinvestment Period after Bidco’s or any Restricted Subsidiary’s receipt of the Net Proceeds of any Asset Sale, Bidco or such Restricted Subsidiary shall apply an amount equal to the Net Proceeds from such Asset Sale, </w:t>
      </w:r>
    </w:p>
    <w:p>
      <w:pPr>
        <w:pStyle w:val="TextBody"/>
        <w:bidi w:val="0"/>
        <w:spacing w:before="120" w:after="0"/>
        <w:jc w:val="left"/>
        <w:rPr>
          <w:rFonts w:ascii="Times New Roman" w:hAnsi="Times New Roman"/>
          <w:sz w:val="20"/>
        </w:rPr>
      </w:pPr>
      <w:r>
        <w:rPr>
          <w:rFonts w:ascii="Times New Roman" w:hAnsi="Times New Roman"/>
          <w:sz w:val="20"/>
        </w:rPr>
        <w:t xml:space="preserve">(i)     (A) to prepay Loans or Indebtedness in accordance with </w:t>
      </w:r>
      <w:r>
        <w:rPr>
          <w:rFonts w:ascii="Times New Roman" w:hAnsi="Times New Roman"/>
          <w:sz w:val="20"/>
          <w:u w:val="single"/>
        </w:rPr>
        <w:t>Section 2.10(c)</w:t>
      </w:r>
      <w:r>
        <w:rPr>
          <w:rFonts w:ascii="Times New Roman" w:hAnsi="Times New Roman"/>
          <w:sz w:val="20"/>
        </w:rPr>
        <w:t xml:space="preserve"> or (B) to the extent not required to prepay Loans pursuant to </w:t>
      </w:r>
      <w:r>
        <w:rPr>
          <w:rFonts w:ascii="Times New Roman" w:hAnsi="Times New Roman"/>
          <w:sz w:val="20"/>
          <w:u w:val="single"/>
        </w:rPr>
        <w:t>Section 2.10(c)</w:t>
      </w:r>
      <w:r>
        <w:rPr>
          <w:rFonts w:ascii="Times New Roman" w:hAnsi="Times New Roman"/>
          <w:sz w:val="20"/>
        </w:rPr>
        <w:t xml:space="preserve">, to be retained by Bidco and/or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(ii)     to make investments in Bidco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Bidco and the Restricted Subsidiaries will be deemed to have complied with this </w:t>
      </w:r>
      <w:r>
        <w:rPr>
          <w:rFonts w:ascii="Times New Roman" w:hAnsi="Times New Roman"/>
          <w:sz w:val="20"/>
          <w:u w:val="single"/>
        </w:rPr>
        <w:t>clause (ii)</w:t>
      </w:r>
      <w:r>
        <w:rPr>
          <w:rFonts w:ascii="Times New Roman" w:hAnsi="Times New Roman"/>
          <w:sz w:val="20"/>
        </w:rPr>
        <w:t xml:space="preserve"> if and to the extent that, within the Reinvestment Period after the Asset Sale that generated the Net Proceeds, Bidco or such Restricted Subsidiary has entered into and not abandoned or rejected a binding agreement or letter of intent to consummate any such investment described in this </w:t>
      </w:r>
      <w:r>
        <w:rPr>
          <w:rFonts w:ascii="Times New Roman" w:hAnsi="Times New Roman"/>
          <w:sz w:val="20"/>
          <w:u w:val="single"/>
        </w:rPr>
        <w:t>clause (ii)</w:t>
      </w:r>
      <w:r>
        <w:rPr>
          <w:rFonts w:ascii="Times New Roman" w:hAnsi="Times New Roman"/>
          <w:sz w:val="20"/>
        </w:rPr>
        <w:t> with the good faith expectation that such Net Proceeds will be applied to satisfy such commitment within 180 days of such commitment (an “</w:t>
      </w:r>
      <w:r>
        <w:rPr>
          <w:rFonts w:ascii="Times New Roman" w:hAnsi="Times New Roman"/>
          <w:sz w:val="20"/>
          <w:u w:val="single"/>
        </w:rPr>
        <w:t>Acceptable Commitment</w:t>
      </w:r>
      <w:r>
        <w:rPr>
          <w:rFonts w:ascii="Times New Roman" w:hAnsi="Times New Roman"/>
          <w:sz w:val="20"/>
        </w:rPr>
        <w:t>”) and, in the event any such commitment is later cancelled or terminated for any reason before the Net Proceeds are applied in connection therewith, Bidco or such Restricted Subsidiary enters into another Acceptable Commitment (a “</w:t>
      </w:r>
      <w:r>
        <w:rPr>
          <w:rFonts w:ascii="Times New Roman" w:hAnsi="Times New Roman"/>
          <w:sz w:val="20"/>
          <w:u w:val="single"/>
        </w:rPr>
        <w:t>Second Commitment</w:t>
      </w:r>
      <w:r>
        <w:rPr>
          <w:rFonts w:ascii="Times New Roman" w:hAnsi="Times New Roman"/>
          <w:sz w:val="20"/>
        </w:rPr>
        <w:t xml:space="preserve">”) within 180 days of such cancellation or termination; </w:t>
      </w:r>
      <w:r>
        <w:rPr>
          <w:rFonts w:ascii="Times New Roman" w:hAnsi="Times New Roman"/>
          <w:sz w:val="20"/>
          <w:u w:val="single"/>
        </w:rPr>
        <w:t>provided</w:t>
      </w:r>
      <w:r>
        <w:rPr>
          <w:rFonts w:ascii="Times New Roman" w:hAnsi="Times New Roman"/>
          <w:sz w:val="20"/>
        </w:rPr>
        <w:t xml:space="preserve"> that if any Second Commitment is later cancelled or terminated for any reason before such Net Proceeds are applied, then Bidco or such Restricted Subsidiary shall prepay the Loans in accordance with </w:t>
      </w:r>
      <w:r>
        <w:rPr>
          <w:rFonts w:ascii="Times New Roman" w:hAnsi="Times New Roman"/>
          <w:sz w:val="20"/>
          <w:u w:val="single"/>
        </w:rPr>
        <w:t>Section 2.10(c)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p>
    <w:p>
      <w:pPr>
        <w:pStyle w:val="TextBody"/>
        <w:bidi w:val="0"/>
        <w:spacing w:before="0" w:after="0"/>
        <w:jc w:val="left"/>
        <w:rPr>
          <w:rFonts w:ascii="Times New Roman" w:hAnsi="Times New Roman"/>
          <w:sz w:val="20"/>
        </w:rPr>
      </w:pPr>
      <w:r>
        <w:rPr>
          <w:rFonts w:ascii="Times New Roman" w:hAnsi="Times New Roman"/>
          <w:sz w:val="20"/>
        </w:rPr>
        <w:t xml:space="preserve">(c)     Pending the final application of any Net Proceeds pursuant to this covenant, the holder of such Net Proceeds may apply such Net Proceeds temporarily to reduce Indebtedness outstanding under the Revolving Facility or any other revolving credit facility or otherwise use such Net Proceeds in any manner not prohibited by this Agreement. Bidco or any Restricted Subsidiary, as the case may be, may elect to invest in Bidco and its Subsidiaries prior to receiving the Net Proceeds attributable to any given Asset Sale (provided that such investment shall be made no earlier than execution of a definitive agreement for the relevant Asset Sale) and deem the amount so invested to be applied pursuant to and in accordance with clause (b)(ii) above with respect to such Asset Sale. </w:t>
      </w:r>
    </w:p>
    <w:p>
      <w:pPr>
        <w:pStyle w:val="TextBody"/>
        <w:bidi w:val="0"/>
        <w:spacing w:before="36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Limitation on 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shall not, and shall not permit any of its Restricted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payment or distribution on account of Bidco’s, or any of its Restricted Subsidiaries’ Equity Interests, including any dividend or distribution payable in connection with any merger, amalgamation or consolidation other than: </w:t>
      </w:r>
    </w:p>
    <w:p>
      <w:pPr>
        <w:pStyle w:val="TextBody"/>
        <w:bidi w:val="0"/>
        <w:spacing w:before="120" w:after="0"/>
        <w:jc w:val="left"/>
        <w:rPr>
          <w:rFonts w:ascii="Times New Roman" w:hAnsi="Times New Roman"/>
          <w:sz w:val="20"/>
        </w:rPr>
      </w:pPr>
      <w:r>
        <w:rPr>
          <w:rFonts w:ascii="Times New Roman" w:hAnsi="Times New Roman"/>
          <w:sz w:val="20"/>
        </w:rPr>
        <w:t xml:space="preserve">(A)     dividends or distributions by Bidco payable solely in Equity Interests (other than any Disqualified Equity Interests) or in options, warrants or other rights to purchase such Equity Interests; or </w:t>
      </w:r>
    </w:p>
    <w:p>
      <w:pPr>
        <w:pStyle w:val="TextBody"/>
        <w:bidi w:val="0"/>
        <w:spacing w:before="120" w:after="0"/>
        <w:jc w:val="left"/>
        <w:rPr>
          <w:rFonts w:ascii="Times New Roman" w:hAnsi="Times New Roman"/>
          <w:sz w:val="20"/>
        </w:rPr>
      </w:pPr>
      <w:r>
        <w:rPr>
          <w:rFonts w:ascii="Times New Roman" w:hAnsi="Times New Roman"/>
          <w:sz w:val="20"/>
        </w:rPr>
        <w:t xml:space="preserve">(B)     dividends or distributions by a Restricted Subsidiary so long as, in the case of any dividend or distribution payable on or in respect of any class or series of securities issued by a Restricted Subsidiary other than a Wholly-Owned Subsidiary of Bidco, Bidco or a Restricted Subsidiary receives at least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of such dividend or distribution in accordance with its Equity Interests in such class or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defease or otherwise acquire or retire for value any Equity Interests of Bidco or any direct or indirect parent company of Bidco, including in connection with any merger, amalgamation or consolidation, held by Persons other than Bidco or a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(iii)     make any principal payment on, or redeem, repurchase, defease or otherwise acquire or retire for value in each case, prior to any scheduled repayment, sinking fund payment or maturity, any Subordinated Indebtedness, other than: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permitted under clauses (vi), (vii) and (viii) of </w:t>
      </w:r>
      <w:r>
        <w:rPr>
          <w:rFonts w:ascii="Times New Roman" w:hAnsi="Times New Roman"/>
          <w:sz w:val="20"/>
          <w:u w:val="single"/>
        </w:rPr>
        <w:t>Section 6.01(b)</w:t>
      </w:r>
      <w:r>
        <w:rPr>
          <w:rFonts w:ascii="Times New Roman" w:hAnsi="Times New Roman"/>
          <w:sz w:val="20"/>
        </w:rPr>
        <w:t xml:space="preserve"> hereof; or </w:t>
      </w:r>
    </w:p>
    <w:p>
      <w:pPr>
        <w:pStyle w:val="TextBody"/>
        <w:bidi w:val="0"/>
        <w:spacing w:before="120" w:after="0"/>
        <w:jc w:val="left"/>
        <w:rPr>
          <w:rFonts w:ascii="Times New Roman" w:hAnsi="Times New Roman"/>
          <w:sz w:val="20"/>
        </w:rPr>
      </w:pPr>
      <w:r>
        <w:rPr>
          <w:rFonts w:ascii="Times New Roman" w:hAnsi="Times New Roman"/>
          <w:sz w:val="20"/>
        </w:rPr>
        <w:t xml:space="preserve">(B)     prepayments, redemptions, repurchases, defeasances and other payments in respect of Subordinated Indebtedness prior to their scheduled maturity purchased in anticipation of satisfying a sinking fund obligation, principal installment or final maturity, in each case due within one year of the date of purchase, repurchase or acquisition; </w:t>
      </w:r>
    </w:p>
    <w:p>
      <w:pPr>
        <w:pStyle w:val="TextBody"/>
        <w:bidi w:val="0"/>
        <w:spacing w:before="120" w:after="0"/>
        <w:jc w:val="left"/>
        <w:rPr>
          <w:rFonts w:ascii="Times New Roman" w:hAnsi="Times New Roman"/>
          <w:sz w:val="20"/>
        </w:rPr>
      </w:pPr>
      <w:r>
        <w:rPr>
          <w:rFonts w:ascii="Times New Roman" w:hAnsi="Times New Roman"/>
          <w:sz w:val="20"/>
        </w:rPr>
        <w:t xml:space="preserve">(iv)     make any Restricted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p>
    <w:p>
      <w:pPr>
        <w:pStyle w:val="TextBody"/>
        <w:bidi w:val="0"/>
        <w:spacing w:before="0" w:after="0"/>
        <w:jc w:val="left"/>
        <w:rPr>
          <w:rFonts w:ascii="Times New Roman" w:hAnsi="Times New Roman"/>
          <w:sz w:val="20"/>
        </w:rPr>
      </w:pPr>
      <w:r>
        <w:rPr>
          <w:rFonts w:ascii="Times New Roman" w:hAnsi="Times New Roman"/>
          <w:sz w:val="20"/>
        </w:rPr>
        <w:t>(the payments and other actions set forth in clause (iii) (other than the exceptions thereto) above being collectively referred to as “</w:t>
      </w:r>
      <w:r>
        <w:rPr>
          <w:rFonts w:ascii="Times New Roman" w:hAnsi="Times New Roman"/>
          <w:sz w:val="20"/>
          <w:u w:val="single"/>
        </w:rPr>
        <w:t>Restricted Debt Payments</w:t>
      </w:r>
      <w:r>
        <w:rPr>
          <w:rFonts w:ascii="Times New Roman" w:hAnsi="Times New Roman"/>
          <w:sz w:val="20"/>
        </w:rPr>
        <w:t>”, and all such payments and other actions set forth in clauses (i) through (iv) (other than any exception thereto) above being collectively referred to as “</w:t>
      </w:r>
      <w:r>
        <w:rPr>
          <w:rFonts w:ascii="Times New Roman" w:hAnsi="Times New Roman"/>
          <w:sz w:val="20"/>
          <w:u w:val="single"/>
        </w:rPr>
        <w:t>Restricted Payments</w:t>
      </w:r>
      <w:r>
        <w:rPr>
          <w:rFonts w:ascii="Times New Roman" w:hAnsi="Times New Roman"/>
          <w:sz w:val="20"/>
        </w:rPr>
        <w:t xml:space="preserve">”), unless, at the time of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(A)     such Restricted Payment, together with the aggregate amount of all other Restricted Payments made (and not returned or rescinded) by Bidco and its Restricted Subsidiaries under this </w:t>
      </w:r>
      <w:r>
        <w:rPr>
          <w:rFonts w:ascii="Times New Roman" w:hAnsi="Times New Roman"/>
          <w:sz w:val="20"/>
          <w:u w:val="single"/>
        </w:rPr>
        <w:t>Section 6.05(a)(A)</w:t>
      </w:r>
      <w:r>
        <w:rPr>
          <w:rFonts w:ascii="Times New Roman" w:hAnsi="Times New Roman"/>
          <w:sz w:val="20"/>
        </w:rPr>
        <w:t xml:space="preserve"> after the Effective Date (excluding all other Restricted Payments permitted by </w:t>
      </w:r>
      <w:r>
        <w:rPr>
          <w:rFonts w:ascii="Times New Roman" w:hAnsi="Times New Roman"/>
          <w:sz w:val="20"/>
          <w:u w:val="single"/>
        </w:rPr>
        <w:t>Section 6.05(b)</w:t>
      </w:r>
      <w:r>
        <w:rPr>
          <w:rFonts w:ascii="Times New Roman" w:hAnsi="Times New Roman"/>
          <w:sz w:val="20"/>
        </w:rPr>
        <w:t xml:space="preserve"> hereof), is less than the sum of (without duplication) (the sum or the amounts attributable to clauses (1) through (9) below is referred to herein as the “</w:t>
      </w:r>
      <w:r>
        <w:rPr>
          <w:rFonts w:ascii="Times New Roman" w:hAnsi="Times New Roman"/>
          <w:sz w:val="20"/>
          <w:u w:val="single"/>
        </w:rPr>
        <w:t>Available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50% of the Consolidated Net Income of Bidco and its Restricted Subsidiaries for the period (taken as one accounting period) beginning on the first day of the fiscal quarter of Bidco during which the Effective Date occurs to the end of the most recently ended Test Period at the time of such Restricted Payment (which amount shall not be less than zero);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100% of the aggregate net cash proceeds and the Fair Market Value, as determined in good faith by a Responsible Officer of Bidco, of marketable securities or other property received by Bidco since immediately after the Effective Date (other than net cash proceeds from Cure Amounts or to the extent such net cash proceeds have been used to incur Indebtedness or issue any Disqualified Equity Interests or Preferred Stock pursuant to clause (xi)(a) of </w:t>
      </w:r>
      <w:r>
        <w:rPr>
          <w:rFonts w:ascii="Times New Roman" w:hAnsi="Times New Roman"/>
          <w:sz w:val="20"/>
          <w:u w:val="single"/>
        </w:rPr>
        <w:t>Section 6.01(b)</w:t>
      </w:r>
      <w:r>
        <w:rPr>
          <w:rFonts w:ascii="Times New Roman" w:hAnsi="Times New Roman"/>
          <w:sz w:val="20"/>
        </w:rPr>
        <w:t xml:space="preserve"> hereof) from the issue or sale of: </w:t>
      </w:r>
    </w:p>
    <w:p>
      <w:pPr>
        <w:pStyle w:val="TextBody"/>
        <w:bidi w:val="0"/>
        <w:spacing w:before="120" w:after="0"/>
        <w:jc w:val="left"/>
        <w:rPr>
          <w:rFonts w:ascii="Times New Roman" w:hAnsi="Times New Roman"/>
          <w:sz w:val="20"/>
        </w:rPr>
      </w:pPr>
      <w:r>
        <w:rPr>
          <w:rFonts w:ascii="Times New Roman" w:hAnsi="Times New Roman"/>
          <w:sz w:val="20"/>
        </w:rPr>
        <w:t xml:space="preserve">i.     A. Equity Interests of Bidco, including Treasury Capital Stock, but excluding cash proceeds and the Fair Market Value, as determined in good faith by a Responsible Officer of Bidco, of marketable securities or other property received from the sale of: </w:t>
      </w:r>
    </w:p>
    <w:p>
      <w:pPr>
        <w:pStyle w:val="TextBody"/>
        <w:bidi w:val="0"/>
        <w:spacing w:before="120" w:after="0"/>
        <w:jc w:val="left"/>
        <w:rPr>
          <w:rFonts w:ascii="Times New Roman" w:hAnsi="Times New Roman"/>
          <w:sz w:val="20"/>
        </w:rPr>
      </w:pPr>
      <w:r>
        <w:rPr>
          <w:rFonts w:ascii="Times New Roman" w:hAnsi="Times New Roman"/>
          <w:sz w:val="20"/>
        </w:rPr>
        <w:t xml:space="preserve">(x)     Equity Interests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such amounts have been applied to Restricted Payments made in accordance with </w:t>
      </w:r>
      <w:r>
        <w:rPr>
          <w:rFonts w:ascii="Times New Roman" w:hAnsi="Times New Roman"/>
          <w:sz w:val="20"/>
          <w:u w:val="single"/>
        </w:rPr>
        <w:t>Section 6.05(b)(iv)</w:t>
      </w:r>
      <w:r>
        <w:rPr>
          <w:rFonts w:ascii="Times New Roman" w:hAnsi="Times New Roman"/>
          <w:sz w:val="20"/>
        </w:rPr>
        <w:t xml:space="preserve"> hereof; and </w:t>
      </w:r>
    </w:p>
    <w:p>
      <w:pPr>
        <w:pStyle w:val="TextBody"/>
        <w:bidi w:val="0"/>
        <w:spacing w:before="120" w:after="0"/>
        <w:jc w:val="left"/>
        <w:rPr>
          <w:rFonts w:ascii="Times New Roman" w:hAnsi="Times New Roman"/>
          <w:sz w:val="20"/>
        </w:rPr>
      </w:pPr>
      <w:r>
        <w:rPr>
          <w:rFonts w:ascii="Times New Roman" w:hAnsi="Times New Roman"/>
          <w:sz w:val="20"/>
        </w:rPr>
        <w:t xml:space="preserve">(y)     Designated Preferred Stock; and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such net cash proceeds or other property are actually contributed to the capital of Bidco or any Restricted Subsidiary (without the issuance of additional Equity Interests of such Restricted Subsidiary), Equity Interests of any direct or indirect parent company of Bidco (excluding net cash proceeds from Cure Amounts, Contributed Holdings Investments and contributions of the proceeds from the sale of Designated Preferred Stock of such companies or contributions to the extent such amounts have been applied to Restricted Payments made in accordance with </w:t>
      </w:r>
      <w:r>
        <w:rPr>
          <w:rFonts w:ascii="Times New Roman" w:hAnsi="Times New Roman"/>
          <w:sz w:val="20"/>
          <w:u w:val="single"/>
        </w:rPr>
        <w:t>Section 6.05(b)(iv)</w:t>
      </w:r>
      <w:r>
        <w:rPr>
          <w:rFonts w:ascii="Times New Roman" w:hAnsi="Times New Roman"/>
          <w:sz w:val="20"/>
        </w:rPr>
        <w:t xml:space="preserve"> 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p>
    <w:p>
      <w:pPr>
        <w:pStyle w:val="TextBody"/>
        <w:bidi w:val="0"/>
        <w:spacing w:before="0" w:after="0"/>
        <w:jc w:val="left"/>
        <w:rPr>
          <w:rFonts w:ascii="Times New Roman" w:hAnsi="Times New Roman"/>
          <w:sz w:val="20"/>
        </w:rPr>
      </w:pPr>
      <w:r>
        <w:rPr>
          <w:rFonts w:ascii="Times New Roman" w:hAnsi="Times New Roman"/>
          <w:sz w:val="20"/>
        </w:rPr>
        <w:t xml:space="preserve">ii.     debt securities of Bidco or any Restricted Subsidiary that have been converted into or exchanged for such Equity Interests of Bidco or a direct or indirect parent company of Bidco;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(2) shall not include the proceeds from (W) Refunding Capital Stock, (X) Equity Interests or convertible debt securities of Bidco sold to a Restricted Subsidiary, as the case may be, (Y) Disqualified Equity Interests or debt securities that have been converted into Disqualified Equity Interests or (Z) Excluded Contributions;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100% of the aggregate amount of cash and the Fair Market Value, as determined in good faith by a Responsible Officer of Bidco, of marketable securities or other property contributed to the capital of Bidco after the Effective Date (other than net cash proceeds to the extent such net cash proceeds (i) have been used to incur Indebtedness or issue any Disqualified Equity Interests or Preferred Stock pursuant to clause (xi)(a) of </w:t>
      </w:r>
      <w:r>
        <w:rPr>
          <w:rFonts w:ascii="Times New Roman" w:hAnsi="Times New Roman"/>
          <w:sz w:val="20"/>
          <w:u w:val="single"/>
        </w:rPr>
        <w:t>Section 6.01(b)</w:t>
      </w:r>
      <w:r>
        <w:rPr>
          <w:rFonts w:ascii="Times New Roman" w:hAnsi="Times New Roman"/>
          <w:sz w:val="20"/>
        </w:rPr>
        <w:t xml:space="preserve"> hereof, (ii) are contributed by a Restricted Subsidiary or (iii) constitute Excluded Contributions and Contributed Holdings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100% of the aggregate amount received in cash and the Fair Market Value, as determined in good faith by a Responsible Officer of Bidco, of marketable securities or other property received by Bidco or a Restricted Subsidiary by means of: </w:t>
      </w:r>
    </w:p>
    <w:p>
      <w:pPr>
        <w:pStyle w:val="TextBody"/>
        <w:bidi w:val="0"/>
        <w:spacing w:before="120" w:after="0"/>
        <w:jc w:val="left"/>
        <w:rPr>
          <w:rFonts w:ascii="Times New Roman" w:hAnsi="Times New Roman"/>
          <w:sz w:val="20"/>
        </w:rPr>
      </w:pPr>
      <w:r>
        <w:rPr>
          <w:rFonts w:ascii="Times New Roman" w:hAnsi="Times New Roman"/>
          <w:sz w:val="20"/>
        </w:rPr>
        <w:t xml:space="preserve">i.     the sale or other disposition (other than to Bidco or a Restricted Subsidiary) of Restricted Investments made by Bidco or its Restricted Subsidiaries and repurchases and redemptions of such Restricted Investments from Bidco or its Restricted Subsidiaries (other than by Bidco or a Restricted Subsidiary) and repayments of loans or advances and releases of guarantees, that constitute Restricted Investments made by Bidco or its Restricted Subsidiaries, in each case after the Effective Date; or </w:t>
      </w:r>
    </w:p>
    <w:p>
      <w:pPr>
        <w:pStyle w:val="TextBody"/>
        <w:bidi w:val="0"/>
        <w:spacing w:before="120" w:after="0"/>
        <w:jc w:val="left"/>
        <w:rPr>
          <w:rFonts w:ascii="Times New Roman" w:hAnsi="Times New Roman"/>
          <w:sz w:val="20"/>
        </w:rPr>
      </w:pPr>
      <w:r>
        <w:rPr>
          <w:rFonts w:ascii="Times New Roman" w:hAnsi="Times New Roman"/>
          <w:sz w:val="20"/>
        </w:rPr>
        <w:t xml:space="preserve">ii.     the sale or other disposition (other than to Bidco or a Restricted Subsidiary) of the stock of an Unrestricted Subsidiary or a distribution from an Unrestricted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     in the case of the redesignation of an Unrestricted Subsidiary as a Restricted Subsidiary or the merger, amalgamation or consolidation of an Unrestricted Subsidiary into Bidco or a Restricted Subsidiary or the transfer of all or substantially all of the assets of an Unrestricted Subsidiary to Bidco or a Restricted Subsidiary after the Effective Date, the Fair Market Value of the Investment in such Unrestricted Subsidiary (or the assets transferred), as determined in good faith by a Responsible Officer of Bidco,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the Investment in such Unrestricted Subsidiary was made by Bidco or a Restricted Subsidiary pursuant to </w:t>
      </w:r>
      <w:r>
        <w:rPr>
          <w:rFonts w:ascii="Times New Roman" w:hAnsi="Times New Roman"/>
          <w:sz w:val="20"/>
          <w:u w:val="single"/>
        </w:rPr>
        <w:t>Section 6.05(b)(xi)</w:t>
      </w:r>
      <w:r>
        <w:rPr>
          <w:rFonts w:ascii="Times New Roman" w:hAnsi="Times New Roman"/>
          <w:sz w:val="20"/>
        </w:rPr>
        <w:t xml:space="preserve"> or to the extent such Investment constituted a Permitted Investment;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p>
    <w:p>
      <w:pPr>
        <w:pStyle w:val="TextBody"/>
        <w:bidi w:val="0"/>
        <w:spacing w:before="0" w:after="0"/>
        <w:jc w:val="left"/>
        <w:rPr>
          <w:rFonts w:ascii="Times New Roman" w:hAnsi="Times New Roman"/>
          <w:sz w:val="20"/>
        </w:rPr>
      </w:pPr>
      <w:r>
        <w:rPr>
          <w:rFonts w:ascii="Times New Roman" w:hAnsi="Times New Roman"/>
          <w:sz w:val="20"/>
        </w:rPr>
        <w:t xml:space="preserve">(6)     the aggregate amount of any Retained Declined Proceeds and Specified Asset Sale Proceeds since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     the greater of (i) $300,000,000 and (ii) 40% of Consolidated EBITDA for the most recently ended Test Period as of such date, calculated on a Pro Forma Basis;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the aggregate amount of any cash overfunding and the proceeds from the sale of any accounts receivable, royalty or other similar rights to payment and any other assets related thereto that are not reflected on the most recent consolidated balance sheet of Bidco and the Restricted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     the cumulative amount of (i) Liens incurred pursuant to clause (34) of the definition of “Permitted Liens” from and after the Effective Date and outstanding at such time and (ii) Indebtedness incurred pursuant to </w:t>
      </w:r>
      <w:r>
        <w:rPr>
          <w:rFonts w:ascii="Times New Roman" w:hAnsi="Times New Roman"/>
          <w:sz w:val="20"/>
          <w:u w:val="single"/>
        </w:rPr>
        <w:t>Section 6.01(b)(xxiv)</w:t>
      </w:r>
      <w:r>
        <w:rPr>
          <w:rFonts w:ascii="Times New Roman" w:hAnsi="Times New Roman"/>
          <w:sz w:val="20"/>
        </w:rPr>
        <w:t xml:space="preserve"> from and after the Effective Date and outstanding at such time.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6.05(a)</w:t>
      </w:r>
      <w:r>
        <w:rPr>
          <w:rFonts w:ascii="Times New Roman" w:hAnsi="Times New Roman"/>
          <w:sz w:val="20"/>
        </w:rPr>
        <w:t xml:space="preserve"> hereof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(i)     the payment of any dividend or other distribution or the consummation of any redemption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as the case may be, would have complied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(ii)     (A)     the redemption, repurchase, defeasance, retirement or other acquisition of any (i) Equity Interests, including any accrued and unpaid dividends thereon (“</w:t>
      </w:r>
      <w:r>
        <w:rPr>
          <w:rFonts w:ascii="Times New Roman" w:hAnsi="Times New Roman"/>
          <w:sz w:val="20"/>
          <w:u w:val="single"/>
        </w:rPr>
        <w:t>Treasury Capital Stock</w:t>
      </w:r>
      <w:r>
        <w:rPr>
          <w:rFonts w:ascii="Times New Roman" w:hAnsi="Times New Roman"/>
          <w:sz w:val="20"/>
        </w:rPr>
        <w:t>”) of Bidco or any Restricted Subsidiary or Subordinated Indebtedness of Bidco, any Borrower or any Guarantor or (ii) Equity Interests of any direct or indirect parent company of Bidco, in the case of each of clauses (i) and (ii), in exchange for, or out of the proceeds of the substantially concurrent sale (other than to Bidco or a Restricted Subsidiary) of, Equity Interests of Bidco or any direct or indirect parent company of Bidco to the extent contributed to the capital of Bidco or any Restricted Subsidiary (in each case, other than any Disqualified Equity Interests) (“</w:t>
      </w:r>
      <w:r>
        <w:rPr>
          <w:rFonts w:ascii="Times New Roman" w:hAnsi="Times New Roman"/>
          <w:sz w:val="20"/>
          <w:u w:val="single"/>
        </w:rPr>
        <w:t>Refunding Capital Stock</w:t>
      </w:r>
      <w:r>
        <w:rPr>
          <w:rFonts w:ascii="Times New Roman" w:hAnsi="Times New Roman"/>
          <w:sz w:val="20"/>
        </w:rPr>
        <w:t xml:space="preserve">”), (B) the declaration and payment of dividends on the Treasury Capital Stock out of the proceeds of the substantially concurrent sale (other than to Bidco or a Restricted Subsidiary) of the Refunding Capital Stock and (iii) if immediately prior to the retirement of Treasury Capital Stock, the declaration and payment of dividends thereon was permitted under clause (vi) of this </w:t>
      </w:r>
      <w:r>
        <w:rPr>
          <w:rFonts w:ascii="Times New Roman" w:hAnsi="Times New Roman"/>
          <w:sz w:val="20"/>
          <w:u w:val="single"/>
        </w:rPr>
        <w:t>Section 6.05(b)</w:t>
      </w:r>
      <w:r>
        <w:rPr>
          <w:rFonts w:ascii="Times New Roman" w:hAnsi="Times New Roman"/>
          <w:sz w:val="20"/>
        </w:rPr>
        <w:t xml:space="preserve">, the declaration and payment of dividends on the Refunding Capital Stock (other than Refunding Capital Stock the proceeds of which were used to redeem, repurchase, retire or otherwise acquire any Equity Interests of any direct or indirect parent company of Bidco) in an aggregate amount per year no greater than the aggregate amount of dividends per annum that were declarable and payable on such Treasury Capital Stock immediately prior to such retirement; </w:t>
      </w:r>
    </w:p>
    <w:p>
      <w:pPr>
        <w:pStyle w:val="TextBody"/>
        <w:bidi w:val="0"/>
        <w:spacing w:before="120" w:after="0"/>
        <w:jc w:val="left"/>
        <w:rPr>
          <w:rFonts w:ascii="Times New Roman" w:hAnsi="Times New Roman"/>
          <w:sz w:val="20"/>
        </w:rPr>
      </w:pPr>
      <w:r>
        <w:rPr>
          <w:rFonts w:ascii="Times New Roman" w:hAnsi="Times New Roman"/>
          <w:sz w:val="20"/>
        </w:rPr>
        <w:t xml:space="preserve">(iii)     the defeasance, redemption, repurchase, exchange or other acquisition or retirement for value of (i) Subordinated Indebtedness of a Borrower or a Guarantor made by exchange for, or out of the proceeds of the substantially concurrent sale of, new Subordinated Indebtedness of a Borrower or a Guarantor or (ii) Disqualified Equity Interests of a Borrower or a Guarantor made by exchange for, or out of the proceeds of the substantially concurrent sale of, Disqualified Equity Interests of a Borrower or a Guarantor, that, in each case, is incurred in compliance with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p>
    <w:p>
      <w:pPr>
        <w:pStyle w:val="TextBody"/>
        <w:bidi w:val="0"/>
        <w:spacing w:before="0" w:after="0"/>
        <w:jc w:val="left"/>
        <w:rPr>
          <w:rFonts w:ascii="Times New Roman" w:hAnsi="Times New Roman"/>
          <w:sz w:val="20"/>
        </w:rPr>
      </w:pPr>
      <w:r>
        <w:rPr>
          <w:rFonts w:ascii="Times New Roman" w:hAnsi="Times New Roman"/>
          <w:sz w:val="20"/>
        </w:rPr>
        <w:t xml:space="preserve">(iv)     Restricted Payments to Bidco or direct or indirect parent companies of Bidco, the proceeds of which are, or will be, promptly used to redeem, acquire, retire, repurchase or settle its Equity Interests (or any options, warrants, restricted stock or stock appreciation rights or similar securities issued with respect to any such Equity Interests) (in each case, other than Disqualified Equity Interests) or Indebtedness or to service Indebtedness incurred by direct or indirect parent companies of Bidco to finance the redemption, acquisition, retirement, repurchase or settlement of such Equity Interest or Indebtedness (or make Restricted Payments to allow any of Bidco’s direct or indirect parent companies to so redeem, retire, acquire or repurchase their Equity Interests or their Indebtedness or to service Indebtedness incurred by direct or indirect parent companies of Bidco to finance the redemption, acquisition, retirement, repurchase or settlement of such Equity Interests or Indebtedness or to service Indebtedness incurred to finance the redemption, retirement, acquisition or repurchase of such Equity Interests or Indebtedness), in each case held directly or indirectly by current or former officers, managers, consultants, members of the board of directors, employees or independent contractors (or their respective spouses, former spouses, successors, executors, administrators, heirs, legatees or distributees) of direct or indirect parent companies of Bidco, Bidco and/or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not to exceed the greater of $112,500,000 and 15% of Consolidated EBITDA for the most recently ended Test Period as of such date, calculated on a Pro Forma Basis, in any calendar year (with unused amounts in any calendar year being carried over to succeeding calendar years subject to a maximum of the greater of $225,000,000 and 30% of Consolidated EBITDA for the most recently ended Test Period as of such date, calculated on a Pro Forma Basis, in any calendar year), in each case, without giving effect to the following proviso; </w:t>
      </w:r>
      <w:r>
        <w:rPr>
          <w:rFonts w:ascii="Times New Roman" w:hAnsi="Times New Roman"/>
          <w:sz w:val="20"/>
          <w:u w:val="single"/>
        </w:rPr>
        <w:t>provided</w:t>
      </w:r>
      <w:r>
        <w:rPr>
          <w:rFonts w:ascii="Times New Roman" w:hAnsi="Times New Roman"/>
          <w:sz w:val="20"/>
        </w:rPr>
        <w:t xml:space="preserve"> that such amount in any calendar year may be increased by: </w:t>
      </w:r>
    </w:p>
    <w:p>
      <w:pPr>
        <w:pStyle w:val="TextBody"/>
        <w:bidi w:val="0"/>
        <w:spacing w:before="120" w:after="0"/>
        <w:jc w:val="left"/>
        <w:rPr>
          <w:rFonts w:ascii="Times New Roman" w:hAnsi="Times New Roman"/>
          <w:sz w:val="20"/>
        </w:rPr>
      </w:pPr>
      <w:r>
        <w:rPr>
          <w:rFonts w:ascii="Times New Roman" w:hAnsi="Times New Roman"/>
          <w:sz w:val="20"/>
        </w:rPr>
        <w:t xml:space="preserve">(A)     the cash proceeds from the sale of Equity Interests (other than Disqualified Equity Interests) of Bidco and, to the extent contributed to Bidco, Equity Interests of any of Bidco’s direct or indirect parent companies, in each case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the cash proceeds from the sale of such Equity Interests have not otherwise been applied to the payment of Restricted Payments by virtue of </w:t>
      </w:r>
      <w:r>
        <w:rPr>
          <w:rFonts w:ascii="Times New Roman" w:hAnsi="Times New Roman"/>
          <w:sz w:val="20"/>
          <w:u w:val="single"/>
        </w:rPr>
        <w:t>Section 6.05(a)(A)</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 amount not to exceed the cash proceeds of key man life insurance policies received by Bidco (or by direct or indirect parent companies of Bidco and contributed to Bidco) or the Restricted Subsidiaries after the Effective Date;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amount of any bona fide cash bonuses otherwise payable to members of the board of directors, consultants, officers, employees, managers or independent contractors of direct or indirect parent companies of Bidco, Bidco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hAnsi="Times New Roman"/>
          <w:sz w:val="20"/>
          <w:u w:val="single"/>
        </w:rPr>
        <w:t>less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p>
    <w:p>
      <w:pPr>
        <w:pStyle w:val="TextBody"/>
        <w:bidi w:val="0"/>
        <w:spacing w:before="0" w:after="0"/>
        <w:jc w:val="left"/>
        <w:rPr>
          <w:rFonts w:ascii="Times New Roman" w:hAnsi="Times New Roman"/>
          <w:sz w:val="20"/>
        </w:rPr>
      </w:pPr>
      <w:r>
        <w:rPr>
          <w:rFonts w:ascii="Times New Roman" w:hAnsi="Times New Roman"/>
          <w:sz w:val="20"/>
        </w:rPr>
        <w:t xml:space="preserve">(D)     the amount of any Restricted Payments previously made with the cash proceeds described in clauses (A), (B) and (C) of this clause (iv);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cancellation of Indebtedness owing to Bidco or any Restricted Subsidiary from members of the board of directors, consultants, officers, employees, managers or independent contractors (or their respective spouses, former spouses, successors, executors, administrators, heirs, legatees or distributees) of direct or indirect parent companies of Bidco, Bidco or any Restricted Subsidiary in connection with a repurchase of Equity Interests of Bidco or any direct or indirect parent companies of Bidco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clauses (i) and (ii), shall not be deemed to constitute a Restricted Payment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declaration and payment of dividends to holders of any class or series of Disqualified Equity Interests of Bidco or any of its Restricted Subsidiaries or any class or series of Preferred Stock of any Restricted Subsidiary, in each case issued in accordance with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(vi)     (A) the declaration and payment of dividends to holders of any class or series of Designated Preferred Stock (other than Disqualified Equity Interests) issued by Bidco or any of its Restricted Subsidiaries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(B)     the declaration and payment of dividends to any direct or indirect parent company of Bidco, the proceeds of which shall be used to fund the payment of dividends to holders of any class or series of Designated Preferred Stock (other than Disqualified Equity Interests) of such parent company issued after the Effective Date, </w:t>
      </w:r>
      <w:r>
        <w:rPr>
          <w:rFonts w:ascii="Times New Roman" w:hAnsi="Times New Roman"/>
          <w:sz w:val="20"/>
          <w:u w:val="single"/>
        </w:rPr>
        <w:t>provided</w:t>
      </w:r>
      <w:r>
        <w:rPr>
          <w:rFonts w:ascii="Times New Roman" w:hAnsi="Times New Roman"/>
          <w:sz w:val="20"/>
        </w:rPr>
        <w:t xml:space="preserve"> that the amount of dividends paid pursuant to this clause (B) shall not exceed the aggregate amount of cash actually contributed to the capital of Bidco from the sale of such Designated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(C)     the declaration and payment of dividends on Refunding Capital Stock that is Preferred Stock in excess of the dividends declarable and payable thereon pursuant to </w:t>
      </w:r>
      <w:r>
        <w:rPr>
          <w:rFonts w:ascii="Times New Roman" w:hAnsi="Times New Roman"/>
          <w:sz w:val="20"/>
          <w:u w:val="single"/>
        </w:rPr>
        <w:t>Section 6.05(b)(ii)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Restricted Payments by any Restricted Subsidiary to Bidco or direct or indirect parent companies of Bidco to the extent the proceeds of such Restricted Payments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(viii)     the declaration and payment of dividends or the payment of other distributions by Bidco or a Restricted Subsidiary to, or the making of loans or advances to, any of their respective direct or indirect parent companies to allow payments by Bidco or any direct or indirect parent company of Bidco in respect of withholding or similar taxes payable in connection with any grant or vesting of an Equity Interest to or by, or repurchase, or dividend or other distribution to facilitate a repurchase, of an Equity Interest from, any future, present or former employee, director, officer, manager or consultant (or their respective Controlled Investment Affiliates, Immediate Family Members or permitted transferees), or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p>
    <w:p>
      <w:pPr>
        <w:pStyle w:val="TextBody"/>
        <w:bidi w:val="0"/>
        <w:spacing w:before="0" w:after="0"/>
        <w:jc w:val="left"/>
        <w:rPr>
          <w:rFonts w:ascii="Times New Roman" w:hAnsi="Times New Roman"/>
          <w:sz w:val="20"/>
        </w:rPr>
      </w:pPr>
      <w:r>
        <w:rPr>
          <w:rFonts w:ascii="Times New Roman" w:hAnsi="Times New Roman"/>
          <w:sz w:val="20"/>
        </w:rPr>
        <w:t xml:space="preserve">with any repurchases of Equity Interests in consideration of such payments, including deemed repurchases in connection with the exercise of stock options, warrants or other incentive interests and the vesting of restricted stock and restricted stock units or any deemed repurchases of Equity Interests representing a portion of the exercise price of such options or warrants or other incentive interest; </w:t>
      </w:r>
    </w:p>
    <w:p>
      <w:pPr>
        <w:pStyle w:val="TextBody"/>
        <w:bidi w:val="0"/>
        <w:spacing w:before="120" w:after="0"/>
        <w:jc w:val="left"/>
        <w:rPr>
          <w:rFonts w:ascii="Times New Roman" w:hAnsi="Times New Roman"/>
          <w:sz w:val="20"/>
        </w:rPr>
      </w:pPr>
      <w:r>
        <w:rPr>
          <w:rFonts w:ascii="Times New Roman" w:hAnsi="Times New Roman"/>
          <w:sz w:val="20"/>
        </w:rPr>
        <w:t xml:space="preserve">(ix)     (a) the declaration and payment of dividends by Bidco on the common stock or Equity Interests of Bidco or any direct or indirect parent company of Bidco following a public offering of such common stock or common equity interests, in an amount in any fiscal year not to exceed the greater of (i) up to 6.0% of the aggregate proceeds received by or contributed to Bidco in or from all such public offerings and (ii) an aggregate amount not to exceed 5.0% of the market capitalization of Bidco or (b) in lieu of all or a portion of the dividends permitted by clause (a), any prepayment, purchase, repurchase, redemption, defeasance, discharge, retirement or other acquisition of Bidco’s Equity Interests (and any equivalent declaration and payment of a distribution of any security exchangeable for such common stock or common equity interests to the extent required by the terms of any such exchangeable securities and any Restricted Payment to any direct or indirect parent company of Bidco to fund the payment by such direct or indirect parent company of Bidco of dividends on such entity’s Equity Interests) for aggregate consideration that, when taken together with dividends permitted by clause (a), does not exceed the amount contemplated by clause (a); </w:t>
      </w:r>
    </w:p>
    <w:p>
      <w:pPr>
        <w:pStyle w:val="TextBody"/>
        <w:bidi w:val="0"/>
        <w:spacing w:before="120" w:after="0"/>
        <w:jc w:val="left"/>
        <w:rPr>
          <w:rFonts w:ascii="Times New Roman" w:hAnsi="Times New Roman"/>
          <w:sz w:val="20"/>
        </w:rPr>
      </w:pPr>
      <w:r>
        <w:rPr>
          <w:rFonts w:ascii="Times New Roman" w:hAnsi="Times New Roman"/>
          <w:sz w:val="20"/>
        </w:rPr>
        <w:t xml:space="preserve">(x)     Restricted Payments that are made (a) in an amount not to exceed the amount of Excluded Contributions made since the Effective Date that is not otherwise applied pursuant to clause (35) of the definition of “Permitted Liens” or </w:t>
      </w:r>
      <w:r>
        <w:rPr>
          <w:rFonts w:ascii="Times New Roman" w:hAnsi="Times New Roman"/>
          <w:sz w:val="20"/>
          <w:u w:val="single"/>
        </w:rPr>
        <w:t>Section 6.01(b)(xxv)</w:t>
      </w:r>
      <w:r>
        <w:rPr>
          <w:rFonts w:ascii="Times New Roman" w:hAnsi="Times New Roman"/>
          <w:sz w:val="20"/>
        </w:rPr>
        <w:t xml:space="preserve"> as in effect immediately prior to such Restricted Payments (and after giving Pro Forma Effect thereto) or (b) in an amount equal to the amount of net cash proceeds from an asset sale or disposition in respect of property or assets acquired, if the acquisition of such property or assets was financed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(xi)     other Restricted Payments (other than Restricted Debt Payments) in an aggregate amount taken together with all other Restricted Payments made pursuant to this clause (xi) not to exceed the sum of (i) the greater of $225,000,000 and 30% of Consolidated EBITDA for the most recently ended Test Period at the time made, calculated on a Pro Forma Basis and (ii) the Available Restricted Debt Payments Amount; </w:t>
      </w:r>
    </w:p>
    <w:p>
      <w:pPr>
        <w:pStyle w:val="TextBody"/>
        <w:bidi w:val="0"/>
        <w:spacing w:before="120" w:after="0"/>
        <w:jc w:val="left"/>
        <w:rPr>
          <w:rFonts w:ascii="Times New Roman" w:hAnsi="Times New Roman"/>
          <w:sz w:val="20"/>
        </w:rPr>
      </w:pPr>
      <w:r>
        <w:rPr>
          <w:rFonts w:ascii="Times New Roman" w:hAnsi="Times New Roman"/>
          <w:sz w:val="20"/>
        </w:rPr>
        <w:t xml:space="preserve">(xii)     distributions or payments of Receivables Fees; </w:t>
      </w:r>
    </w:p>
    <w:p>
      <w:pPr>
        <w:pStyle w:val="TextBody"/>
        <w:bidi w:val="0"/>
        <w:spacing w:before="120" w:after="0"/>
        <w:jc w:val="left"/>
        <w:rPr>
          <w:rFonts w:ascii="Times New Roman" w:hAnsi="Times New Roman"/>
          <w:sz w:val="20"/>
        </w:rPr>
      </w:pPr>
      <w:r>
        <w:rPr>
          <w:rFonts w:ascii="Times New Roman" w:hAnsi="Times New Roman"/>
          <w:sz w:val="20"/>
        </w:rPr>
        <w:t xml:space="preserve">(xiii)     Restricted Payments made as part of or to consummate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(xiv)     other Restricted Debt Payments in an aggregate amount taken together with all other Restricted Debt Payments made pursuant to this clause (xiv) not to exceed the sum of (i) the greater of $225,000,000 and 30% of Consolidated EBITDA for the most recently ended Test Period at the time made, calculated on a Pro Forma Basis, (ii) the Available Investments Amount and (iii) the Available Restricted Payments Amount; </w:t>
      </w:r>
    </w:p>
    <w:p>
      <w:pPr>
        <w:pStyle w:val="TextBody"/>
        <w:bidi w:val="0"/>
        <w:spacing w:before="120" w:after="0"/>
        <w:jc w:val="left"/>
        <w:rPr>
          <w:rFonts w:ascii="Times New Roman" w:hAnsi="Times New Roman"/>
          <w:sz w:val="20"/>
        </w:rPr>
      </w:pPr>
      <w:r>
        <w:rPr>
          <w:rFonts w:ascii="Times New Roman" w:hAnsi="Times New Roman"/>
          <w:sz w:val="20"/>
        </w:rPr>
        <w:t xml:space="preserve">(xv)     the declaration and payment of dividends or the payment of other distributions by Bidco or a Restricted Subsidiary to, or the making of loans or advances to, any of their respective direct or indirect parent companies in amounts required for any direct or indirect parent companies to pay, in each case without duplication,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p>
    <w:p>
      <w:pPr>
        <w:pStyle w:val="TextBody"/>
        <w:bidi w:val="0"/>
        <w:spacing w:before="0" w:after="0"/>
        <w:jc w:val="left"/>
        <w:rPr>
          <w:rFonts w:ascii="Times New Roman" w:hAnsi="Times New Roman"/>
          <w:sz w:val="20"/>
        </w:rPr>
      </w:pPr>
      <w:r>
        <w:rPr>
          <w:rFonts w:ascii="Times New Roman" w:hAnsi="Times New Roman"/>
          <w:sz w:val="20"/>
        </w:rPr>
        <w:t xml:space="preserve">(A)     franchise, excise and similar taxes and other fees, taxes and expenses required to maintain their corporate existence; </w:t>
      </w:r>
    </w:p>
    <w:p>
      <w:pPr>
        <w:pStyle w:val="TextBody"/>
        <w:bidi w:val="0"/>
        <w:spacing w:before="120" w:after="0"/>
        <w:jc w:val="left"/>
        <w:rPr>
          <w:rFonts w:ascii="Times New Roman" w:hAnsi="Times New Roman"/>
          <w:sz w:val="20"/>
        </w:rPr>
      </w:pPr>
      <w:r>
        <w:rPr>
          <w:rFonts w:ascii="Times New Roman" w:hAnsi="Times New Roman"/>
          <w:sz w:val="20"/>
        </w:rPr>
        <w:t>(B)     (1) with respect to any taxable period in which Bidco and/or any of its Subsidiaries is a member of (or Bidco is a disregarded entity for U.S. federal income tax purposes wholly-owned by a member of) a consolidated, combined, unitary or similar tax group (a “</w:t>
      </w:r>
      <w:r>
        <w:rPr>
          <w:rFonts w:ascii="Times New Roman" w:hAnsi="Times New Roman"/>
          <w:sz w:val="20"/>
          <w:u w:val="single"/>
        </w:rPr>
        <w:t>Tax Group</w:t>
      </w:r>
      <w:r>
        <w:rPr>
          <w:rFonts w:ascii="Times New Roman" w:hAnsi="Times New Roman"/>
          <w:sz w:val="20"/>
        </w:rPr>
        <w:t xml:space="preserve">”) for U.S. federal and/or applicable foreign, state or local income tax purposes of which Holdings, an Intermediate Parent or any direct or indirect parent of Holdings is the common parent, the portion of U.S. federal, state, and/or local income Taxes of such Tax Group for such taxable period that is attributable to the taxable income of Bidco and/or its direct or indirect consolidated subsidiaries; </w:t>
      </w:r>
      <w:r>
        <w:rPr>
          <w:rFonts w:ascii="Times New Roman" w:hAnsi="Times New Roman"/>
          <w:sz w:val="20"/>
          <w:u w:val="single"/>
        </w:rPr>
        <w:t>provided</w:t>
      </w:r>
      <w:r>
        <w:rPr>
          <w:rFonts w:ascii="Times New Roman" w:hAnsi="Times New Roman"/>
          <w:sz w:val="20"/>
        </w:rPr>
        <w:t xml:space="preserve"> that, for each taxable period, the amount of such payments made in respect of such taxable period in the aggregate shall not exceed the amount of such Taxes that Bidco and/or its applicable Subsidiaries would have been required to pay if they were a stand-alone Tax Group with Bidco as the corporate common parent of such stand-alone Tax Group; and (2) with respect to any taxable period for which Bidco is a partnership for U.S. federal and/or applicable state or local income tax purposes, the portion of the U.S. federal, state or local income Taxes of Bidco’s direct owner(s) (or, where a direct owner is a pass-through entity, indirect owner(s)) for such taxable period that is attributable to the taxable income of Bidco, in an amount not to exceed the product of (x) 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indirect) equity owner of Bidco for the taxable period in question and (y) the taxable income of Bidco for such period, reduced by all taxable losses of Bidco with respect to any prior taxable year of Bidco to the extent such losses were not previously taken into account for purposes of computing distributions permitted under this </w:t>
      </w:r>
      <w:r>
        <w:rPr>
          <w:rFonts w:ascii="Times New Roman" w:hAnsi="Times New Roman"/>
          <w:sz w:val="20"/>
          <w:u w:val="single"/>
        </w:rPr>
        <w:t>Section 6.05(b)(xv)(B)</w:t>
      </w:r>
      <w:r>
        <w:rPr>
          <w:rFonts w:ascii="Times New Roman" w:hAnsi="Times New Roman"/>
          <w:sz w:val="20"/>
        </w:rPr>
        <w:t xml:space="preserve"> and such losses are of a character that would permit such losses to be deducted by the direct or indirect owners of Bidco against the current table income of Bidco (any distributions permitted under this </w:t>
      </w:r>
      <w:r>
        <w:rPr>
          <w:rFonts w:ascii="Times New Roman" w:hAnsi="Times New Roman"/>
          <w:sz w:val="20"/>
          <w:u w:val="single"/>
        </w:rPr>
        <w:t>Section 6.05(b)(xv)(B)</w:t>
      </w:r>
      <w:r>
        <w:rPr>
          <w:rFonts w:ascii="Times New Roman" w:hAnsi="Times New Roman"/>
          <w:sz w:val="20"/>
        </w:rPr>
        <w:t xml:space="preserve"> collectively, “</w:t>
      </w:r>
      <w:r>
        <w:rPr>
          <w:rFonts w:ascii="Times New Roman" w:hAnsi="Times New Roman"/>
          <w:sz w:val="20"/>
          <w:u w:val="single"/>
        </w:rPr>
        <w:t>Tax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customary salary, bonus and other benefits payable to employees, directors, officers and managers of any direct or indirect parent company of Bidco to the extent such salaries, bonuses and other benefits are attributable to the ownership or operation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general corporate operating and overhead costs and expenses of any direct or indirect parent company of Bidco to the extent such costs and expenses are attributable to the ownership or operation of Bidco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fees and expenses other than to Affiliates of Bidco related to any equity or debt offering of such parent entity (whether or not successful); </w:t>
      </w:r>
    </w:p>
    <w:p>
      <w:pPr>
        <w:pStyle w:val="TextBody"/>
        <w:bidi w:val="0"/>
        <w:spacing w:before="120" w:after="0"/>
        <w:jc w:val="left"/>
        <w:rPr>
          <w:rFonts w:ascii="Times New Roman" w:hAnsi="Times New Roman"/>
          <w:sz w:val="20"/>
        </w:rPr>
      </w:pPr>
      <w:r>
        <w:rPr>
          <w:rFonts w:ascii="Times New Roman" w:hAnsi="Times New Roman"/>
          <w:sz w:val="20"/>
        </w:rPr>
        <w:t xml:space="preserve">(F)     reasonable and customary indemnification claims made by members of the board of directors or officers, employees, directors, managers, consultants or independent contractors of such parent entity attributable to the ownership or operations of Bidco and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p>
    <w:p>
      <w:pPr>
        <w:pStyle w:val="TextBody"/>
        <w:bidi w:val="0"/>
        <w:spacing w:before="0" w:after="0"/>
        <w:jc w:val="left"/>
        <w:rPr>
          <w:rFonts w:ascii="Times New Roman" w:hAnsi="Times New Roman"/>
          <w:sz w:val="20"/>
        </w:rPr>
      </w:pPr>
      <w:r>
        <w:rPr>
          <w:rFonts w:ascii="Times New Roman" w:hAnsi="Times New Roman"/>
          <w:sz w:val="20"/>
        </w:rPr>
        <w:t xml:space="preserve">(G)     fees and expenses (x) due and payable by Bidco and its Restricted Subsidiaries related to the Transactions and (y) otherwise permitted to be paid by Bidco and any Restricted Subsidiaries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to the extent constituting a Restricted Payment, amounts due and payable pursuant to the Sponsor Management Agreement or any other investor management agreement entered into with the Investors after the Effective Date, which agreement shall be on terms not materially less favorable to Bidco and its Restricted Subsidiaries than the terms of the Sponsor Management Agreement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     to finance any Investment that, if made by Bidco, would be permitted by this Agreement; </w:t>
      </w:r>
      <w:r>
        <w:rPr>
          <w:rFonts w:ascii="Times New Roman" w:hAnsi="Times New Roman"/>
          <w:sz w:val="20"/>
          <w:u w:val="single"/>
        </w:rPr>
        <w:t>provided</w:t>
      </w:r>
      <w:r>
        <w:rPr>
          <w:rFonts w:ascii="Times New Roman" w:hAnsi="Times New Roman"/>
          <w:sz w:val="20"/>
        </w:rPr>
        <w:t xml:space="preserve"> that (A) such Restricted Payment shall be made substantially concurrently with the closing of such Investment and (B) such direct or indirect parent company shall, immediately following the closing thereof, cause (1) all property acquired (whether assets or Equity Interests but not including any loans or advances made pursuant to clause (16) of the definition of “Permitted Investments”) to be contributed to Bidco or its Restricted Subsidiaries or (2) the Person formed or acquired to merge into or amalgamate or consolidate with Bidco or any of the Restricted Subsidiaries to the extent such merger, amalgamation or consolidation is permitted under </w:t>
      </w:r>
      <w:r>
        <w:rPr>
          <w:rFonts w:ascii="Times New Roman" w:hAnsi="Times New Roman"/>
          <w:sz w:val="20"/>
          <w:u w:val="single"/>
        </w:rPr>
        <w:t>Section 6.03</w:t>
      </w:r>
      <w:r>
        <w:rPr>
          <w:rFonts w:ascii="Times New Roman" w:hAnsi="Times New Roman"/>
          <w:sz w:val="20"/>
        </w:rPr>
        <w:t xml:space="preserve"> in order to consummate such Investment (any such property or assets so contributed, merged or amalgamated shall constitute “</w:t>
      </w:r>
      <w:r>
        <w:rPr>
          <w:rFonts w:ascii="Times New Roman" w:hAnsi="Times New Roman"/>
          <w:sz w:val="20"/>
          <w:u w:val="single"/>
        </w:rPr>
        <w:t>Contributed Holdings Investments</w:t>
      </w:r>
      <w:r>
        <w:rPr>
          <w:rFonts w:ascii="Times New Roman" w:hAnsi="Times New Roman"/>
          <w:sz w:val="20"/>
        </w:rPr>
        <w:t xml:space="preserve">” and shall be disregarded for purposes of determining any amount calculated under this Agreement with respect to contributions to the capital of Bidco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(J)     amounts that would otherwise be permitted to be paid pursuant to clauses (ii), (v), (vii), (viii), (ix) and (xiii) of </w:t>
      </w:r>
      <w:r>
        <w:rPr>
          <w:rFonts w:ascii="Times New Roman" w:hAnsi="Times New Roman"/>
          <w:sz w:val="20"/>
          <w:u w:val="single"/>
        </w:rPr>
        <w:t>Section 5.17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(xvi)     the distribution, by dividend or otherwise, of shares of Equity Interests of, or Indebtedness owed to direct and indirect parent companies of Bidco, Bidco or any Restricted Subsidiary by, Unrestricted Subsidiaries (or a Restricted Subsidiary that owns one or more Unrestricted Subsidiaries and no other material assets) (other than Unrestricted Subsidiaries, the primary assets of which are cash and/or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(xvii)     any other Restricted Payment; </w:t>
      </w:r>
      <w:r>
        <w:rPr>
          <w:rFonts w:ascii="Times New Roman" w:hAnsi="Times New Roman"/>
          <w:sz w:val="20"/>
          <w:u w:val="single"/>
        </w:rPr>
        <w:t>provided</w:t>
      </w:r>
      <w:r>
        <w:rPr>
          <w:rFonts w:ascii="Times New Roman" w:hAnsi="Times New Roman"/>
          <w:sz w:val="20"/>
        </w:rPr>
        <w:t xml:space="preserve"> that (i) on a Pro Forma Basis after giving effect to such Restricted Payment, (x) with respect to any Restricted Payment, other than a Restricted Debt Payment, the Senior Secured First Lien Net Leverage Ratio is equal to or less than 4.10 to 1.00 and (y) with respect to any Restricted Debt Payments, the Senior Secured First Lien Net Leverage Ratio is equal to or less than 4.10 to 1.00 and (ii) no Specified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(xviii)     redemptions in whole or in part of any of its Equity Interests for another class of its Equity Interests (other than Disqualified Equity Interests) or with proceeds from substantially concurrent equity contributions or issuances of new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(xix)     payments to Bidco or direct and indirect parent companies of Bidco to permit such Person to (a) pay cash in lieu of fractional Equity Interests in connection with any dividend, split or combination thereof or any Investment permitted under this Agreement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p>
    <w:p>
      <w:pPr>
        <w:pStyle w:val="TextBody"/>
        <w:bidi w:val="0"/>
        <w:spacing w:before="0" w:after="0"/>
        <w:jc w:val="left"/>
        <w:rPr>
          <w:rFonts w:ascii="Times New Roman" w:hAnsi="Times New Roman"/>
          <w:sz w:val="20"/>
        </w:rPr>
      </w:pPr>
      <w:r>
        <w:rPr>
          <w:rFonts w:ascii="Times New Roman" w:hAnsi="Times New Roman"/>
          <w:sz w:val="20"/>
        </w:rPr>
        <w:t xml:space="preserve">(xx)     payments or distributions to dissenting stockholders pursuant to applicable law, pursuant to or in connection with a consolidation, merger or transfer of all or substantially all of the assets of Bidco and its Restricted Subsidiaries, taken as a whole, that complies with the covenant described under </w:t>
      </w:r>
      <w:r>
        <w:rPr>
          <w:rFonts w:ascii="Times New Roman" w:hAnsi="Times New Roman"/>
          <w:sz w:val="20"/>
          <w:u w:val="single"/>
        </w:rPr>
        <w:t>Section 6.03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     the conversion of any Subordinated Indebtedness to Equity Interests (other than Disqualified Equity Interests) of Bidco or any of its direct or indirect parent companies, and any payment that is intended to prevent any Subordinated Indebtedness from being treated as an “applicable high yield discount obligation” within the meaning of Section 163(i)(1) of the Code; </w:t>
      </w:r>
    </w:p>
    <w:p>
      <w:pPr>
        <w:pStyle w:val="TextBody"/>
        <w:bidi w:val="0"/>
        <w:spacing w:before="120" w:after="0"/>
        <w:jc w:val="left"/>
        <w:rPr>
          <w:rFonts w:ascii="Times New Roman" w:hAnsi="Times New Roman"/>
          <w:sz w:val="20"/>
        </w:rPr>
      </w:pPr>
      <w:r>
        <w:rPr>
          <w:rFonts w:ascii="Times New Roman" w:hAnsi="Times New Roman"/>
          <w:sz w:val="20"/>
        </w:rPr>
        <w:t xml:space="preserve">(xxii)     mandatory redemptions of Disqualified Equity Interests issued as a Restricted Payment or as consideration for a Permitted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(xxiii)     any Restricted Payment made in connection with a Permitted Intercompany Activity and a Permitted Tax Restructuring.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6.05</w:t>
      </w:r>
      <w:r>
        <w:rPr>
          <w:rFonts w:ascii="Times New Roman" w:hAnsi="Times New Roman"/>
          <w:sz w:val="20"/>
        </w:rPr>
        <w:t xml:space="preserve">, in the event that a proposed Restricted Payment (or a portion thereof) meets the criteria of clauses (i) through (xxiii) of </w:t>
      </w:r>
      <w:r>
        <w:rPr>
          <w:rFonts w:ascii="Times New Roman" w:hAnsi="Times New Roman"/>
          <w:sz w:val="20"/>
          <w:u w:val="single"/>
        </w:rPr>
        <w:t>Section 6.05(b)</w:t>
      </w:r>
      <w:r>
        <w:rPr>
          <w:rFonts w:ascii="Times New Roman" w:hAnsi="Times New Roman"/>
          <w:sz w:val="20"/>
        </w:rPr>
        <w:t xml:space="preserve"> hereof or is entitled to be made pursuant to </w:t>
      </w:r>
      <w:r>
        <w:rPr>
          <w:rFonts w:ascii="Times New Roman" w:hAnsi="Times New Roman"/>
          <w:sz w:val="20"/>
          <w:u w:val="single"/>
        </w:rPr>
        <w:t>Section 6.05(a)</w:t>
      </w:r>
      <w:r>
        <w:rPr>
          <w:rFonts w:ascii="Times New Roman" w:hAnsi="Times New Roman"/>
          <w:sz w:val="20"/>
        </w:rPr>
        <w:t xml:space="preserve"> hereof and/or one or more of the clauses contained in the definition of “Permitted Investments,” Bidco shall be entitled to classify or later reclassify (based on circumstances existing on the date of such reclassification) such Restricted Payment or Investment (or portion thereof) between such clauses (i) through (xxiii) of </w:t>
      </w:r>
      <w:r>
        <w:rPr>
          <w:rFonts w:ascii="Times New Roman" w:hAnsi="Times New Roman"/>
          <w:sz w:val="20"/>
          <w:u w:val="single"/>
        </w:rPr>
        <w:t>Section 6.05(b)</w:t>
      </w:r>
      <w:r>
        <w:rPr>
          <w:rFonts w:ascii="Times New Roman" w:hAnsi="Times New Roman"/>
          <w:sz w:val="20"/>
        </w:rPr>
        <w:t xml:space="preserve"> hereof and </w:t>
      </w:r>
      <w:r>
        <w:rPr>
          <w:rFonts w:ascii="Times New Roman" w:hAnsi="Times New Roman"/>
          <w:sz w:val="20"/>
          <w:u w:val="single"/>
        </w:rPr>
        <w:t>Section 6.05(a)</w:t>
      </w:r>
      <w:r>
        <w:rPr>
          <w:rFonts w:ascii="Times New Roman" w:hAnsi="Times New Roman"/>
          <w:sz w:val="20"/>
        </w:rPr>
        <w:t xml:space="preserve"> hereof and/or one or more of the clauses contained in the definition of “Permitted Investments,” in a manner that otherwise complies with this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Bidco shall not permit any Unrestricted Subsidiary to become a Restricted Subsidiary except pursuant to </w:t>
      </w:r>
      <w:r>
        <w:rPr>
          <w:rFonts w:ascii="Times New Roman" w:hAnsi="Times New Roman"/>
          <w:sz w:val="20"/>
          <w:u w:val="single"/>
        </w:rPr>
        <w:t>Section 5.13</w:t>
      </w:r>
      <w:r>
        <w:rPr>
          <w:rFonts w:ascii="Times New Roman" w:hAnsi="Times New Roman"/>
          <w:sz w:val="20"/>
        </w:rPr>
        <w:t xml:space="preserve">. For purposes of designating any Restricted Subsidiary as an Unrestricted Subsidiary, all outstanding Investments by Bidco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and/or Permitted Investment in such amount would be permitted at such time, whether pursuant to </w:t>
      </w:r>
      <w:r>
        <w:rPr>
          <w:rFonts w:ascii="Times New Roman" w:hAnsi="Times New Roman"/>
          <w:sz w:val="20"/>
          <w:u w:val="single"/>
        </w:rPr>
        <w:t>Section 6.05(a)</w:t>
      </w:r>
      <w:r>
        <w:rPr>
          <w:rFonts w:ascii="Times New Roman" w:hAnsi="Times New Roman"/>
          <w:sz w:val="20"/>
        </w:rPr>
        <w:t xml:space="preserve"> hereof or under clause (x), (xi), (xvii) or (xviii) of </w:t>
      </w:r>
      <w:r>
        <w:rPr>
          <w:rFonts w:ascii="Times New Roman" w:hAnsi="Times New Roman"/>
          <w:sz w:val="20"/>
          <w:u w:val="single"/>
        </w:rPr>
        <w:t>Section 6.05(b)</w:t>
      </w:r>
      <w:r>
        <w:rPr>
          <w:rFonts w:ascii="Times New Roman" w:hAnsi="Times New Roman"/>
          <w:sz w:val="20"/>
        </w:rPr>
        <w:t xml:space="preserve"> hereof, or pursuant to the definition of “Permitted Investments,” and if such Subsidiary otherwise meets the definition of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amount of all Restricted Payments (other than cash) shall be the Fair Market Value on the date of such Restricted Payment of the asset(s) or securities proposed to be paid, transferred or issued by Bidco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Bidco acting in good faith. </w:t>
      </w:r>
    </w:p>
    <w:p>
      <w:pPr>
        <w:pStyle w:val="TextBody"/>
        <w:bidi w:val="0"/>
        <w:spacing w:before="240" w:after="0"/>
        <w:jc w:val="left"/>
        <w:rPr>
          <w:rFonts w:ascii="Times New Roman" w:hAnsi="Times New Roman"/>
          <w:sz w:val="20"/>
        </w:rPr>
      </w:pPr>
      <w:r>
        <w:rPr>
          <w:rFonts w:ascii="Times New Roman" w:hAnsi="Times New Roman"/>
          <w:sz w:val="20"/>
        </w:rPr>
        <w:t xml:space="preserve">(f)     Unrestricted Subsidiaries may use value transferred from Bidco and its Restricted Subsidiaries in a Permitted Investment to purchase or otherwise acquire Indebtedness or Equity Interests of Bidco, any director or indirect parent of Bidco or any of Bidco’s Restricted Subsidiaries, and to transfer value to the holders of the Equity Interests or any director or indirect parent of Bidco and to Affiliates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p>
    <w:p>
      <w:pPr>
        <w:pStyle w:val="TextBody"/>
        <w:bidi w:val="0"/>
        <w:spacing w:before="0" w:after="0"/>
        <w:jc w:val="left"/>
        <w:rPr>
          <w:rFonts w:ascii="Times New Roman" w:hAnsi="Times New Roman"/>
          <w:sz w:val="20"/>
        </w:rPr>
      </w:pPr>
      <w:r>
        <w:rPr>
          <w:rFonts w:ascii="Times New Roman" w:hAnsi="Times New Roman"/>
          <w:sz w:val="20"/>
        </w:rPr>
        <w:t xml:space="preserve">(g)     If Bidco or a Restricted Subsidiary makes a Restricted Payment which at the time of the making of such Restricted Payment would in the good faith determination of Bidco be permitted under the provisions of this Agreement, such Restricted Payment shall be deemed to have been made in compliance with this Agreement notwithstanding any subsequent adjustments made in good faith to Bidco’s financial statements affecting Consolidated Net Income or Consolidated EBITDA of Bidco for any period. </w:t>
      </w:r>
    </w:p>
    <w:p>
      <w:pPr>
        <w:pStyle w:val="TextBody"/>
        <w:bidi w:val="0"/>
        <w:spacing w:before="360" w:after="0"/>
        <w:jc w:val="left"/>
        <w:rPr>
          <w:rFonts w:ascii="Times New Roman" w:hAnsi="Times New Roman"/>
          <w:sz w:val="20"/>
        </w:rPr>
      </w:pPr>
      <w:r>
        <w:rPr>
          <w:rFonts w:ascii="Times New Roman" w:hAnsi="Times New Roman"/>
          <w:sz w:val="20"/>
        </w:rPr>
        <w:t>SECTION 6.06    </w:t>
      </w:r>
      <w:r>
        <w:rPr>
          <w:rFonts w:ascii="Times New Roman" w:hAnsi="Times New Roman"/>
          <w:sz w:val="20"/>
          <w:u w:val="single"/>
        </w:rPr>
        <w:t>Restrictive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Bidco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The restrictions contained in </w:t>
      </w:r>
      <w:r>
        <w:rPr>
          <w:rFonts w:ascii="Times New Roman" w:hAnsi="Times New Roman"/>
          <w:sz w:val="20"/>
          <w:u w:val="single"/>
        </w:rPr>
        <w:t>Section 6.06(a)</w:t>
      </w:r>
      <w:r>
        <w:rPr>
          <w:rFonts w:ascii="Times New Roman" w:hAnsi="Times New Roman"/>
          <w:sz w:val="20"/>
        </w:rPr>
        <w:t xml:space="preserve"> hereof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contractual encumbrances or restrictions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contractual encumbrances or restrictions included pursuant to (x) the Loan Documents and related Hedging Obligations or (y) the Senior Secured Notes Documents and the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(iii)    purchase money obligations for property acquired in the ordinary course of business and Capitalized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(iv)    applicable law or any applicable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(v)     any agreement or other instrument of a Person acquired by or merged or consolidated with or into Bidco or any of its Restricted Subsidiaries in existence at the time of such acquisition or at the time it merges with or into Bidco or any of its Restricted Subsidiaries or assumed in connection with the acquisition of assets from such Person (but, in any such case, not created in contemplation thereof), which encumbrance or restriction or condition set forth in such agreement is not applicable to any Person, or the properties or assets of any Person, other than the Person and its Subsidiaries, or the property or assets of the Person and its Subsidiaries, so acquired or the property or assets assumed; </w:t>
      </w:r>
    </w:p>
    <w:p>
      <w:pPr>
        <w:pStyle w:val="TextBody"/>
        <w:bidi w:val="0"/>
        <w:spacing w:before="120" w:after="0"/>
        <w:jc w:val="left"/>
        <w:rPr>
          <w:rFonts w:ascii="Times New Roman" w:hAnsi="Times New Roman"/>
          <w:sz w:val="20"/>
        </w:rPr>
      </w:pPr>
      <w:r>
        <w:rPr>
          <w:rFonts w:ascii="Times New Roman" w:hAnsi="Times New Roman"/>
          <w:sz w:val="20"/>
        </w:rPr>
        <w:t xml:space="preserve">(vi)     contracts for the sale of assets or the sale of a Subsidiary, including customary restrictions with respect to a Subsidiary of Bidco pursuant to an agreement that has been entered into for the sale or disposition of all or substantially all of the Equity Interests or assets of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(vii)    (a) Secured Indebtedness otherwise permitted to be incurred pursuant to </w:t>
      </w:r>
      <w:r>
        <w:rPr>
          <w:rFonts w:ascii="Times New Roman" w:hAnsi="Times New Roman"/>
          <w:sz w:val="20"/>
          <w:u w:val="single"/>
        </w:rPr>
        <w:t>Section 6.01</w:t>
      </w:r>
      <w:r>
        <w:rPr>
          <w:rFonts w:ascii="Times New Roman" w:hAnsi="Times New Roman"/>
          <w:sz w:val="20"/>
        </w:rPr>
        <w:t xml:space="preserve"> hereof and </w:t>
      </w:r>
      <w:r>
        <w:rPr>
          <w:rFonts w:ascii="Times New Roman" w:hAnsi="Times New Roman"/>
          <w:sz w:val="20"/>
          <w:u w:val="single"/>
        </w:rPr>
        <w:t>Section 6.02</w:t>
      </w:r>
      <w:r>
        <w:rPr>
          <w:rFonts w:ascii="Times New Roman" w:hAnsi="Times New Roman"/>
          <w:sz w:val="20"/>
        </w:rPr>
        <w:t xml:space="preserve"> hereof that limit the right of the debtor to dispose of the assets securing such Indebtedness, (b) restrictions on transfers of assets subject to Permitted Liens (but, with respect to any such Permitted Lien, only to the extent that such transfer restrictions apply solely to the assets that are the subject of such Permitted Lien) and (c) restrictions and conditions imposed by any documentation governing (1) other Indebtedness (other than intercompany debt owed to Bidco or the Restricted Subsidiaries) that do not materially impair Bidco’s ability to make payments on the Loans, (2) any documentation governing Indebtedness incurred pursuant to </w:t>
      </w:r>
      <w:r>
        <w:rPr>
          <w:rFonts w:ascii="Times New Roman" w:hAnsi="Times New Roman"/>
          <w:sz w:val="20"/>
          <w:u w:val="single"/>
        </w:rPr>
        <w:t>Section 6.01(a)</w:t>
      </w:r>
      <w:r>
        <w:rPr>
          <w:rFonts w:ascii="Times New Roman" w:hAnsi="Times New Roman"/>
          <w:sz w:val="20"/>
        </w:rPr>
        <w:t xml:space="preserve"> and/or </w:t>
      </w:r>
      <w:r>
        <w:rPr>
          <w:rFonts w:ascii="Times New Roman" w:hAnsi="Times New Roman"/>
          <w:sz w:val="20"/>
          <w:u w:val="single"/>
        </w:rPr>
        <w:t>Sections 6.01(b)(xi)</w:t>
      </w:r>
      <w:r>
        <w:rPr>
          <w:rFonts w:ascii="Times New Roman" w:hAnsi="Times New Roman"/>
          <w:sz w:val="20"/>
        </w:rPr>
        <w:t xml:space="preserve">, </w:t>
      </w:r>
      <w:r>
        <w:rPr>
          <w:rFonts w:ascii="Times New Roman" w:hAnsi="Times New Roman"/>
          <w:sz w:val="20"/>
          <w:u w:val="single"/>
        </w:rPr>
        <w:t>(xvi)</w:t>
      </w:r>
      <w:r>
        <w:rPr>
          <w:rFonts w:ascii="Times New Roman" w:hAnsi="Times New Roman"/>
          <w:sz w:val="20"/>
        </w:rPr>
        <w:t xml:space="preserve">, </w:t>
      </w:r>
      <w:r>
        <w:rPr>
          <w:rFonts w:ascii="Times New Roman" w:hAnsi="Times New Roman"/>
          <w:sz w:val="20"/>
          <w:u w:val="single"/>
        </w:rPr>
        <w:t>(xxiv)</w:t>
      </w:r>
      <w:r>
        <w:rPr>
          <w:rFonts w:ascii="Times New Roman" w:hAnsi="Times New Roman"/>
          <w:sz w:val="20"/>
        </w:rPr>
        <w:t xml:space="preserve"> and </w:t>
      </w:r>
      <w:r>
        <w:rPr>
          <w:rFonts w:ascii="Times New Roman" w:hAnsi="Times New Roman"/>
          <w:sz w:val="20"/>
          <w:u w:val="single"/>
        </w:rPr>
        <w:t>(xxvi)</w:t>
      </w:r>
      <w:r>
        <w:rPr>
          <w:rFonts w:ascii="Times New Roman" w:hAnsi="Times New Roman"/>
          <w:sz w:val="20"/>
        </w:rPr>
        <w:t xml:space="preserve"> and (3) any documentation governing any Refinancing Indebtedness incurred to refinance any such Indebtedness referenced in the foregoing clauses (1) and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p>
    <w:p>
      <w:pPr>
        <w:pStyle w:val="TextBody"/>
        <w:bidi w:val="0"/>
        <w:spacing w:before="0" w:after="0"/>
        <w:jc w:val="left"/>
        <w:rPr>
          <w:rFonts w:ascii="Times New Roman" w:hAnsi="Times New Roman"/>
          <w:sz w:val="20"/>
        </w:rPr>
      </w:pPr>
      <w:r>
        <w:rPr>
          <w:rFonts w:ascii="Times New Roman" w:hAnsi="Times New Roman"/>
          <w:sz w:val="20"/>
        </w:rPr>
        <w:t xml:space="preserve">(viii)    restrictions on cash (or Cash Equivalents) or other deposits or restrictions on or net worth imposed by customers, in each case,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other Indebtedness, Disqualified Equity Interests or Preferred Stock of Foreign Subsidiaries permitted to be incurred subsequent to the Effective Date pursuant to the provisions of </w:t>
      </w:r>
      <w:r>
        <w:rPr>
          <w:rFonts w:ascii="Times New Roman" w:hAnsi="Times New Roman"/>
          <w:sz w:val="20"/>
          <w:u w:val="single"/>
        </w:rPr>
        <w:t>Section 6.01</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(x)     customary provisions in joint venture agreements or arrangements and other similar agreements relating to such joint venture; </w:t>
      </w:r>
    </w:p>
    <w:p>
      <w:pPr>
        <w:pStyle w:val="TextBody"/>
        <w:bidi w:val="0"/>
        <w:spacing w:before="120" w:after="0"/>
        <w:jc w:val="left"/>
        <w:rPr>
          <w:rFonts w:ascii="Times New Roman" w:hAnsi="Times New Roman"/>
          <w:sz w:val="20"/>
        </w:rPr>
      </w:pPr>
      <w:r>
        <w:rPr>
          <w:rFonts w:ascii="Times New Roman" w:hAnsi="Times New Roman"/>
          <w:sz w:val="20"/>
        </w:rPr>
        <w:t xml:space="preserve">(xi)     customary provisions contained in leases, sub-leases, licenses, sub-licenses, asset sale agreements or similar agreements, including with respect to of intellectual property and other agreements, in each case, (i) entered into in the ordinary course of business or (ii) otherwise permitted under this Agreement so long as such restrictions relate only to the assets subject thereto; </w:t>
      </w:r>
    </w:p>
    <w:p>
      <w:pPr>
        <w:pStyle w:val="TextBody"/>
        <w:bidi w:val="0"/>
        <w:spacing w:before="120" w:after="0"/>
        <w:jc w:val="left"/>
        <w:rPr>
          <w:rFonts w:ascii="Times New Roman" w:hAnsi="Times New Roman"/>
          <w:sz w:val="20"/>
        </w:rPr>
      </w:pPr>
      <w:r>
        <w:rPr>
          <w:rFonts w:ascii="Times New Roman" w:hAnsi="Times New Roman"/>
          <w:sz w:val="20"/>
        </w:rPr>
        <w:t xml:space="preserve">(xii)     restrictions created in connection with any Receivables Facility that, in the good faith determination of Bidco, are necessary or advisable to effect such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(xiii)     restrictions on cash (or Cash Equivalents) or other deposits imposed by agreements entered into in the ordinary course of business (or other restrictions on cash or deposits constituting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(xiv)     customary provisions restricting subletting or assignment of any lease governing a leasehold interest of direct or indirect parent companies of Bidco, Bidco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(xv)     customary net worth provisions contained in real property leases entered into by Subsidiaries, so long as Bidco has determined in good faith that such net worth provisions could not reasonably be expected to impair the ability of Bidco and its Subsidiaries to meet their ongoing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(xvi)     restrictions or conditions contained in any trading, netting, operating, construction, service, supply, purchase, sale or other agreement to which Bidco or any of its Restricted Subsidiaries is a party entered into in the ordinary course of business; </w:t>
      </w:r>
      <w:r>
        <w:rPr>
          <w:rFonts w:ascii="Times New Roman" w:hAnsi="Times New Roman"/>
          <w:sz w:val="20"/>
          <w:u w:val="single"/>
        </w:rPr>
        <w:t>provided</w:t>
      </w:r>
      <w:r>
        <w:rPr>
          <w:rFonts w:ascii="Times New Roman" w:hAnsi="Times New Roman"/>
          <w:sz w:val="20"/>
        </w:rPr>
        <w:t xml:space="preserve"> that such agreement prohibits the encumbrance of solely the property or assets of Bidco or such Restricted Subsidiary that are the subject of such agreement, the payment rights arising thereunder or the proceeds thereof and does not extend to any other asset or property of Bidco or such Restricted Subsidiary or the assets or property of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(xvii)    any encumbrance or restriction arising pursuant to an agreement or instrument which, if it relates to any Indebtedness, shall only be permitted if such Indebtedness is permitted to be incurred pursuant to </w:t>
      </w:r>
      <w:r>
        <w:rPr>
          <w:rFonts w:ascii="Times New Roman" w:hAnsi="Times New Roman"/>
          <w:sz w:val="20"/>
          <w:u w:val="single"/>
        </w:rPr>
        <w:t>Section 6.01</w:t>
      </w:r>
      <w:r>
        <w:rPr>
          <w:rFonts w:ascii="Times New Roman" w:hAnsi="Times New Roman"/>
          <w:sz w:val="20"/>
        </w:rPr>
        <w:t xml:space="preserve"> if the encumbrances and restrictions contained in any such agreement or instrument taken as a whole (i) are not materially less favorable to the Permitted Holders than the encumbrances and restrictions contained in this Agreement, together with the security documents associated therewith as in effect on the Effective Date (as determined by Bidco) or (ii) either (A) Bidco determines at the time of entry into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p>
    <w:p>
      <w:pPr>
        <w:pStyle w:val="TextBody"/>
        <w:bidi w:val="0"/>
        <w:spacing w:before="0" w:after="0"/>
        <w:jc w:val="left"/>
        <w:rPr>
          <w:rFonts w:ascii="Times New Roman" w:hAnsi="Times New Roman"/>
          <w:sz w:val="20"/>
        </w:rPr>
      </w:pPr>
      <w:r>
        <w:rPr>
          <w:rFonts w:ascii="Times New Roman" w:hAnsi="Times New Roman"/>
          <w:sz w:val="20"/>
        </w:rPr>
        <w:t xml:space="preserve">or instrument that such encumbrances or restrictions shall not adversely affect, in any material respect, Bidco’s ability to make principal or interest payments on the Loans or (B) such encumbrance or restriction applies only during the continuance of a default relating to such agreement or instrument; </w:t>
      </w:r>
    </w:p>
    <w:p>
      <w:pPr>
        <w:pStyle w:val="TextBody"/>
        <w:bidi w:val="0"/>
        <w:spacing w:before="120" w:after="0"/>
        <w:jc w:val="left"/>
        <w:rPr>
          <w:rFonts w:ascii="Times New Roman" w:hAnsi="Times New Roman"/>
          <w:sz w:val="20"/>
        </w:rPr>
      </w:pPr>
      <w:r>
        <w:rPr>
          <w:rFonts w:ascii="Times New Roman" w:hAnsi="Times New Roman"/>
          <w:sz w:val="20"/>
        </w:rPr>
        <w:t xml:space="preserve">(xviii)    any encumbrance or restriction with respect to a Guarantor or a Foreign Subsidiary or Receivables Subsidiary which was previously an Unrestricted Subsidiary pursuant to or by reason of an agreement that such Subsidiary is a party to or entered into before the date on which such Subsidiary became a Restricted Subsidiary; </w:t>
      </w:r>
      <w:r>
        <w:rPr>
          <w:rFonts w:ascii="Times New Roman" w:hAnsi="Times New Roman"/>
          <w:sz w:val="20"/>
          <w:u w:val="single"/>
        </w:rPr>
        <w:t>provided</w:t>
      </w:r>
      <w:r>
        <w:rPr>
          <w:rFonts w:ascii="Times New Roman" w:hAnsi="Times New Roman"/>
          <w:sz w:val="20"/>
        </w:rPr>
        <w:t xml:space="preserve"> that such agreement was not entered into in anticipation of an Unrestricted Subsidiary becoming a Restricted Subsidiary and any such encumbrance or restriction does not extend to any assets or property of Bidco or any other Restricted Subsidiary other than the assets and property of such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(xix)     any encumbrances or restrictions imposed by any amendments, extensions, modifications, restatements, renewals, increases, supplements, refundings, replacements or refinancings of the contracts, instruments or obligations referred to in clauses (i) through (xviii) of this </w:t>
      </w:r>
      <w:r>
        <w:rPr>
          <w:rFonts w:ascii="Times New Roman" w:hAnsi="Times New Roman"/>
          <w:sz w:val="20"/>
          <w:u w:val="single"/>
        </w:rPr>
        <w:t>Section 6.06(b)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amendments, extensions, modifications, restatements, renewals, increases, supplements, refundings, replacements or refinancings are, in the good faith judgment of Bidco,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before="360" w:after="0"/>
        <w:jc w:val="left"/>
        <w:rPr>
          <w:rFonts w:ascii="Times New Roman" w:hAnsi="Times New Roman"/>
          <w:sz w:val="20"/>
        </w:rPr>
      </w:pPr>
      <w:r>
        <w:rPr>
          <w:rFonts w:ascii="Times New Roman" w:hAnsi="Times New Roman"/>
          <w:sz w:val="20"/>
        </w:rPr>
        <w:t>SECTION 6.07    </w:t>
      </w:r>
      <w:r>
        <w:rPr>
          <w:rFonts w:ascii="Times New Roman" w:hAnsi="Times New Roman"/>
          <w:sz w:val="20"/>
          <w:u w:val="single"/>
        </w:rPr>
        <w:t>Financial Performance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Solely with respect to the Revolving Facility, if on the last day of any Test Period (commencing with the Test Period ending March 31, 2020), the sum of (i) the aggregate principal amount of Revolving Loans then outstanding (other than (x) for the first four full fiscal quarters following the Effective Date, Revolving Loans borrowed to finance the Transactions (including Transaction Costs) and (y) any Revolving Loans borrowed to fund any upfront fees or original issue discount imposed pursuant to the “interest rate flex” provisions of the Fee Letter), </w:t>
      </w:r>
      <w:r>
        <w:rPr>
          <w:rFonts w:ascii="Times New Roman" w:hAnsi="Times New Roman"/>
          <w:sz w:val="20"/>
          <w:u w:val="single"/>
        </w:rPr>
        <w:t>plus</w:t>
      </w:r>
      <w:r>
        <w:rPr>
          <w:rFonts w:ascii="Times New Roman" w:hAnsi="Times New Roman"/>
          <w:sz w:val="20"/>
        </w:rPr>
        <w:t xml:space="preserve"> (ii) the aggregate principal amount of Swingline Loans then outstanding </w:t>
      </w:r>
      <w:r>
        <w:rPr>
          <w:rFonts w:ascii="Times New Roman" w:hAnsi="Times New Roman"/>
          <w:sz w:val="20"/>
          <w:u w:val="single"/>
        </w:rPr>
        <w:t>plus</w:t>
      </w:r>
      <w:r>
        <w:rPr>
          <w:rFonts w:ascii="Times New Roman" w:hAnsi="Times New Roman"/>
          <w:sz w:val="20"/>
        </w:rPr>
        <w:t xml:space="preserve"> (iii) the aggregate amount of LC Disbursements that have not been reimbursed within two (2) Business Days by or on behalf of the Borrowers at such time, exceeds the greater of (x) $280,000,000 and (y) 40% of the aggregate principal amount of Revolving Commitments then in effect (after including any Incremental Revolving Commitment Increase then in effect), Bidco and its Restricted Subsidiaries will not permit the Senior Secured First Lien Net Leverage Ratio to exceed 9.00 to 1.00 on the last day of such Test Period.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7.01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any of the following events (any such event,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240" w:after="0"/>
        <w:jc w:val="left"/>
        <w:rPr>
          <w:rFonts w:ascii="Times New Roman" w:hAnsi="Times New Roman"/>
          <w:sz w:val="20"/>
        </w:rPr>
      </w:pPr>
      <w:r>
        <w:rPr>
          <w:rFonts w:ascii="Times New Roman" w:hAnsi="Times New Roman"/>
          <w:sz w:val="20"/>
        </w:rPr>
        <w:t xml:space="preserve">(a)     any Loan Party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Loan Party shall fail to pay any interest on any Loan or any fee or any other amount (other than an amount referred to in paragraph (a) of this </w:t>
      </w:r>
      <w:r>
        <w:rPr>
          <w:rFonts w:ascii="Times New Roman" w:hAnsi="Times New Roman"/>
          <w:sz w:val="20"/>
          <w:u w:val="single"/>
        </w:rPr>
        <w:t>Section 7.01</w:t>
      </w:r>
      <w:r>
        <w:rPr>
          <w:rFonts w:ascii="Times New Roman" w:hAnsi="Times New Roman"/>
          <w:sz w:val="20"/>
        </w:rPr>
        <w:t xml:space="preserve">) payable under any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p>
    <w:p>
      <w:pPr>
        <w:pStyle w:val="TextBody"/>
        <w:bidi w:val="0"/>
        <w:spacing w:before="0" w:after="0"/>
        <w:jc w:val="left"/>
        <w:rPr>
          <w:rFonts w:ascii="Times New Roman" w:hAnsi="Times New Roman"/>
          <w:sz w:val="20"/>
        </w:rPr>
      </w:pPr>
      <w:r>
        <w:rPr>
          <w:rFonts w:ascii="Times New Roman" w:hAnsi="Times New Roman"/>
          <w:sz w:val="20"/>
        </w:rPr>
        <w:t>Document, when and as the same shall become due and payable</w:t>
      </w:r>
      <w:r>
        <w:rPr>
          <w:rFonts w:ascii="Times New Roman" w:hAnsi="Times New Roman"/>
          <w:color w:val="0000FF"/>
          <w:sz w:val="20"/>
          <w:u w:val="single"/>
          <w:bdr w:val="double" w:sz="2" w:space="1" w:color="000000"/>
        </w:rPr>
        <w:t xml:space="preserve"> (or, in the case of any RFR Interest Payment the later of (i) the date when the same shall have become due and payable and (ii) the date falling three RFR Business Days after the date on which the Administrative Agent notified the relevant Borrower of the amount of that RFR Interest Payment in accordance with this Agreement)</w:t>
      </w:r>
      <w:r>
        <w:rPr>
          <w:rFonts w:ascii="Times New Roman" w:hAnsi="Times New Roman"/>
          <w:sz w:val="20"/>
        </w:rPr>
        <w:t xml:space="preserve">, and such failure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or on behalf of Holdings, any Intermediate Parent, Bidco or any of the Restricted Subsidiaries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shall remain incorrect for a period of 30 days after written notice thereof from the Administrative Agent to Bidco and the Borrowers; </w:t>
      </w:r>
      <w:r>
        <w:rPr>
          <w:rFonts w:ascii="Times New Roman" w:hAnsi="Times New Roman"/>
          <w:sz w:val="20"/>
          <w:u w:val="single"/>
        </w:rPr>
        <w:t>provided</w:t>
      </w:r>
      <w:r>
        <w:rPr>
          <w:rFonts w:ascii="Times New Roman" w:hAnsi="Times New Roman"/>
          <w:sz w:val="20"/>
        </w:rPr>
        <w:t xml:space="preserve"> that this clause (c) shall be limited on the Effective Date to the Major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(d)     (i) Holdings, Bidco or any of the Restricted Subsidiaries shall fail to observe or perform any covenant, condition or agreement contained in </w:t>
      </w:r>
      <w:r>
        <w:rPr>
          <w:rFonts w:ascii="Times New Roman" w:hAnsi="Times New Roman"/>
          <w:sz w:val="20"/>
          <w:u w:val="single"/>
        </w:rPr>
        <w:t>Sections 5.02</w:t>
      </w:r>
      <w:r>
        <w:rPr>
          <w:rFonts w:ascii="Times New Roman" w:hAnsi="Times New Roman"/>
          <w:sz w:val="20"/>
        </w:rPr>
        <w:t xml:space="preserve">, </w:t>
      </w:r>
      <w:r>
        <w:rPr>
          <w:rFonts w:ascii="Times New Roman" w:hAnsi="Times New Roman"/>
          <w:sz w:val="20"/>
          <w:u w:val="single"/>
        </w:rPr>
        <w:t>5.04</w:t>
      </w:r>
      <w:r>
        <w:rPr>
          <w:rFonts w:ascii="Times New Roman" w:hAnsi="Times New Roman"/>
          <w:sz w:val="20"/>
        </w:rPr>
        <w:t xml:space="preserve"> (with respect to the existence of Holdings, any Intermediate Parent, Bidco or such Restricted Subsidiaries), </w:t>
      </w:r>
      <w:r>
        <w:rPr>
          <w:rFonts w:ascii="Times New Roman" w:hAnsi="Times New Roman"/>
          <w:sz w:val="20"/>
          <w:u w:val="single"/>
        </w:rPr>
        <w:t>5.10</w:t>
      </w:r>
      <w:r>
        <w:rPr>
          <w:rFonts w:ascii="Times New Roman" w:hAnsi="Times New Roman"/>
          <w:sz w:val="20"/>
        </w:rPr>
        <w:t xml:space="preserve">, </w:t>
      </w:r>
      <w:r>
        <w:rPr>
          <w:rFonts w:ascii="Times New Roman" w:hAnsi="Times New Roman"/>
          <w:sz w:val="20"/>
          <w:u w:val="single"/>
        </w:rPr>
        <w:t>5.14</w:t>
      </w:r>
      <w:r>
        <w:rPr>
          <w:rFonts w:ascii="Times New Roman" w:hAnsi="Times New Roman"/>
          <w:sz w:val="20"/>
        </w:rPr>
        <w:t xml:space="preserve"> or in </w:t>
      </w:r>
      <w:r>
        <w:rPr>
          <w:rFonts w:ascii="Times New Roman" w:hAnsi="Times New Roman"/>
          <w:sz w:val="20"/>
          <w:u w:val="single"/>
        </w:rPr>
        <w:t>Article VI</w:t>
      </w:r>
      <w:r>
        <w:rPr>
          <w:rFonts w:ascii="Times New Roman" w:hAnsi="Times New Roman"/>
          <w:sz w:val="20"/>
        </w:rPr>
        <w:t xml:space="preserve"> (other than the Financial Performance Covenant); or </w:t>
      </w:r>
    </w:p>
    <w:p>
      <w:pPr>
        <w:pStyle w:val="TextBody"/>
        <w:bidi w:val="0"/>
        <w:spacing w:before="120" w:after="0"/>
        <w:jc w:val="left"/>
        <w:rPr>
          <w:rFonts w:ascii="Times New Roman" w:hAnsi="Times New Roman"/>
          <w:sz w:val="20"/>
        </w:rPr>
      </w:pPr>
      <w:r>
        <w:rPr>
          <w:rFonts w:ascii="Times New Roman" w:hAnsi="Times New Roman"/>
          <w:sz w:val="20"/>
        </w:rPr>
        <w:t xml:space="preserve">(ii)    Bidco or any of the Restricted Subsidiaries shall fail to observe or perform the Financial Performance Covenant; </w:t>
      </w:r>
      <w:r>
        <w:rPr>
          <w:rFonts w:ascii="Times New Roman" w:hAnsi="Times New Roman"/>
          <w:sz w:val="20"/>
          <w:u w:val="single"/>
        </w:rPr>
        <w:t>provided</w:t>
      </w:r>
      <w:r>
        <w:rPr>
          <w:rFonts w:ascii="Times New Roman" w:hAnsi="Times New Roman"/>
          <w:sz w:val="20"/>
        </w:rPr>
        <w:t xml:space="preserve"> that (a) any Event of Default under </w:t>
      </w:r>
      <w:r>
        <w:rPr>
          <w:rFonts w:ascii="Times New Roman" w:hAnsi="Times New Roman"/>
          <w:sz w:val="20"/>
          <w:u w:val="single"/>
        </w:rPr>
        <w:t>Section 6.07</w:t>
      </w:r>
      <w:r>
        <w:rPr>
          <w:rFonts w:ascii="Times New Roman" w:hAnsi="Times New Roman"/>
          <w:sz w:val="20"/>
        </w:rPr>
        <w:t xml:space="preserve"> is subject to cure as provided in </w:t>
      </w:r>
      <w:r>
        <w:rPr>
          <w:rFonts w:ascii="Times New Roman" w:hAnsi="Times New Roman"/>
          <w:sz w:val="20"/>
          <w:u w:val="single"/>
        </w:rPr>
        <w:t>Section 7.02</w:t>
      </w:r>
      <w:r>
        <w:rPr>
          <w:rFonts w:ascii="Times New Roman" w:hAnsi="Times New Roman"/>
          <w:sz w:val="20"/>
        </w:rPr>
        <w:t xml:space="preserve"> and an Event of Default with respect to such Section shall not occur until the expiration of the tenth (10th) Business Day subsequent to the date on which the financial statements with respect to the applicable fiscal quarter (or the fiscal year ended on the last day of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and (b) a Default under </w:t>
      </w:r>
      <w:r>
        <w:rPr>
          <w:rFonts w:ascii="Times New Roman" w:hAnsi="Times New Roman"/>
          <w:sz w:val="20"/>
          <w:u w:val="single"/>
        </w:rPr>
        <w:t>Section 6.07</w:t>
      </w:r>
      <w:r>
        <w:rPr>
          <w:rFonts w:ascii="Times New Roman" w:hAnsi="Times New Roman"/>
          <w:sz w:val="20"/>
        </w:rPr>
        <w:t xml:space="preserve"> shall not constitute an Event of Default with respect to the Term Loans unless and until the Revolving Lenders have actually declared all such obligations to be immediately due and payable or terminated the Revolving Commitments in accordance with this Agreement and such declaration has not been rescinded by the Required Revolving Lenders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(e)     Holdings, Bidco or any of the Restricted Subsidiaries shall fail to observe or perform any covenant, condition or agreement contained in any Loan Document (other than those specified in paragraph (a), (b) or (d) of this </w:t>
      </w:r>
      <w:r>
        <w:rPr>
          <w:rFonts w:ascii="Times New Roman" w:hAnsi="Times New Roman"/>
          <w:sz w:val="20"/>
          <w:u w:val="single"/>
        </w:rPr>
        <w:t>Section 7.01</w:t>
      </w:r>
      <w:r>
        <w:rPr>
          <w:rFonts w:ascii="Times New Roman" w:hAnsi="Times New Roman"/>
          <w:sz w:val="20"/>
        </w:rPr>
        <w:t xml:space="preserve">), and such failure shall continue unremedied for a period of thirty (30) days after written notice thereof from the Administrative Agent to Bidco and the Borrowers; </w:t>
      </w:r>
      <w:r>
        <w:rPr>
          <w:rFonts w:ascii="Times New Roman" w:hAnsi="Times New Roman"/>
          <w:sz w:val="20"/>
          <w:u w:val="single"/>
        </w:rPr>
        <w:t>provided</w:t>
      </w:r>
      <w:r>
        <w:rPr>
          <w:rFonts w:ascii="Times New Roman" w:hAnsi="Times New Roman"/>
          <w:sz w:val="20"/>
        </w:rPr>
        <w:t xml:space="preserve"> that any Default or Event of Default which may occur as a result of the failure to timely meet any delivery requirements under the Loan Documents shall cease to exist upon any delivery otherwise in compliance with such requirement. </w:t>
      </w:r>
    </w:p>
    <w:p>
      <w:pPr>
        <w:pStyle w:val="TextBody"/>
        <w:bidi w:val="0"/>
        <w:spacing w:before="240" w:after="0"/>
        <w:jc w:val="left"/>
        <w:rPr>
          <w:rFonts w:ascii="Times New Roman" w:hAnsi="Times New Roman"/>
          <w:sz w:val="20"/>
        </w:rPr>
      </w:pPr>
      <w:r>
        <w:rPr>
          <w:rFonts w:ascii="Times New Roman" w:hAnsi="Times New Roman"/>
          <w:sz w:val="20"/>
        </w:rPr>
        <w:t xml:space="preserve">(f)     Holdings, Bidco or any of the Restricted Subsidiaries shall fail to make any payment (whether of principal or interest and regardless of amount) in respect of any Material Indebtedness, when and as the same shall become due and payable (after giving effect to any applicable grace period); </w:t>
      </w:r>
    </w:p>
    <w:p>
      <w:pPr>
        <w:pStyle w:val="TextBody"/>
        <w:bidi w:val="0"/>
        <w:spacing w:before="240" w:after="0"/>
        <w:jc w:val="left"/>
        <w:rPr>
          <w:rFonts w:ascii="Times New Roman" w:hAnsi="Times New Roman"/>
          <w:sz w:val="20"/>
        </w:rPr>
      </w:pPr>
      <w:r>
        <w:rPr>
          <w:rFonts w:ascii="Times New Roman" w:hAnsi="Times New Roman"/>
          <w:sz w:val="20"/>
        </w:rPr>
        <w:t xml:space="preserve">(g)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paragraph (g) shall not apply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p>
    <w:p>
      <w:pPr>
        <w:pStyle w:val="TextBody"/>
        <w:bidi w:val="0"/>
        <w:spacing w:before="0" w:after="0"/>
        <w:jc w:val="left"/>
        <w:rPr>
          <w:rFonts w:ascii="Times New Roman" w:hAnsi="Times New Roman"/>
          <w:sz w:val="20"/>
        </w:rPr>
      </w:pPr>
      <w:r>
        <w:rPr>
          <w:rFonts w:ascii="Times New Roman" w:hAnsi="Times New Roman"/>
          <w:sz w:val="20"/>
        </w:rPr>
        <w:t xml:space="preserve">(i)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w:t>
      </w:r>
      <w:r>
        <w:rPr>
          <w:rFonts w:ascii="Times New Roman" w:hAnsi="Times New Roman"/>
          <w:sz w:val="20"/>
          <w:u w:val="single"/>
        </w:rPr>
        <w:t>Section 7.01</w:t>
      </w:r>
      <w:r>
        <w:rPr>
          <w:rFonts w:ascii="Times New Roman" w:hAnsi="Times New Roman"/>
          <w:sz w:val="20"/>
        </w:rPr>
        <w:t xml:space="preserve"> will apply to any failure to make any payment required as a result of any such termination or similar event);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court protection, reorganization or other relief in respect of Holdings, any Intermediate Parent, Bidco, any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any Intermediate Parent, Bidco, any Borrower or any Material Subsidiary or for a material part of its assets, and, in any such case, such proceeding or petition shall continue undismissed and unstayed for 60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(i)     Holdings, any Intermediate Parent, Bidco, any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w:t>
      </w:r>
      <w:r>
        <w:rPr>
          <w:rFonts w:ascii="Times New Roman" w:hAnsi="Times New Roman"/>
          <w:sz w:val="20"/>
          <w:u w:val="single"/>
        </w:rPr>
        <w:t>Section 7.01</w:t>
      </w:r>
      <w:r>
        <w:rPr>
          <w:rFonts w:ascii="Times New Roman" w:hAnsi="Times New Roman"/>
          <w:sz w:val="20"/>
        </w:rPr>
        <w:t xml:space="preserve">, (iii) apply for or consent to the appointment of a receiver, trustee, examiner, custodian, sequestrator, conservator or similar official for Holdings, any Intermediate Parent, Bidco, any Borrower or any Material Subsidiary or for a material part of its assets, (iv) file an answer admitting the material allegations of a petition filed against it in any such proceeding or (v) make a general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(j)    one or more enforceable judgments for the payment of money in an aggregate amount in excess of $500,000,000 (to the extent not covered by insurance as to which the insurer has been notified of such judgment or order and has not denied coverage) shall be rendered against Holdings, any Intermediate Parent, Bidco and any of the Restricted Subsidiaries or any combination thereof and the same shall remain undischarged for a period of 90 consecutive days during which execution shall not be effectively stayed, or any judgment creditor shall legally attach or levy upon assets of such Loan Party that are material to the businesses and operations of Holdings, any Intermediate Parent, Bidco and the Restricted Subsidiaries, taken as a whole, to enforce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(k)     an ERISA Event occurs that has resulted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financing statements or (iii) as a result of acts or omissions of the Administrative Agent or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p>
    <w:p>
      <w:pPr>
        <w:pStyle w:val="TextBody"/>
        <w:bidi w:val="0"/>
        <w:spacing w:before="0" w:after="0"/>
        <w:jc w:val="left"/>
        <w:rPr>
          <w:rFonts w:ascii="Times New Roman" w:hAnsi="Times New Roman"/>
          <w:sz w:val="20"/>
        </w:rPr>
      </w:pPr>
      <w:r>
        <w:rPr>
          <w:rFonts w:ascii="Times New Roman" w:hAnsi="Times New Roman"/>
          <w:sz w:val="20"/>
        </w:rPr>
        <w:t xml:space="preserve">(m)     any material provision of any Loan Document or any Guarantee of the Loan Document Obligations shall for any reason be asserted in writing by any Loan Party not to be a legal, valid and binding obligation of any Loan Party thereto other than as expressly permitted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(n)     any Guarantees of the Loan Document Obligations by any Loan Party pursuant to the Guarantee Agreement shall cease to be in full force and effect (in each case, other than in accordance with the terms of the Loan Documents); or </w:t>
      </w:r>
    </w:p>
    <w:p>
      <w:pPr>
        <w:pStyle w:val="TextBody"/>
        <w:bidi w:val="0"/>
        <w:spacing w:before="240" w:after="0"/>
        <w:jc w:val="left"/>
        <w:rPr>
          <w:rFonts w:ascii="Times New Roman" w:hAnsi="Times New Roman"/>
          <w:sz w:val="20"/>
        </w:rPr>
      </w:pPr>
      <w:r>
        <w:rPr>
          <w:rFonts w:ascii="Times New Roman" w:hAnsi="Times New Roman"/>
          <w:sz w:val="20"/>
        </w:rPr>
        <w:t xml:space="preserve">(o)    a Change of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Holdings, any Intermediate Parent, Bidco or a Borrower described in paragraph (h) or (i) of this </w:t>
      </w:r>
      <w:r>
        <w:rPr>
          <w:rFonts w:ascii="Times New Roman" w:hAnsi="Times New Roman"/>
          <w:sz w:val="20"/>
          <w:u w:val="single"/>
        </w:rPr>
        <w:t>Section 7.01</w:t>
      </w:r>
      <w:r>
        <w:rPr>
          <w:rFonts w:ascii="Times New Roman" w:hAnsi="Times New Roman"/>
          <w:sz w:val="20"/>
        </w:rPr>
        <w:t xml:space="preserve">), and during the continuance of such event (with respect to clauses (b) (with respect to expenses only), (c), (d), (e), (f), (g), (j), (k) and (o) of this </w:t>
      </w:r>
      <w:r>
        <w:rPr>
          <w:rFonts w:ascii="Times New Roman" w:hAnsi="Times New Roman"/>
          <w:sz w:val="20"/>
          <w:u w:val="single"/>
        </w:rPr>
        <w:t>Section 7.01</w:t>
      </w:r>
      <w:r>
        <w:rPr>
          <w:rFonts w:ascii="Times New Roman" w:hAnsi="Times New Roman"/>
          <w:sz w:val="20"/>
        </w:rPr>
        <w:t xml:space="preserve">, at any time up to two years following the first public notice or notice of the Administrative Agent and Lenders of such event), the Administrative Agent may, and at the request of the Required Lenders (or, in the case of an Event of Default under </w:t>
      </w:r>
      <w:r>
        <w:rPr>
          <w:rFonts w:ascii="Times New Roman" w:hAnsi="Times New Roman"/>
          <w:sz w:val="20"/>
          <w:u w:val="single"/>
        </w:rPr>
        <w:t>Section 7.01(d)(ii)</w:t>
      </w:r>
      <w:r>
        <w:rPr>
          <w:rFonts w:ascii="Times New Roman" w:hAnsi="Times New Roman"/>
          <w:sz w:val="20"/>
        </w:rPr>
        <w:t xml:space="preserve"> after giving effect to the proviso, the Required Revolving Lenders (with respect to the Revolving Commitments and the Revolving Loans)) shall, by notice to Bidco and the Borrowers,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Borrowers deposit cash collateral with the Administrative Agent as contemplated by </w:t>
      </w:r>
      <w:r>
        <w:rPr>
          <w:rFonts w:ascii="Times New Roman" w:hAnsi="Times New Roman"/>
          <w:sz w:val="20"/>
          <w:u w:val="single"/>
        </w:rPr>
        <w:t>Section 2.04(j)</w:t>
      </w:r>
      <w:r>
        <w:rPr>
          <w:rFonts w:ascii="Times New Roman" w:hAnsi="Times New Roman"/>
          <w:sz w:val="20"/>
        </w:rPr>
        <w:t xml:space="preserve"> in the aggregate LC Exposure of all outstanding Letters of Credit and thereupon the principal of the Loans and the LC Exposure of all Letters of Credit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Holdings, Bidco or a Borrower described in paragraph (h) or (i) of this </w:t>
      </w:r>
      <w:r>
        <w:rPr>
          <w:rFonts w:ascii="Times New Roman" w:hAnsi="Times New Roman"/>
          <w:sz w:val="20"/>
          <w:u w:val="single"/>
        </w:rPr>
        <w:t>Section 7.01</w:t>
      </w:r>
      <w:r>
        <w:rPr>
          <w:rFonts w:ascii="Times New Roman" w:hAnsi="Times New Roman"/>
          <w:sz w:val="20"/>
        </w:rPr>
        <w:t xml:space="preserv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Any time period to cure any actual or alleged Default or Event of Default may be extended or stayed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any “going concern” or like qualification or exception in connection with (x) an upcoming maturity date of any Indebtedness, (y) any actual failure to satisfy a financial maintenance covenant or any potential inability to satisfy a financial maintenance covenant on a future date or in a future period or (z) any projected Default or Event of Default or a civil investigative demand, subpoena or similar request arising from any investigation by any Governmental Authority or any claim, litigation, investigation or proceeding arising from or relating to any of the foregoing, in each case in connection with financial statements delivered pursuant to </w:t>
      </w:r>
      <w:r>
        <w:rPr>
          <w:rFonts w:ascii="Times New Roman" w:hAnsi="Times New Roman"/>
          <w:sz w:val="20"/>
          <w:u w:val="single"/>
        </w:rPr>
        <w:t>Section 5.01(a)</w:t>
      </w:r>
      <w:r>
        <w:rPr>
          <w:rFonts w:ascii="Times New Roman" w:hAnsi="Times New Roman"/>
          <w:sz w:val="20"/>
        </w:rPr>
        <w:t xml:space="preserve"> shall not be a Default or Event of Default and (ii) any Default or Event of Default which may have occurred shall cease to exist upon compliance with such requirement, including with respect to an Event of Default pursuant to (x) </w:t>
      </w:r>
      <w:r>
        <w:rPr>
          <w:rFonts w:ascii="Times New Roman" w:hAnsi="Times New Roman"/>
          <w:sz w:val="20"/>
          <w:u w:val="single"/>
        </w:rPr>
        <w:t>Section 7.01(a)</w:t>
      </w:r>
      <w:r>
        <w:rPr>
          <w:rFonts w:ascii="Times New Roman" w:hAnsi="Times New Roman"/>
          <w:sz w:val="20"/>
        </w:rPr>
        <w:t xml:space="preserve"> or </w:t>
      </w:r>
      <w:r>
        <w:rPr>
          <w:rFonts w:ascii="Times New Roman" w:hAnsi="Times New Roman"/>
          <w:sz w:val="20"/>
          <w:u w:val="single"/>
        </w:rPr>
        <w:t>Section 7.01(b)</w:t>
      </w:r>
      <w:r>
        <w:rPr>
          <w:rFonts w:ascii="Times New Roman" w:hAnsi="Times New Roman"/>
          <w:sz w:val="20"/>
        </w:rPr>
        <w:t xml:space="preserve">, upon payment of any overdue amounts and (y) the failure to timely meet any delivery requirements under the Loan Documents, upon any delivery otherwise in compliance with such requirement and (iii) the failure of any representation or warranty (other than the Major Representations) to be true and correct on the Effective Date will not constitute a Default or Event of Default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of any Loan Document, during the Certain Funds Period none of the Lenders shall: </w:t>
      </w:r>
    </w:p>
    <w:p>
      <w:pPr>
        <w:pStyle w:val="TextBody"/>
        <w:bidi w:val="0"/>
        <w:spacing w:before="240" w:after="0"/>
        <w:jc w:val="left"/>
        <w:rPr>
          <w:rFonts w:ascii="Times New Roman" w:hAnsi="Times New Roman"/>
          <w:sz w:val="20"/>
        </w:rPr>
      </w:pPr>
      <w:r>
        <w:rPr>
          <w:rFonts w:ascii="Times New Roman" w:hAnsi="Times New Roman"/>
          <w:sz w:val="20"/>
        </w:rPr>
        <w:t xml:space="preserve">(a)     refuse to participate in or make available any Certain Funds Utilization, provided that the conditions in paragraphs (a) through (l) of </w:t>
      </w:r>
      <w:r>
        <w:rPr>
          <w:rFonts w:ascii="Times New Roman" w:hAnsi="Times New Roman"/>
          <w:sz w:val="20"/>
          <w:u w:val="single"/>
        </w:rPr>
        <w:t>Section 4.01</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be entitled to take any action to rescind, terminate or cancel this Agreement (or any provision hereof or obligation hereunder) or any utilization of any Loan or Commitment; </w:t>
      </w:r>
    </w:p>
    <w:p>
      <w:pPr>
        <w:pStyle w:val="TextBody"/>
        <w:bidi w:val="0"/>
        <w:spacing w:before="240" w:after="0"/>
        <w:jc w:val="left"/>
        <w:rPr>
          <w:rFonts w:ascii="Times New Roman" w:hAnsi="Times New Roman"/>
          <w:sz w:val="20"/>
        </w:rPr>
      </w:pPr>
      <w:r>
        <w:rPr>
          <w:rFonts w:ascii="Times New Roman" w:hAnsi="Times New Roman"/>
          <w:sz w:val="20"/>
        </w:rPr>
        <w:t xml:space="preserve">(c)    exercise any right of set-off or counterclaim in respect of any utilization of any Loan or Commitment; </w:t>
      </w:r>
    </w:p>
    <w:p>
      <w:pPr>
        <w:pStyle w:val="TextBody"/>
        <w:bidi w:val="0"/>
        <w:spacing w:before="240" w:after="0"/>
        <w:jc w:val="left"/>
        <w:rPr>
          <w:rFonts w:ascii="Times New Roman" w:hAnsi="Times New Roman"/>
          <w:sz w:val="20"/>
        </w:rPr>
      </w:pPr>
      <w:r>
        <w:rPr>
          <w:rFonts w:ascii="Times New Roman" w:hAnsi="Times New Roman"/>
          <w:sz w:val="20"/>
        </w:rPr>
        <w:t xml:space="preserve">(d)     accelerate any utilization of any Loan or otherwise demand or require repayment or prepayment of any sum from any Loan Party; or </w:t>
      </w:r>
    </w:p>
    <w:p>
      <w:pPr>
        <w:pStyle w:val="TextBody"/>
        <w:bidi w:val="0"/>
        <w:spacing w:before="240" w:after="0"/>
        <w:jc w:val="left"/>
        <w:rPr>
          <w:rFonts w:ascii="Times New Roman" w:hAnsi="Times New Roman"/>
          <w:sz w:val="20"/>
        </w:rPr>
      </w:pPr>
      <w:r>
        <w:rPr>
          <w:rFonts w:ascii="Times New Roman" w:hAnsi="Times New Roman"/>
          <w:sz w:val="20"/>
        </w:rPr>
        <w:t xml:space="preserve">(e)    enforce (or instruct the Administrative Agent and/or Collateral Agent to enforce) any Collateral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unless at any time the conditions in paragraph (i) of </w:t>
      </w:r>
      <w:r>
        <w:rPr>
          <w:rFonts w:ascii="Times New Roman" w:hAnsi="Times New Roman"/>
          <w:sz w:val="20"/>
          <w:u w:val="single"/>
        </w:rPr>
        <w:t>Section 4.01</w:t>
      </w:r>
      <w:r>
        <w:rPr>
          <w:rFonts w:ascii="Times New Roman" w:hAnsi="Times New Roman"/>
          <w:sz w:val="20"/>
        </w:rPr>
        <w:t xml:space="preserve"> is not satisfied (which, in respect of paragraph (i)(ii) of </w:t>
      </w:r>
      <w:r>
        <w:rPr>
          <w:rFonts w:ascii="Times New Roman" w:hAnsi="Times New Roman"/>
          <w:sz w:val="20"/>
          <w:u w:val="single"/>
        </w:rPr>
        <w:t>Section 4.01</w:t>
      </w:r>
      <w:r>
        <w:rPr>
          <w:rFonts w:ascii="Times New Roman" w:hAnsi="Times New Roman"/>
          <w:sz w:val="20"/>
        </w:rPr>
        <w:t xml:space="preserve">, shall allow the relevant Lender to take such action in respect of itself only and shall not permit any other Lender to take such action), </w:t>
      </w:r>
      <w:r>
        <w:rPr>
          <w:rFonts w:ascii="Times New Roman" w:hAnsi="Times New Roman"/>
          <w:sz w:val="20"/>
          <w:u w:val="single"/>
        </w:rPr>
        <w:t>provided</w:t>
      </w:r>
      <w:r>
        <w:rPr>
          <w:rFonts w:ascii="Times New Roman" w:hAnsi="Times New Roman"/>
          <w:sz w:val="20"/>
        </w:rPr>
        <w:t xml:space="preserve"> that, immediately upon the expiry of the Certain Funds Period, all such rights, remedies and entitlements shall be available to the Lenders, notwithstanding that they may not have been used or been available for use during the Certain Funds Period. </w:t>
      </w:r>
    </w:p>
    <w:p>
      <w:pPr>
        <w:pStyle w:val="TextBody"/>
        <w:bidi w:val="0"/>
        <w:spacing w:before="360" w:after="0"/>
        <w:jc w:val="left"/>
        <w:rPr>
          <w:rFonts w:ascii="Times New Roman" w:hAnsi="Times New Roman"/>
          <w:sz w:val="20"/>
        </w:rPr>
      </w:pPr>
      <w:r>
        <w:rPr>
          <w:rFonts w:ascii="Times New Roman" w:hAnsi="Times New Roman"/>
          <w:sz w:val="20"/>
        </w:rPr>
        <w:t>SECTION 7.02    </w:t>
      </w:r>
      <w:r>
        <w:rPr>
          <w:rFonts w:ascii="Times New Roman" w:hAnsi="Times New Roman"/>
          <w:sz w:val="20"/>
          <w:u w:val="single"/>
        </w:rPr>
        <w:t>Right to Cure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contained in </w:t>
      </w:r>
      <w:r>
        <w:rPr>
          <w:rFonts w:ascii="Times New Roman" w:hAnsi="Times New Roman"/>
          <w:sz w:val="20"/>
          <w:u w:val="single"/>
        </w:rPr>
        <w:t>Section 7.01</w:t>
      </w:r>
      <w:r>
        <w:rPr>
          <w:rFonts w:ascii="Times New Roman" w:hAnsi="Times New Roman"/>
          <w:sz w:val="20"/>
        </w:rPr>
        <w:t xml:space="preserve">, in the event that Bidco and the Restricted Subsidiaries fail to comply with the requirements of the Financial Performance Covenant (if applicable) as of the last day of any applicable fiscal quarter of Bidco,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as applicable, Holdings shall have the right to issue Qualified Equity Interests for cash or otherwise receive cash contributions to the capital of Holdings as cash common equity or other Qualified Equity Interests or Subordinated Shareholder Liabilities (which Holdings shall contribute, through its subsidiaries if applicable, to Bidco as cash common equity or other Qualified Equity Interests) (collectively, the “</w:t>
      </w:r>
      <w:r>
        <w:rPr>
          <w:rFonts w:ascii="Times New Roman" w:hAnsi="Times New Roman"/>
          <w:sz w:val="20"/>
          <w:u w:val="single"/>
        </w:rPr>
        <w:t>Cure Right</w:t>
      </w:r>
      <w:r>
        <w:rPr>
          <w:rFonts w:ascii="Times New Roman" w:hAnsi="Times New Roman"/>
          <w:sz w:val="20"/>
        </w:rPr>
        <w:t>”), and upon the receipt by Bidco of the Net Proceeds of such issuance (the “</w:t>
      </w:r>
      <w:r>
        <w:rPr>
          <w:rFonts w:ascii="Times New Roman" w:hAnsi="Times New Roman"/>
          <w:sz w:val="20"/>
          <w:u w:val="single"/>
        </w:rPr>
        <w:t>Cure Amount</w:t>
      </w:r>
      <w:r>
        <w:rPr>
          <w:rFonts w:ascii="Times New Roman" w:hAnsi="Times New Roman"/>
          <w:sz w:val="20"/>
        </w:rPr>
        <w:t xml:space="preserve">”) pursuant to the exercise by Holdings of such Cure Right, the Financial Performance Covenant shall be recalculated giving effect to one of the following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 </w:t>
      </w:r>
    </w:p>
    <w:p>
      <w:pPr>
        <w:pStyle w:val="TextBody"/>
        <w:bidi w:val="0"/>
        <w:spacing w:before="120" w:after="0"/>
        <w:jc w:val="left"/>
        <w:rPr>
          <w:rFonts w:ascii="Times New Roman" w:hAnsi="Times New Roman"/>
          <w:sz w:val="20"/>
        </w:rPr>
      </w:pPr>
      <w:r>
        <w:rPr>
          <w:rFonts w:ascii="Times New Roman" w:hAnsi="Times New Roman"/>
          <w:sz w:val="20"/>
        </w:rPr>
        <w:t xml:space="preserve">(ii)     Revolving Borrowings with respect to such applicable fiscal quarter shall be reduced to an amount below the greater of (x) $280,000,000 and (y) 40% of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p>
    <w:p>
      <w:pPr>
        <w:pStyle w:val="TextBody"/>
        <w:bidi w:val="0"/>
        <w:spacing w:before="0" w:after="0"/>
        <w:jc w:val="left"/>
        <w:rPr>
          <w:rFonts w:ascii="Times New Roman" w:hAnsi="Times New Roman"/>
          <w:sz w:val="20"/>
        </w:rPr>
      </w:pPr>
      <w:r>
        <w:rPr>
          <w:rFonts w:ascii="Times New Roman" w:hAnsi="Times New Roman"/>
          <w:sz w:val="20"/>
        </w:rPr>
        <w:t xml:space="preserve">principal amount of Revolving Commitments then in effect (after including any Incremental Revolving Commitment Increase then in effect) such that the Financial Performance Covenant would not have been required to have been tested on the last day of such fiscal quarter; and </w:t>
      </w:r>
    </w:p>
    <w:p>
      <w:pPr>
        <w:pStyle w:val="TextBody"/>
        <w:bidi w:val="0"/>
        <w:spacing w:before="240" w:after="0"/>
        <w:jc w:val="left"/>
        <w:rPr>
          <w:rFonts w:ascii="Times New Roman" w:hAnsi="Times New Roman"/>
          <w:sz w:val="20"/>
        </w:rPr>
      </w:pPr>
      <w:r>
        <w:rPr>
          <w:rFonts w:ascii="Times New Roman" w:hAnsi="Times New Roman"/>
          <w:sz w:val="20"/>
        </w:rPr>
        <w:t xml:space="preserve">if, after giving effect to either of the foregoing Pro Forma Adjustments, Bidco and the Restricted Subsidiaries shall then be in compliance with the Senior Secured First Lien Net Leverage Ratio contained in the Financial Performance Covenant or the Financial Performance Covenant is not applicable for such fiscal quarter, Bidco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 in each four consecutive fiscal quarter period of Bidco there shall be at least one (1) fiscal quarter in which the Cure Right is not exercised, (ii) during the term of this Agreement, the Cure Right shall not be exercised more than five (5) times and (iii) for purposes of this </w:t>
      </w:r>
      <w:r>
        <w:rPr>
          <w:rFonts w:ascii="Times New Roman" w:hAnsi="Times New Roman"/>
          <w:sz w:val="20"/>
          <w:u w:val="single"/>
        </w:rPr>
        <w:t>Section 7.02</w:t>
      </w:r>
      <w:r>
        <w:rPr>
          <w:rFonts w:ascii="Times New Roman" w:hAnsi="Times New Roman"/>
          <w:sz w:val="20"/>
        </w:rPr>
        <w:t xml:space="preserve">, the Cure Amount shall be no greater than the amount required for purposes of complying with the Senior Secured First Lien Net Leverage Ratio contained in the Financial Performance Covenant or reducing the outstanding Revolving Borrowings to below the greater of (x) $280,000.000 and (y) 40% of the aggregate principal amount of Revolving Commitments then in effect (after including any Incremental Revolving Commitment Increase then in effect), as applicable,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w:t>
      </w:r>
      <w:r>
        <w:rPr>
          <w:rFonts w:ascii="Times New Roman" w:hAnsi="Times New Roman"/>
          <w:sz w:val="20"/>
          <w:u w:val="single"/>
        </w:rPr>
        <w:t>Article VI</w:t>
      </w:r>
      <w:r>
        <w:rPr>
          <w:rFonts w:ascii="Times New Roman" w:hAnsi="Times New Roman"/>
          <w:sz w:val="20"/>
        </w:rPr>
        <w:t xml:space="preserve"> of this Agreement. For the avoidance of doubt, to the extent such Cure Amounts are applied to prepay Indebtedness, such reduction may be given effect in determining compliance with the Financial Performance Covenant for fiscal quarters after the fiscal quarter in which such Cure Right was made and there shall not have been a breach of any covenant under </w:t>
      </w:r>
      <w:r>
        <w:rPr>
          <w:rFonts w:ascii="Times New Roman" w:hAnsi="Times New Roman"/>
          <w:sz w:val="20"/>
          <w:u w:val="single"/>
        </w:rPr>
        <w:t>Article VI</w:t>
      </w:r>
      <w:r>
        <w:rPr>
          <w:rFonts w:ascii="Times New Roman" w:hAnsi="Times New Roman"/>
          <w:sz w:val="20"/>
        </w:rPr>
        <w:t xml:space="preserve"> of this Agreement by reason of having no longer included such Cure Amount in any basket during the relevant period. </w:t>
      </w:r>
    </w:p>
    <w:p>
      <w:pPr>
        <w:pStyle w:val="TextBody"/>
        <w:bidi w:val="0"/>
        <w:spacing w:before="360" w:after="0"/>
        <w:jc w:val="left"/>
        <w:rPr>
          <w:rFonts w:ascii="Times New Roman" w:hAnsi="Times New Roman"/>
          <w:sz w:val="20"/>
        </w:rPr>
      </w:pPr>
      <w:r>
        <w:rPr>
          <w:rFonts w:ascii="Times New Roman" w:hAnsi="Times New Roman"/>
          <w:sz w:val="20"/>
        </w:rPr>
        <w:t>SECTION 7.03    </w:t>
      </w:r>
      <w:r>
        <w:rPr>
          <w:rFonts w:ascii="Times New Roman" w:hAnsi="Times New Roman"/>
          <w:sz w:val="20"/>
          <w:u w:val="single"/>
        </w:rPr>
        <w:t>Application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exercise of remedies provided for in </w:t>
      </w:r>
      <w:r>
        <w:rPr>
          <w:rFonts w:ascii="Times New Roman" w:hAnsi="Times New Roman"/>
          <w:sz w:val="20"/>
          <w:u w:val="single"/>
        </w:rPr>
        <w:t>Section 7.01</w:t>
      </w:r>
      <w:r>
        <w:rPr>
          <w:rFonts w:ascii="Times New Roman" w:hAnsi="Times New Roman"/>
          <w:sz w:val="20"/>
        </w:rPr>
        <w:t xml:space="preserve">, any amounts received on account of the Secured Obligations shall be applied by the Administrative Agent, in accordance with the following provision and/or the similar provisions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any applicable intercreditor agreement then in effect and contemplated by this Agreement, the Collateral Agent shall apply the proceeds of any collection or sale of Collateral, including any Collateral consisting of cash,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reasonable and documented or invoiced out-of-pocket costs and expenses incurred by the Administrative Agent and the Collateral Agent in connection with such collection or sale or otherwise in connection with this Agreement, any other Loan Document or any of the Secured Obligations, including all reasonable and documented or invoiced out-of-pocket court costs and the fees and expenses of its agents and legal counsel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 of the Initial Term Loans or the Amendment No. 1 Refinancing Term Loans, to occur on or prior to or otherwise in connection with the Effective Date) and to the extent reasonably determined by the Administrative Agent to be necessary, one local counsel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p>
    <w:p>
      <w:pPr>
        <w:pStyle w:val="TextBody"/>
        <w:bidi w:val="0"/>
        <w:spacing w:before="0" w:after="0"/>
        <w:jc w:val="left"/>
        <w:rPr>
          <w:rFonts w:ascii="Times New Roman" w:hAnsi="Times New Roman"/>
          <w:sz w:val="20"/>
        </w:rPr>
      </w:pPr>
      <w:r>
        <w:rPr>
          <w:rFonts w:ascii="Times New Roman" w:hAnsi="Times New Roman"/>
          <w:sz w:val="20"/>
        </w:rPr>
        <w:t xml:space="preserve">relevant material jurisdiction and, in the case of an actual or perceived conflict of interest where the Collateral Agent or any Lender affected by such conflict notifies the Borrower of the existence of such conflict and thereafter retains its own counsel, one additional conflicts counsel and (y) the fees and expenses of any other advisor or consultant, to the reasonable, documented and invoiced fees, charges and disbursements of such advisor or consultant, but solely to the extent that such consultant or advisor has been retained with the Borrower’s consent (such consent not to be unreasonably withheld or delayed)), the repayment of all advances made by the Administrative Agent or the Collateral Agent hereunder or under any other Loan Document on behalf of any Grantor and any other costs or expenses incurred in connection with the exercise of any right or remedy hereunder or under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SECOND, to the payment in full of the Secured Obligations (the amounts so applied to be distributed among the Secured Parties pro rata in accordance with the amounts of the Secured Obligations owed to them on the date of any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THIRD, to any agent of any junior secured debt, in accordance with any applicable intercreditor agreement then in effect and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FOURTH, to the Loan Parties, their successors or assigns, or as a court of competent jurisdiction may otherwise direct.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Agent shall have sole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8.01    </w:t>
      </w:r>
      <w:r>
        <w:rPr>
          <w:rFonts w:ascii="Times New Roman" w:hAnsi="Times New Roman"/>
          <w:sz w:val="20"/>
          <w:u w:val="single"/>
        </w:rPr>
        <w:t>Appointment and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Lenders and the Issuing Bank hereby irrevocably appoints Barclays Bank PLC to act on its behalf as the Administrative Agent and Collateral Agent hereunder and under the other Loan Documents and authorizes the Administrative Agent to take such actions on its behalf and to exercise such powers as are delegated to the Administrative Agent and Collateral Agent by the terms hereof or thereof, together with such actions and powers as are reasonably incidental thereto. The provisions of this </w:t>
      </w:r>
      <w:r>
        <w:rPr>
          <w:rFonts w:ascii="Times New Roman" w:hAnsi="Times New Roman"/>
          <w:sz w:val="20"/>
          <w:u w:val="single"/>
        </w:rPr>
        <w:t>Article VIII</w:t>
      </w:r>
      <w:r>
        <w:rPr>
          <w:rFonts w:ascii="Times New Roman" w:hAnsi="Times New Roman"/>
          <w:sz w:val="20"/>
        </w:rPr>
        <w:t xml:space="preserve"> are solely for the benefit of the Administrative Agent and the Collateral Agent, the Lenders and the Issuing Bank, and neither Bidco nor any other Loan Party shall have rights as a third party beneficiary of any of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also act as the “Collateral Agent” under the Loan Documents, and each of the Lenders and the Issuing Bank hereby irrevocably appoints and authorizes the Collateral Agent to act as the agent of such Lender and the Issuing Bank for purposes of acquiring, holding and enforcing any and all Liens on Collateral granted by any of the Loan Parties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p>
    <w:p>
      <w:pPr>
        <w:pStyle w:val="TextBody"/>
        <w:bidi w:val="0"/>
        <w:spacing w:before="0" w:after="0"/>
        <w:jc w:val="left"/>
        <w:rPr>
          <w:rFonts w:ascii="Times New Roman" w:hAnsi="Times New Roman"/>
          <w:sz w:val="20"/>
        </w:rPr>
      </w:pPr>
      <w:r>
        <w:rPr>
          <w:rFonts w:ascii="Times New Roman" w:hAnsi="Times New Roman"/>
          <w:sz w:val="20"/>
        </w:rPr>
        <w:t xml:space="preserve">secure any of the Secured Obligations, together with such powers and discretion as are reasonably incidental thereto. In this connection, the Collateral Agent and any co-agents, sub-agents and attorneys-in-fact appointed by the Administrative Agent and Collateral Agent pursuant to </w:t>
      </w:r>
      <w:r>
        <w:rPr>
          <w:rFonts w:ascii="Times New Roman" w:hAnsi="Times New Roman"/>
          <w:sz w:val="20"/>
          <w:u w:val="single"/>
        </w:rPr>
        <w:t>Section 8.05</w:t>
      </w:r>
      <w:r>
        <w:rPr>
          <w:rFonts w:ascii="Times New Roman" w:hAnsi="Times New Roman"/>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(including </w:t>
      </w:r>
      <w:r>
        <w:rPr>
          <w:rFonts w:ascii="Times New Roman" w:hAnsi="Times New Roman"/>
          <w:sz w:val="20"/>
          <w:u w:val="single"/>
        </w:rPr>
        <w:t>Section 9.03</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360" w:after="0"/>
        <w:jc w:val="left"/>
        <w:rPr>
          <w:rFonts w:ascii="Times New Roman" w:hAnsi="Times New Roman"/>
          <w:sz w:val="20"/>
        </w:rPr>
      </w:pPr>
      <w:r>
        <w:rPr>
          <w:rFonts w:ascii="Times New Roman" w:hAnsi="Times New Roman"/>
          <w:sz w:val="20"/>
        </w:rPr>
        <w:t>SECTION 8.02    </w:t>
      </w:r>
      <w:r>
        <w:rPr>
          <w:rFonts w:ascii="Times New Roman" w:hAnsi="Times New Roman"/>
          <w:sz w:val="20"/>
          <w:u w:val="single"/>
        </w:rPr>
        <w:t>Rights as a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Bidco or any Subsidiary or other Affiliate thereof as if such Person were not the Administrative Agent hereunder and without any duty to account therefor to the Lenders. </w:t>
      </w:r>
    </w:p>
    <w:p>
      <w:pPr>
        <w:pStyle w:val="TextBody"/>
        <w:bidi w:val="0"/>
        <w:spacing w:before="360" w:after="0"/>
        <w:jc w:val="left"/>
        <w:rPr>
          <w:rFonts w:ascii="Times New Roman" w:hAnsi="Times New Roman"/>
          <w:sz w:val="20"/>
        </w:rPr>
      </w:pPr>
      <w:r>
        <w:rPr>
          <w:rFonts w:ascii="Times New Roman" w:hAnsi="Times New Roman"/>
          <w:sz w:val="20"/>
        </w:rPr>
        <w:t>SECTION 8.03    </w:t>
      </w:r>
      <w:r>
        <w:rPr>
          <w:rFonts w:ascii="Times New Roman" w:hAnsi="Times New Roman"/>
          <w:sz w:val="20"/>
          <w:u w:val="single"/>
        </w:rPr>
        <w:t>Exculpatory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have any duties or obligations except those expressly set forth herein and in the other Loan Documents. Without limiting the generality of the foregoing,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Bidco or any of its Affiliates that is communicated to or obtained by the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9.02</w:t>
      </w:r>
      <w:r>
        <w:rPr>
          <w:rFonts w:ascii="Times New Roman" w:hAnsi="Times New Roman"/>
          <w:sz w:val="20"/>
        </w:rPr>
        <w:t xml:space="preserve"> and in the last paragraph of </w:t>
      </w:r>
      <w:r>
        <w:rPr>
          <w:rFonts w:ascii="Times New Roman" w:hAnsi="Times New Roman"/>
          <w:sz w:val="20"/>
          <w:u w:val="single"/>
        </w:rPr>
        <w:t>Section 7.01</w:t>
      </w:r>
      <w:r>
        <w:rPr>
          <w:rFonts w:ascii="Times New Roman" w:hAnsi="Times New Roman"/>
          <w:sz w:val="20"/>
        </w:rPr>
        <w:t xml:space="preserve">) or (ii) in the absence of its own gross negligence, bad faith or willful misconduct as determined by a court of competent jurisdiction by final and non-appealable judgment; </w:t>
      </w:r>
      <w:r>
        <w:rPr>
          <w:rFonts w:ascii="Times New Roman" w:hAnsi="Times New Roman"/>
          <w:sz w:val="20"/>
          <w:u w:val="single"/>
        </w:rPr>
        <w:t>provided</w:t>
      </w:r>
      <w:r>
        <w:rPr>
          <w:rFonts w:ascii="Times New Roman" w:hAnsi="Times New Roman"/>
          <w:sz w:val="20"/>
        </w:rPr>
        <w:t xml:space="preserve"> that the Administrative Agent shall be deemed not to have knowledge of any Default unless and until written notice describing such Default is given to the Administrative Agent by Bidco, a Borrower, a Lender or the Issuing Bank;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p>
    <w:p>
      <w:pPr>
        <w:pStyle w:val="TextBody"/>
        <w:bidi w:val="0"/>
        <w:spacing w:before="0" w:after="0"/>
        <w:jc w:val="left"/>
        <w:rPr>
          <w:rFonts w:ascii="Times New Roman" w:hAnsi="Times New Roman"/>
          <w:sz w:val="20"/>
        </w:rPr>
      </w:pPr>
      <w:r>
        <w:rPr>
          <w:rFonts w:ascii="Times New Roman" w:hAnsi="Times New Roman"/>
          <w:sz w:val="20"/>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360" w:after="0"/>
        <w:jc w:val="left"/>
        <w:rPr>
          <w:rFonts w:ascii="Times New Roman" w:hAnsi="Times New Roman"/>
          <w:sz w:val="20"/>
        </w:rPr>
      </w:pPr>
      <w:r>
        <w:rPr>
          <w:rFonts w:ascii="Times New Roman" w:hAnsi="Times New Roman"/>
          <w:sz w:val="20"/>
        </w:rPr>
        <w:t>SECTION 8.04    </w:t>
      </w:r>
      <w:r>
        <w:rPr>
          <w:rFonts w:ascii="Times New Roman" w:hAnsi="Times New Roman"/>
          <w:sz w:val="20"/>
          <w:u w:val="single"/>
        </w:rPr>
        <w:t>Reliance by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Bidco), independent accountants and other experts selected by it, and shall not be liable for any action taken or not taken by it in accordance with the advice of any such counsel, accountants or experts. </w:t>
      </w:r>
    </w:p>
    <w:p>
      <w:pPr>
        <w:pStyle w:val="TextBody"/>
        <w:bidi w:val="0"/>
        <w:spacing w:before="360" w:after="0"/>
        <w:jc w:val="left"/>
        <w:rPr>
          <w:rFonts w:ascii="Times New Roman" w:hAnsi="Times New Roman"/>
          <w:sz w:val="20"/>
        </w:rPr>
      </w:pPr>
      <w:r>
        <w:rPr>
          <w:rFonts w:ascii="Times New Roman" w:hAnsi="Times New Roman"/>
          <w:sz w:val="20"/>
        </w:rPr>
        <w:t>SECTION 8.05    </w:t>
      </w:r>
      <w:r>
        <w:rPr>
          <w:rFonts w:ascii="Times New Roman" w:hAnsi="Times New Roman"/>
          <w:sz w:val="20"/>
          <w:u w:val="single"/>
        </w:rPr>
        <w:t>Delegation of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hAnsi="Times New Roman"/>
          <w:sz w:val="20"/>
          <w:u w:val="single"/>
        </w:rPr>
        <w:t>Article VIII</w:t>
      </w:r>
      <w:r>
        <w:rPr>
          <w:rFonts w:ascii="Times New Roman" w:hAnsi="Times New Roman"/>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w:t>
      </w:r>
    </w:p>
    <w:p>
      <w:pPr>
        <w:pStyle w:val="TextBody"/>
        <w:bidi w:val="0"/>
        <w:spacing w:before="360" w:after="0"/>
        <w:jc w:val="left"/>
        <w:rPr>
          <w:rFonts w:ascii="Times New Roman" w:hAnsi="Times New Roman"/>
          <w:sz w:val="20"/>
        </w:rPr>
      </w:pPr>
      <w:r>
        <w:rPr>
          <w:rFonts w:ascii="Times New Roman" w:hAnsi="Times New Roman"/>
          <w:sz w:val="20"/>
        </w:rPr>
        <w:t>SECTION 8.06    </w:t>
      </w:r>
      <w:r>
        <w:rPr>
          <w:rFonts w:ascii="Times New Roman" w:hAnsi="Times New Roman"/>
          <w:sz w:val="20"/>
          <w:u w:val="single"/>
        </w:rPr>
        <w:t>Resignation of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appointment and acceptance of a successor Administrative Agent as provided in this paragraph, the Administrative Agent may resign upon thirty (30) days’ notice to the Lenders, the Issuing Banks, Bidco and the Borrowers. Upon receipt of any such notice of resignation, the Required Lenders shall have the right, with Bidco’s consent (unless a Specified Event of Default has occurred and is continuing)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p>
    <w:p>
      <w:pPr>
        <w:pStyle w:val="TextBody"/>
        <w:bidi w:val="0"/>
        <w:spacing w:before="0" w:after="0"/>
        <w:jc w:val="left"/>
        <w:rPr>
          <w:rFonts w:ascii="Times New Roman" w:hAnsi="Times New Roman"/>
          <w:sz w:val="20"/>
        </w:rPr>
      </w:pPr>
      <w:r>
        <w:rPr>
          <w:rFonts w:ascii="Times New Roman" w:hAnsi="Times New Roman"/>
          <w:sz w:val="20"/>
        </w:rPr>
        <w:t>and shall have accepted such appointment within thirty (30) days after the retiring Administrative Agent gives notice of its resignation, then such resignation shall nevertheless be effective and the retiring Administrative Agent may (but shall not be obligated to) on behalf of 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Times New Roman" w:hAnsi="Times New Roman"/>
          <w:sz w:val="20"/>
          <w:u w:val="single"/>
        </w:rPr>
        <w:t>Resignation Effective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 Administrative Agent shall notify Bidco, the Borrowers and the Lenders that no qualifying Person accepted such appointment, then such resignation shall nonetheless become effective in accordance with such notice. </w:t>
      </w:r>
    </w:p>
    <w:p>
      <w:pPr>
        <w:pStyle w:val="TextBody"/>
        <w:bidi w:val="0"/>
        <w:spacing w:before="240" w:after="0"/>
        <w:jc w:val="left"/>
        <w:rPr>
          <w:rFonts w:ascii="Times New Roman" w:hAnsi="Times New Roman"/>
          <w:sz w:val="20"/>
        </w:rPr>
      </w:pPr>
      <w:r>
        <w:rPr>
          <w:rFonts w:ascii="Times New Roman" w:hAnsi="Times New Roman"/>
          <w:sz w:val="20"/>
        </w:rPr>
        <w:t>If the Person serving as Administrative Agent is a Defaulting Lender, the Required Lenders and Holdings may, to the extent permitted by applicable law, by notice in writing to such Person remove such Person as Administrative Agent and, with the consent of Bidco, appoint a successor. If no such successor shall have been so appointed by the Required Lenders and shall have accepted such appointment within thirty (30) days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all steps necessary to assign or otherwise transfer the security to the successor Administrative Agent (and perfect such transfer or assignment) have been completed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w:t>
      </w:r>
      <w:r>
        <w:rPr>
          <w:rFonts w:ascii="Times New Roman" w:hAnsi="Times New Roman"/>
          <w:sz w:val="20"/>
          <w:u w:val="single"/>
        </w:rPr>
        <w:t>Section 8.06</w:t>
      </w:r>
      <w:r>
        <w:rPr>
          <w:rFonts w:ascii="Times New Roman" w:hAnsi="Times New Roman"/>
          <w:sz w:val="20"/>
        </w:rPr>
        <w:t xml:space="preserve">.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Section 9.04</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sz w:val="20"/>
          <w:u w:val="single"/>
        </w:rPr>
        <w:t>Section 2.04(l)</w:t>
      </w:r>
      <w:r>
        <w:rPr>
          <w:rFonts w:ascii="Times New Roman" w:hAnsi="Times New Roman"/>
          <w:sz w:val="20"/>
        </w:rPr>
        <w:t xml:space="preserve">, any resignation by Barclays Bank PLC as Administrative Agent pursuant to this </w:t>
      </w:r>
      <w:r>
        <w:rPr>
          <w:rFonts w:ascii="Times New Roman" w:hAnsi="Times New Roman"/>
          <w:sz w:val="20"/>
          <w:u w:val="single"/>
        </w:rPr>
        <w:t>Section 8.06</w:t>
      </w:r>
      <w:r>
        <w:rPr>
          <w:rFonts w:ascii="Times New Roman" w:hAnsi="Times New Roman"/>
          <w:sz w:val="20"/>
        </w:rPr>
        <w:t xml:space="preserve"> shall, unless Barclays Bank PLC gives notice to Bidco and the Borrowers otherwise, also constitute its resignation as an Issuing Bank and Swingline Lender and such resignation as an Issuing Bank and Swingline Lender shall become effective simultaneously with the discharge of the Administrative Agent from its duties and obligations as set forth in the immediately preceding paragraph (except as to already outstanding Letters of Credit, as to which such Issuing Bank shall continue in such capacities until the LC Exposure relating thereto shall be reduced to zero, or until the successor Administrative Agent shall succeed to the role of an Issuing Bank in accordance with the next sentence and perform the actions required by the next sentence).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p>
    <w:p>
      <w:pPr>
        <w:pStyle w:val="TextBody"/>
        <w:bidi w:val="0"/>
        <w:spacing w:before="0" w:after="0"/>
        <w:jc w:val="left"/>
        <w:rPr>
          <w:rFonts w:ascii="Times New Roman" w:hAnsi="Times New Roman"/>
          <w:sz w:val="20"/>
        </w:rPr>
      </w:pPr>
      <w:r>
        <w:rPr>
          <w:rFonts w:ascii="Times New Roman" w:hAnsi="Times New Roman"/>
          <w:sz w:val="20"/>
        </w:rPr>
        <w:t xml:space="preserve">acceptance of a successor’s appointment as Administrative Agent hereunder, unless Barclays Bank PLC and such successor give notice to Bidco and the Borrowers otherwise,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360" w:after="0"/>
        <w:jc w:val="left"/>
        <w:rPr>
          <w:rFonts w:ascii="Times New Roman" w:hAnsi="Times New Roman"/>
          <w:sz w:val="20"/>
        </w:rPr>
      </w:pPr>
      <w:r>
        <w:rPr>
          <w:rFonts w:ascii="Times New Roman" w:hAnsi="Times New Roman"/>
          <w:sz w:val="20"/>
        </w:rPr>
        <w:t>SECTION 8.07    </w:t>
      </w:r>
      <w:r>
        <w:rPr>
          <w:rFonts w:ascii="Times New Roman" w:hAnsi="Times New Roman"/>
          <w:sz w:val="20"/>
          <w:u w:val="single"/>
        </w:rPr>
        <w:t>Non-Reliance on Administrative Agent and Other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and the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 </w:t>
      </w:r>
    </w:p>
    <w:p>
      <w:pPr>
        <w:pStyle w:val="TextBody"/>
        <w:bidi w:val="0"/>
        <w:spacing w:before="360" w:after="0"/>
        <w:jc w:val="left"/>
        <w:rPr>
          <w:rFonts w:ascii="Times New Roman" w:hAnsi="Times New Roman"/>
          <w:sz w:val="20"/>
        </w:rPr>
      </w:pPr>
      <w:r>
        <w:rPr>
          <w:rFonts w:ascii="Times New Roman" w:hAnsi="Times New Roman"/>
          <w:sz w:val="20"/>
        </w:rPr>
        <w:t>SECTION 8.08    </w:t>
      </w:r>
      <w:r>
        <w:rPr>
          <w:rFonts w:ascii="Times New Roman" w:hAnsi="Times New Roman"/>
          <w:sz w:val="20"/>
          <w:u w:val="single"/>
        </w:rPr>
        <w:t>No Other Duties,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the Issuing Bank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p>
    <w:p>
      <w:pPr>
        <w:pStyle w:val="TextBody"/>
        <w:bidi w:val="0"/>
        <w:spacing w:before="0" w:after="0"/>
        <w:jc w:val="left"/>
        <w:rPr>
          <w:rFonts w:ascii="Times New Roman" w:hAnsi="Times New Roman"/>
          <w:sz w:val="20"/>
        </w:rPr>
      </w:pPr>
      <w:r>
        <w:rPr>
          <w:rFonts w:ascii="Times New Roman" w:hAnsi="Times New Roman"/>
          <w:sz w:val="20"/>
        </w:rPr>
        <w:t>SECTION 8.09    </w:t>
      </w:r>
      <w:r>
        <w:rPr>
          <w:rFonts w:ascii="Times New Roman" w:hAnsi="Times New Roman"/>
          <w:sz w:val="20"/>
          <w:u w:val="single"/>
        </w:rPr>
        <w:t>Administrative Agent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Borrowers)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interim receiver,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the Issuing Bank any plan of reorganization, arrangement, adjustment or composition affecting the Secured Obligations or the rights of any Lender or the Issuing Bank to authorize the Administrative Agent to vote in respect of the claim of any Lender or the Issuing Bank or in any such proceeding. </w:t>
      </w:r>
    </w:p>
    <w:p>
      <w:pPr>
        <w:pStyle w:val="TextBody"/>
        <w:bidi w:val="0"/>
        <w:spacing w:before="360" w:after="0"/>
        <w:jc w:val="left"/>
        <w:rPr>
          <w:rFonts w:ascii="Times New Roman" w:hAnsi="Times New Roman"/>
          <w:sz w:val="20"/>
        </w:rPr>
      </w:pPr>
      <w:r>
        <w:rPr>
          <w:rFonts w:ascii="Times New Roman" w:hAnsi="Times New Roman"/>
          <w:sz w:val="20"/>
        </w:rPr>
        <w:t>SECTION 8.10    </w:t>
      </w:r>
      <w:r>
        <w:rPr>
          <w:rFonts w:ascii="Times New Roman" w:hAnsi="Times New Roman"/>
          <w:sz w:val="20"/>
          <w:u w:val="single"/>
        </w:rPr>
        <w:t>No Waiver; Cumulative Remedies; Enforcement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failure by any Lender, any Issuing Bank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Article VII</w:t>
      </w:r>
      <w:r>
        <w:rPr>
          <w:rFonts w:ascii="Times New Roman" w:hAnsi="Times New Roman"/>
          <w:sz w:val="20"/>
        </w:rPr>
        <w:t xml:space="preserve"> for the benefit of all the Lenders and the Issuing Banks;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p>
    <w:p>
      <w:pPr>
        <w:pStyle w:val="TextBody"/>
        <w:bidi w:val="0"/>
        <w:spacing w:before="0" w:after="0"/>
        <w:jc w:val="left"/>
        <w:rPr>
          <w:rFonts w:ascii="Times New Roman" w:hAnsi="Times New Roman"/>
          <w:sz w:val="20"/>
        </w:rPr>
      </w:pPr>
      <w:r>
        <w:rPr>
          <w:rFonts w:ascii="Times New Roman" w:hAnsi="Times New Roman"/>
          <w:sz w:val="20"/>
        </w:rPr>
        <w:t xml:space="preserve">exercising on its own behalf the rights and remedies that inure to its benefit (solely in its capacity as Administrative Agent) hereunder and under the other Loan Documents, (b) the Issuing Banks or the Swingline Lender from exercising the rights and remedies that inure to its benefit (solely in its capacity as Issuing Bank or Swingline Lender, as the case may be) hereunder and under the other Loan Documents, (c) any Lender from exercising setoff rights in accordance with </w:t>
      </w:r>
      <w:r>
        <w:rPr>
          <w:rFonts w:ascii="Times New Roman" w:hAnsi="Times New Roman"/>
          <w:sz w:val="20"/>
          <w:u w:val="single"/>
        </w:rPr>
        <w:t>Section 9.08</w:t>
      </w:r>
      <w:r>
        <w:rPr>
          <w:rFonts w:ascii="Times New Roman" w:hAnsi="Times New Roman"/>
          <w:sz w:val="20"/>
        </w:rPr>
        <w:t xml:space="preserve"> (subject to the terms of </w:t>
      </w:r>
      <w:r>
        <w:rPr>
          <w:rFonts w:ascii="Times New Roman" w:hAnsi="Times New Roman"/>
          <w:sz w:val="20"/>
          <w:u w:val="single"/>
        </w:rPr>
        <w:t>Section 2.17</w:t>
      </w:r>
      <w:r>
        <w:rPr>
          <w:rFonts w:ascii="Times New Roman" w:hAnsi="Times New Roman"/>
          <w:sz w:val="20"/>
        </w:rPr>
        <w:t xml:space="preserve">), or (d)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Article VII</w:t>
      </w:r>
      <w:r>
        <w:rPr>
          <w:rFonts w:ascii="Times New Roman" w:hAnsi="Times New Roman"/>
          <w:sz w:val="20"/>
        </w:rPr>
        <w:t xml:space="preserve"> and (ii) in addition to the matters set forth in clauses (b), (c) and (d) of the preceding proviso and subject to </w:t>
      </w:r>
      <w:r>
        <w:rPr>
          <w:rFonts w:ascii="Times New Roman" w:hAnsi="Times New Roman"/>
          <w:sz w:val="20"/>
          <w:u w:val="single"/>
        </w:rPr>
        <w:t>Section 2.17</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360" w:after="0"/>
        <w:jc w:val="left"/>
        <w:rPr>
          <w:rFonts w:ascii="Times New Roman" w:hAnsi="Times New Roman"/>
          <w:sz w:val="20"/>
        </w:rPr>
      </w:pPr>
      <w:r>
        <w:rPr>
          <w:rFonts w:ascii="Times New Roman" w:hAnsi="Times New Roman"/>
          <w:sz w:val="20"/>
        </w:rPr>
        <w:t>SECTION 8.11    </w:t>
      </w:r>
      <w:r>
        <w:rPr>
          <w:rFonts w:ascii="Times New Roman" w:hAnsi="Times New Roman"/>
          <w:sz w:val="20"/>
          <w:u w:val="single"/>
        </w:rPr>
        <w:t>Withholding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sz w:val="20"/>
          <w:u w:val="single"/>
        </w:rPr>
        <w:t>Section 2.16</w:t>
      </w:r>
      <w:r>
        <w:rPr>
          <w:rFonts w:ascii="Times New Roman" w:hAnsi="Times New Roman"/>
          <w:sz w:val="20"/>
        </w:rPr>
        <w:t xml:space="preserve">, to the extent required by any applicable Requirements of Law (as determined in good faith by the Administrative Agent), the Administrative Agent may deduct or withhold from any payment to any Lender an amount equivalent to any applicable withholding Tax. Without limiting or expanding the provisions of </w:t>
      </w:r>
      <w:r>
        <w:rPr>
          <w:rFonts w:ascii="Times New Roman" w:hAnsi="Times New Roman"/>
          <w:sz w:val="20"/>
          <w:u w:val="single"/>
        </w:rPr>
        <w:t>Section 2.16</w:t>
      </w:r>
      <w:r>
        <w:rPr>
          <w:rFonts w:ascii="Times New Roman" w:hAnsi="Times New Roman"/>
          <w:sz w:val="20"/>
        </w:rPr>
        <w:t xml:space="preserve">,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 w:hAnsi="Times New Roman"/>
          <w:sz w:val="20"/>
          <w:u w:val="single"/>
        </w:rPr>
        <w:t>Section 8.11</w:t>
      </w:r>
      <w:r>
        <w:rPr>
          <w:rFonts w:ascii="Times New Roman" w:hAnsi="Times New Roman"/>
          <w:sz w:val="20"/>
        </w:rPr>
        <w:t xml:space="preserve">. For the avoidance of doubt, a “Lender” shall, for purposes of this </w:t>
      </w:r>
      <w:r>
        <w:rPr>
          <w:rFonts w:ascii="Times New Roman" w:hAnsi="Times New Roman"/>
          <w:sz w:val="20"/>
          <w:u w:val="single"/>
        </w:rPr>
        <w:t>Section 8.11</w:t>
      </w:r>
      <w:r>
        <w:rPr>
          <w:rFonts w:ascii="Times New Roman" w:hAnsi="Times New Roman"/>
          <w:sz w:val="20"/>
        </w:rPr>
        <w:t xml:space="preserve">, include any Issuing Bank and the Swingline Lender. The agreements in this </w:t>
      </w:r>
      <w:r>
        <w:rPr>
          <w:rFonts w:ascii="Times New Roman" w:hAnsi="Times New Roman"/>
          <w:sz w:val="20"/>
          <w:u w:val="single"/>
        </w:rPr>
        <w:t>Section 8.11</w:t>
      </w:r>
      <w:r>
        <w:rPr>
          <w:rFonts w:ascii="Times New Roman" w:hAnsi="Times New Roman"/>
          <w:sz w:val="20"/>
        </w:rPr>
        <w:t xml:space="preserve"> shall survive the resignation and/or replacement of the Administrative Agent, any assignment of rights by, or the replacement of, a Lender, the termination of the Commitments and the repayment, satisfaction or discharge of all other Loan Document Obligations. </w:t>
      </w:r>
    </w:p>
    <w:p>
      <w:pPr>
        <w:pStyle w:val="TextBody"/>
        <w:bidi w:val="0"/>
        <w:spacing w:before="360" w:after="0"/>
        <w:jc w:val="left"/>
        <w:rPr>
          <w:rFonts w:ascii="Times New Roman" w:hAnsi="Times New Roman"/>
          <w:sz w:val="20"/>
        </w:rPr>
      </w:pPr>
      <w:r>
        <w:rPr>
          <w:rFonts w:ascii="Times New Roman" w:hAnsi="Times New Roman"/>
          <w:sz w:val="20"/>
        </w:rPr>
        <w:t>SECTION 8.12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29 CFR § 2510.3-101, as modified by Section 3(42) of ERISA) of one or more Benefit Plans in connection with the Loans, the Letters of Credit or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p>
    <w:p>
      <w:pPr>
        <w:pStyle w:val="TextBody"/>
        <w:bidi w:val="0"/>
        <w:spacing w:before="0" w:after="0"/>
        <w:jc w:val="left"/>
        <w:rPr>
          <w:rFonts w:ascii="Times New Roman" w:hAnsi="Times New Roman"/>
          <w:sz w:val="20"/>
        </w:rPr>
      </w:pPr>
      <w:r>
        <w:rPr>
          <w:rFonts w:ascii="Times New Roman" w:hAnsi="Times New Roman"/>
          <w:sz w:val="20"/>
        </w:rPr>
        <w:t xml:space="preserve">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and (C) the entrance into, participation in, administration of and performance of the Loans, the Letters of Credit, the Commitments and this Agreement satisfies the requirements of sub-sections (a) through (g) of Part I of PTE 84-14.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Agent and their respective Affiliates, and not, for the avoidance of doubt, to or for the benefit of Bidco or any other Loan Party,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Holdings, Bidco, a Borrower, the Administrative Agent, any Issuing Bank or the Swingline Lender, to the address, fax number, e-mail address or telephone number specified for such Person on </w:t>
      </w:r>
      <w:r>
        <w:rPr>
          <w:rFonts w:ascii="Times New Roman" w:hAnsi="Times New Roman"/>
          <w:sz w:val="20"/>
          <w:u w:val="single"/>
        </w:rPr>
        <w:t>Schedule 9.01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Bidco).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p>
    <w:p>
      <w:pPr>
        <w:pStyle w:val="TextBody"/>
        <w:bidi w:val="0"/>
        <w:spacing w:before="0" w:after="0"/>
        <w:jc w:val="left"/>
        <w:rPr>
          <w:rFonts w:ascii="Times New Roman" w:hAnsi="Times New Roman"/>
          <w:sz w:val="20"/>
        </w:rPr>
      </w:pPr>
      <w:r>
        <w:rPr>
          <w:rFonts w:ascii="Times New Roman" w:hAnsi="Times New Roman"/>
          <w:sz w:val="20"/>
        </w:rPr>
        <w:t xml:space="preserve">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any Issuing Bank or the Swingline Lender pursuant to </w:t>
      </w:r>
      <w:r>
        <w:rPr>
          <w:rFonts w:ascii="Times New Roman" w:hAnsi="Times New Roman"/>
          <w:sz w:val="20"/>
          <w:u w:val="single"/>
        </w:rPr>
        <w:t>Article II</w:t>
      </w:r>
      <w:r>
        <w:rPr>
          <w:rFonts w:ascii="Times New Roman" w:hAnsi="Times New Roman"/>
          <w:sz w:val="20"/>
        </w:rPr>
        <w:t xml:space="preserve"> if such Lender, the Issuing Bank or Swingline Lender, as applicable, has notified the Administrative Agent that it is incapable of receiving notices under such Article by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Holdings, Bidco, the Borrowers, any Lender, any Issuing Bank or any other Person for losses, claims, damages, liabilities or expenses of any kind (whether in tort, contract or otherwise) arising out of Bidco,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Holdings, Bidco, the Borrowers, any Lender, any Issuing Bank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Holdings, Bidco, the Borrowers, the Administrative Agent, any Issuing Bank and the Swingline Lender may change its address, electronic mail address, fax or telephone number, if applicable, for notices and other communications or website hereunder by notice to the other parties hereto. Each other Lender may change its address, fax or telephone number for notices and other communications hereunder by notice to Bidco, the Borrowers, the Administrative Agent, any Issuing Bank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Issuing Bank and Lenders</w:t>
      </w:r>
      <w:r>
        <w:rPr>
          <w:rFonts w:ascii="Times New Roman" w:hAnsi="Times New Roman"/>
          <w:sz w:val="20"/>
        </w:rPr>
        <w:t xml:space="preserve">. The Administrative Agent, each Issuing Bank and the Lenders shall be entitled to rely and act upon any notices purportedly given by or on behalf of Bidco or the Borrowers even if (i) such notices were not made in a manner specified herein, were incomplete or were not preceded or followed by any other form of notice specified herein, or (ii) the terms thereof, as understood by the recipient, varied from any confirmation thereof. Bidco shall indemnify the Administrative Agent, each Issuing Bank, each Lender and the Related Parties from all losses, costs, expenses and liabilities resulting from the reliance by such Person on each notice purportedly given by or on behalf of Bidco in the absence of gross negligence or willful misconduct as determined in a final and non-appealable judgment by a court of competent jurisdiction. All telephonic communications with the Administrative Agent may be recorded by the Administrative Agent and each of the parties hereto hereby consents to such recording. </w:t>
      </w:r>
    </w:p>
    <w:p>
      <w:pPr>
        <w:pStyle w:val="TextBody"/>
        <w:bidi w:val="0"/>
        <w:spacing w:before="360" w:after="0"/>
        <w:jc w:val="left"/>
        <w:rPr>
          <w:rFonts w:ascii="Times New Roman" w:hAnsi="Times New Roman"/>
          <w:sz w:val="20"/>
        </w:rPr>
      </w:pPr>
      <w:r>
        <w:rPr>
          <w:rFonts w:ascii="Times New Roman" w:hAnsi="Times New Roman"/>
          <w:sz w:val="20"/>
        </w:rPr>
        <w:t>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w:t>
      </w:r>
      <w:r>
        <w:rPr>
          <w:rFonts w:ascii="Times New Roman" w:hAnsi="Times New Roman"/>
          <w:sz w:val="20"/>
          <w:u w:val="single"/>
        </w:rPr>
        <w:t>Section 9.02</w:t>
      </w:r>
      <w:r>
        <w:rPr>
          <w:rFonts w:ascii="Times New Roman" w:hAnsi="Times New Roman"/>
          <w:sz w:val="20"/>
        </w:rPr>
        <w:t xml:space="preserve">,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Bidco or Holdings in any case shall entitle Bidco or Holdings to any other or further notice or demand in similar or other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2.19</w:t>
      </w:r>
      <w:r>
        <w:rPr>
          <w:rFonts w:ascii="Times New Roman" w:hAnsi="Times New Roman"/>
          <w:sz w:val="20"/>
        </w:rPr>
        <w:t xml:space="preserve"> with respect to any Incremental Facility Amendment, </w:t>
      </w:r>
      <w:r>
        <w:rPr>
          <w:rFonts w:ascii="Times New Roman" w:hAnsi="Times New Roman"/>
          <w:sz w:val="20"/>
          <w:u w:val="single"/>
        </w:rPr>
        <w:t>Section 2.20</w:t>
      </w:r>
      <w:r>
        <w:rPr>
          <w:rFonts w:ascii="Times New Roman" w:hAnsi="Times New Roman"/>
          <w:sz w:val="20"/>
        </w:rPr>
        <w:t xml:space="preserve"> with respect to any Refinancing Amendment or </w:t>
      </w:r>
      <w:r>
        <w:rPr>
          <w:rFonts w:ascii="Times New Roman" w:hAnsi="Times New Roman"/>
          <w:sz w:val="20"/>
          <w:u w:val="single"/>
        </w:rPr>
        <w:t>Section 2.23</w:t>
      </w:r>
      <w:r>
        <w:rPr>
          <w:rFonts w:ascii="Times New Roman" w:hAnsi="Times New Roman"/>
          <w:sz w:val="20"/>
        </w:rPr>
        <w:t xml:space="preserve"> with respect to any Permitted Amendment, neither this Agreement, any Loan Document nor any provision hereof or thereof may be waived, amended or modified except, in the case of this Agreement, pursuant to an agreement or agreements in writing entered into by Holdings, Bidco, the Borrowers,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(other than with respect to any waiver, amendment or modification contemplated in the first proviso below)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hAnsi="Times New Roman"/>
          <w:sz w:val="20"/>
          <w:u w:val="single"/>
        </w:rPr>
        <w:t>provided</w:t>
      </w:r>
      <w:r>
        <w:rPr>
          <w:rFonts w:ascii="Times New Roman" w:hAnsi="Times New Roman"/>
          <w:sz w:val="20"/>
        </w:rPr>
        <w:t xml:space="preserve"> that no such agreement shall (i) increase the Commitment of any Lender without the written consent of such Lender (it being understood that a waiver of any condition precedent set forth in </w:t>
      </w:r>
      <w:r>
        <w:rPr>
          <w:rFonts w:ascii="Times New Roman" w:hAnsi="Times New Roman"/>
          <w:sz w:val="20"/>
          <w:u w:val="single"/>
        </w:rPr>
        <w:t>Section 4.02</w:t>
      </w:r>
      <w:r>
        <w:rPr>
          <w:rFonts w:ascii="Times New Roman" w:hAnsi="Times New Roman"/>
          <w:sz w:val="20"/>
        </w:rPr>
        <w:t xml:space="preserve">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Borrowers for the LC Exposure at such time (it being understood that a waiver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p>
    <w:p>
      <w:pPr>
        <w:pStyle w:val="TextBody"/>
        <w:bidi w:val="0"/>
        <w:spacing w:before="0" w:after="0"/>
        <w:jc w:val="left"/>
        <w:rPr>
          <w:rFonts w:ascii="Times New Roman" w:hAnsi="Times New Roman"/>
          <w:sz w:val="20"/>
        </w:rPr>
      </w:pPr>
      <w:r>
        <w:rPr>
          <w:rFonts w:ascii="Times New Roman" w:hAnsi="Times New Roman"/>
          <w:sz w:val="20"/>
        </w:rPr>
        <w:t xml:space="preserve">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hAnsi="Times New Roman"/>
          <w:sz w:val="20"/>
          <w:u w:val="single"/>
        </w:rPr>
        <w:t>provided</w:t>
      </w:r>
      <w:r>
        <w:rPr>
          <w:rFonts w:ascii="Times New Roman" w:hAnsi="Times New Roman"/>
          <w:sz w:val="20"/>
        </w:rPr>
        <w:t xml:space="preserve"> that only the consent of the Required Lenders shall be necessary to waive any obligation of the Borrowers to pay default interest pursuant to </w:t>
      </w:r>
      <w:r>
        <w:rPr>
          <w:rFonts w:ascii="Times New Roman" w:hAnsi="Times New Roman"/>
          <w:strike/>
          <w:color w:val="FF0000"/>
          <w:sz w:val="20"/>
          <w:u w:val="single"/>
        </w:rPr>
        <w:t>Section 2.12(c)</w:t>
      </w:r>
      <w:r>
        <w:rPr>
          <w:rFonts w:ascii="Times New Roman" w:hAnsi="Times New Roman"/>
          <w:color w:val="0000FF"/>
          <w:sz w:val="20"/>
          <w:u w:val="single"/>
          <w:bdr w:val="double" w:sz="2" w:space="1" w:color="000000"/>
        </w:rPr>
        <w:t>Section 2.12(d),</w:t>
      </w:r>
      <w:r>
        <w:rPr>
          <w:rFonts w:ascii="Times New Roman" w:hAnsi="Times New Roman"/>
          <w:sz w:val="20"/>
        </w:rPr>
        <w:t xml:space="preserve">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w:t>
      </w:r>
      <w:r>
        <w:rPr>
          <w:rFonts w:ascii="Times New Roman" w:hAnsi="Times New Roman"/>
          <w:sz w:val="20"/>
          <w:u w:val="single"/>
        </w:rPr>
        <w:t>Section 2.09</w:t>
      </w:r>
      <w:r>
        <w:rPr>
          <w:rFonts w:ascii="Times New Roman" w:hAnsi="Times New Roman"/>
          <w:sz w:val="20"/>
        </w:rPr>
        <w:t xml:space="preserve">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this </w:t>
      </w:r>
      <w:r>
        <w:rPr>
          <w:rFonts w:ascii="Times New Roman" w:hAnsi="Times New Roman"/>
          <w:sz w:val="20"/>
          <w:u w:val="single"/>
        </w:rPr>
        <w:t>Section 9.02</w:t>
      </w:r>
      <w:r>
        <w:rPr>
          <w:rFonts w:ascii="Times New Roman" w:hAnsi="Times New Roman"/>
          <w:sz w:val="20"/>
        </w:rPr>
        <w:t xml:space="preserve"> without the written consent of each Lender directly and adversely affected thereby; </w:t>
      </w:r>
      <w:r>
        <w:rPr>
          <w:rFonts w:ascii="Times New Roman" w:hAnsi="Times New Roman"/>
          <w:sz w:val="20"/>
          <w:u w:val="single"/>
        </w:rPr>
        <w:t>provided</w:t>
      </w:r>
      <w:r>
        <w:rPr>
          <w:rFonts w:ascii="Times New Roman" w:hAnsi="Times New Roman"/>
          <w:sz w:val="20"/>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Guarantee Agreement (except as expressly provided in the Loan Documents) without the written consent of each Lender (other than a Defaulting Lender), or (vii) release all or substantially all the Collateral from the Liens of the Security Documents, without the written consent of each Lender (other than a Defaulting Lender), except as expressly provided in the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no such agreement shall amend, modify or otherwise affect the rights or duties of the Administrative Agent or any Issuing Bank or the Swingline Lender without the prior written consent of the Administrative Agent, such Issuing Bank or the Swingline Lender, as the case may be, (B) any provision of this Agreement or any other Loan Document may be amended by an agreement in writing entered into by Holdings, Bidco, the Borrowers and the Administrative Agent to cure any ambiguity, omission, mistake, defect or inconsistency (as reasonably determined by the Administrative Agent and Bidco)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Bidco, the Borrowers and the requisite percentage in interest of the affected Class of Lenders stating that would be required to consent thereto under this </w:t>
      </w:r>
      <w:r>
        <w:rPr>
          <w:rFonts w:ascii="Times New Roman" w:hAnsi="Times New Roman"/>
          <w:sz w:val="20"/>
          <w:u w:val="single"/>
        </w:rPr>
        <w:t>Section 9.02</w:t>
      </w:r>
      <w:r>
        <w:rPr>
          <w:rFonts w:ascii="Times New Roman" w:hAnsi="Times New Roman"/>
          <w:sz w:val="20"/>
        </w:rPr>
        <w:t xml:space="preserve"> if such Class of Lenders were the only Class of Lenders hereunder at the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this Agreement may be amended (or amended and restated) with the written consent of the Required Lenders, the Administrative Agent, Holdings, Bidco and the Borrowers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p>
    <w:p>
      <w:pPr>
        <w:pStyle w:val="TextBody"/>
        <w:bidi w:val="0"/>
        <w:spacing w:before="0" w:after="0"/>
        <w:jc w:val="left"/>
        <w:rPr>
          <w:rFonts w:ascii="Times New Roman" w:hAnsi="Times New Roman"/>
          <w:sz w:val="20"/>
        </w:rPr>
      </w:pPr>
      <w:r>
        <w:rPr>
          <w:rFonts w:ascii="Times New Roman" w:hAnsi="Times New Roman"/>
          <w:sz w:val="20"/>
        </w:rPr>
        <w:t xml:space="preserve">the same basis as the Lenders prior to such inclusion and (B) guarantees, collateral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Bidco without the need to obtain the consent of any other Lender if such amendment or waiver is delivered in order (i) to comply with local law or advice of local counsel, (ii) to cure ambiguities, defects, omissions or inconsistencies or to make related modifications to provisions of other Loan Documents, (iii) to cause any guarantee, collateral security document or other document to be consistent with this Agreement and the other Loan Documents, (iv) to give effect to the provisions of </w:t>
      </w:r>
      <w:r>
        <w:rPr>
          <w:rFonts w:ascii="Times New Roman" w:hAnsi="Times New Roman"/>
          <w:sz w:val="20"/>
          <w:u w:val="single"/>
        </w:rPr>
        <w:t>Section 2.13(b)</w:t>
      </w:r>
      <w:r>
        <w:rPr>
          <w:rFonts w:ascii="Times New Roman" w:hAnsi="Times New Roman"/>
          <w:sz w:val="20"/>
        </w:rPr>
        <w:t xml:space="preserve"> or (v) to integrate any Incremental Facility or Credit Agreement Refinancing Indebtedness in a manner consistent with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(c)     In connection with any proposed amendment, modification, waiver or termination (a “</w:t>
      </w:r>
      <w:r>
        <w:rPr>
          <w:rFonts w:ascii="Times New Roman" w:hAnsi="Times New Roman"/>
          <w:sz w:val="20"/>
          <w:u w:val="single"/>
        </w:rPr>
        <w:t>Proposed Change</w:t>
      </w:r>
      <w:r>
        <w:rPr>
          <w:rFonts w:ascii="Times New Roman" w:hAnsi="Times New Roman"/>
          <w:sz w:val="20"/>
        </w:rPr>
        <w:t xml:space="preserve">”) requiring the consent of all Lenders or all directly and adversely affected Lenders, if the consent of the Required Lenders (and, to the extent any Proposed Change requires the consent of Lenders holding Loans of any Class pursuant to clause (iv) of paragraph (b) of this </w:t>
      </w:r>
      <w:r>
        <w:rPr>
          <w:rFonts w:ascii="Times New Roman" w:hAnsi="Times New Roman"/>
          <w:sz w:val="20"/>
          <w:u w:val="single"/>
        </w:rPr>
        <w:t>Section 9.02</w:t>
      </w:r>
      <w:r>
        <w:rPr>
          <w:rFonts w:ascii="Times New Roman" w:hAnsi="Times New Roman"/>
          <w:sz w:val="20"/>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w:t>
      </w:r>
      <w:r>
        <w:rPr>
          <w:rFonts w:ascii="Times New Roman" w:hAnsi="Times New Roman"/>
          <w:sz w:val="20"/>
          <w:u w:val="single"/>
        </w:rPr>
        <w:t>Section 9.02</w:t>
      </w:r>
      <w:r>
        <w:rPr>
          <w:rFonts w:ascii="Times New Roman" w:hAnsi="Times New Roman"/>
          <w:sz w:val="20"/>
        </w:rPr>
        <w:t xml:space="preserve"> being referred to as a “</w:t>
      </w:r>
      <w:r>
        <w:rPr>
          <w:rFonts w:ascii="Times New Roman" w:hAnsi="Times New Roman"/>
          <w:sz w:val="20"/>
          <w:u w:val="single"/>
        </w:rPr>
        <w:t>Non-Consenting</w:t>
      </w:r>
      <w:r>
        <w:rPr>
          <w:rFonts w:ascii="Times New Roman" w:hAnsi="Times New Roman"/>
          <w:sz w:val="20"/>
        </w:rPr>
        <w:t xml:space="preserve"> </w:t>
      </w:r>
      <w:r>
        <w:rPr>
          <w:rFonts w:ascii="Times New Roman" w:hAnsi="Times New Roman"/>
          <w:sz w:val="20"/>
          <w:u w:val="single"/>
        </w:rPr>
        <w:t>Lender</w:t>
      </w:r>
      <w:r>
        <w:rPr>
          <w:rFonts w:ascii="Times New Roman" w:hAnsi="Times New Roman"/>
          <w:sz w:val="20"/>
        </w:rPr>
        <w:t xml:space="preserve">”), then, so long as the Lender that is acting as Administrative Agent is not a Non-Consenting Lender, Bidco or any Borrower may, at its option and at its sole expense and effort, upon notice to such Non-Consenting Lender and the Administrative Agent, either (i) if no Specified Event of Default exists, permanently prepay all of the Loans of any Class owing by it to, and terminating any Commitments of, such Non-Consenting Lender or (ii) require such Non-Consenting Lender to assign and delegate, without recourse (in accordance with and subject to the restrictions contained in </w:t>
      </w:r>
      <w:r>
        <w:rPr>
          <w:rFonts w:ascii="Times New Roman" w:hAnsi="Times New Roman"/>
          <w:sz w:val="20"/>
          <w:u w:val="single"/>
        </w:rPr>
        <w:t>Section 9.04</w:t>
      </w:r>
      <w:r>
        <w:rPr>
          <w:rFonts w:ascii="Times New Roman" w:hAnsi="Times New Roman"/>
          <w:sz w:val="20"/>
        </w:rPr>
        <w:t xml:space="preserve">), all its interests, rights and obligations under this Agreement to an Eligible Assignee that shall assume such obligations (which Eligible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with respect to this clause (ii), (a) Bidco shall have received the prior written consent of the Administrative Agent to the extent such consent would be required under </w:t>
      </w:r>
      <w:r>
        <w:rPr>
          <w:rFonts w:ascii="Times New Roman" w:hAnsi="Times New Roman"/>
          <w:sz w:val="20"/>
          <w:u w:val="single"/>
        </w:rPr>
        <w:t>Section 9.04(b)</w:t>
      </w:r>
      <w:r>
        <w:rPr>
          <w:rFonts w:ascii="Times New Roman" w:hAnsi="Times New Roman"/>
          <w:sz w:val="20"/>
        </w:rPr>
        <w:t xml:space="preserve">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w:t>
      </w:r>
      <w:r>
        <w:rPr>
          <w:rFonts w:ascii="Times New Roman" w:hAnsi="Times New Roman"/>
          <w:sz w:val="20"/>
          <w:u w:val="single"/>
        </w:rPr>
        <w:t>Section 2.10(a)(i)</w:t>
      </w:r>
      <w:r>
        <w:rPr>
          <w:rFonts w:ascii="Times New Roman" w:hAnsi="Times New Roman"/>
          <w:sz w:val="20"/>
        </w:rPr>
        <w:t xml:space="preserve">) from the Eligible Assignee (to the extent of such outstanding principal and accrued interest and fees) or the Borrowers (in the case of all other amounts) and (c) unless waived, the Borrowers or such Eligible Assignee shall have paid to the Administrative Agent the processing and recordation fee specified in </w:t>
      </w:r>
      <w:r>
        <w:rPr>
          <w:rFonts w:ascii="Times New Roman" w:hAnsi="Times New Roman"/>
          <w:sz w:val="20"/>
          <w:u w:val="single"/>
        </w:rPr>
        <w:t>Section 9.04(b)</w:t>
      </w:r>
      <w:r>
        <w:rPr>
          <w:rFonts w:ascii="Times New Roman" w:hAnsi="Times New Roman"/>
          <w:sz w:val="20"/>
        </w:rPr>
        <w:t xml:space="preserve">. Each party hereto agrees that an assignment required pursuant to this </w:t>
      </w:r>
      <w:r>
        <w:rPr>
          <w:rFonts w:ascii="Times New Roman" w:hAnsi="Times New Roman"/>
          <w:sz w:val="20"/>
          <w:u w:val="single"/>
        </w:rPr>
        <w:t>Section 9.02(c)</w:t>
      </w:r>
      <w:r>
        <w:rPr>
          <w:rFonts w:ascii="Times New Roman" w:hAnsi="Times New Roman"/>
          <w:sz w:val="20"/>
        </w:rPr>
        <w:t xml:space="preserve"> may be effected pursuant to an Assignment and Assumption executed by Bidco or a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w:t>
      </w:r>
      <w:r>
        <w:rPr>
          <w:rFonts w:ascii="Times New Roman" w:hAnsi="Times New Roman"/>
          <w:sz w:val="20"/>
          <w:u w:val="single"/>
        </w:rPr>
        <w:t>Section 9.04</w:t>
      </w:r>
      <w:r>
        <w:rPr>
          <w:rFonts w:ascii="Times New Roman" w:hAnsi="Times New Roman"/>
          <w:sz w:val="20"/>
        </w:rPr>
        <w:t xml:space="preserve"> on behalf of a Non-Consenting Lender and any such documentation so executed by the Administrative Agent shall be effective for purposes of documenting an assignment pursuant to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Agreement or the other Loan Documents to the contrary, (i)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p>
    <w:p>
      <w:pPr>
        <w:pStyle w:val="TextBody"/>
        <w:bidi w:val="0"/>
        <w:spacing w:before="0" w:after="0"/>
        <w:jc w:val="left"/>
        <w:rPr>
          <w:rFonts w:ascii="Times New Roman" w:hAnsi="Times New Roman"/>
          <w:sz w:val="20"/>
        </w:rPr>
      </w:pPr>
      <w:r>
        <w:rPr>
          <w:rFonts w:ascii="Times New Roman" w:hAnsi="Times New Roman"/>
          <w:sz w:val="20"/>
        </w:rPr>
        <w:t xml:space="preserve">all affected Lenders of a Class), a Majority in Interest of Lenders of any Class or the Required Lenders have taken or may take any action hereunder (including any consent to any amendment or waiver pursuant to this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Disqualified Lender shall have any right to approve or disapprove any amendment, waiver or consent hereunder or under any of the Loan Documents other than as expressly provided in </w:t>
      </w:r>
      <w:r>
        <w:rPr>
          <w:rFonts w:ascii="Times New Roman" w:hAnsi="Times New Roman"/>
          <w:sz w:val="20"/>
          <w:u w:val="single"/>
        </w:rPr>
        <w:t>Section 9.04(h)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or the other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hAnsi="Times New Roman"/>
          <w:sz w:val="20"/>
          <w:u w:val="single"/>
        </w:rPr>
        <w:t>provided</w:t>
      </w:r>
      <w:r>
        <w:rPr>
          <w:rFonts w:ascii="Times New Roman" w:hAnsi="Times New Roman"/>
          <w:sz w:val="20"/>
        </w:rPr>
        <w:t xml:space="preserve"> that such Affiliated Lender shall be entitled to vote in accordance with its sole discretion in connection with any plan of reorganization (a)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Bidco, (b) that would deprive such Affiliated Lender of its pro rata share of any payments to which it is entitled or (c) if such plan of reorganization requires the consent of each Lender or each affected Lender.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or the other Loan Documents to the contrary, only the consent of the Required Revolving Lenders shall be necessary to (1) waive or consent to a waiver of an Event of Default under </w:t>
      </w:r>
      <w:r>
        <w:rPr>
          <w:rFonts w:ascii="Times New Roman" w:hAnsi="Times New Roman"/>
          <w:sz w:val="20"/>
          <w:u w:val="single"/>
        </w:rPr>
        <w:t>Section 7.01(d)(ii)</w:t>
      </w:r>
      <w:r>
        <w:rPr>
          <w:rFonts w:ascii="Times New Roman" w:hAnsi="Times New Roman"/>
          <w:sz w:val="20"/>
        </w:rPr>
        <w:t xml:space="preserve"> or waive or amend the conditions set forth in </w:t>
      </w:r>
      <w:r>
        <w:rPr>
          <w:rFonts w:ascii="Times New Roman" w:hAnsi="Times New Roman"/>
          <w:sz w:val="20"/>
          <w:u w:val="single"/>
        </w:rPr>
        <w:t>Section 4.02</w:t>
      </w:r>
      <w:r>
        <w:rPr>
          <w:rFonts w:ascii="Times New Roman" w:hAnsi="Times New Roman"/>
          <w:sz w:val="20"/>
        </w:rPr>
        <w:t xml:space="preserve"> (and </w:t>
      </w:r>
      <w:r>
        <w:rPr>
          <w:rFonts w:ascii="Times New Roman" w:hAnsi="Times New Roman"/>
          <w:sz w:val="20"/>
          <w:u w:val="single"/>
        </w:rPr>
        <w:t>Section 4.02</w:t>
      </w:r>
      <w:r>
        <w:rPr>
          <w:rFonts w:ascii="Times New Roman" w:hAnsi="Times New Roman"/>
          <w:sz w:val="20"/>
        </w:rPr>
        <w:t xml:space="preserve"> may not be waived or amended in a manner that affects the making of any Revolving Borrowing without the consent of the Required Revolving Lenders), (2) modify or amend </w:t>
      </w:r>
      <w:r>
        <w:rPr>
          <w:rFonts w:ascii="Times New Roman" w:hAnsi="Times New Roman"/>
          <w:sz w:val="20"/>
          <w:u w:val="single"/>
        </w:rPr>
        <w:t>Section 6.07</w:t>
      </w:r>
      <w:r>
        <w:rPr>
          <w:rFonts w:ascii="Times New Roman" w:hAnsi="Times New Roman"/>
          <w:sz w:val="20"/>
        </w:rPr>
        <w:t xml:space="preserve"> (and </w:t>
      </w:r>
      <w:r>
        <w:rPr>
          <w:rFonts w:ascii="Times New Roman" w:hAnsi="Times New Roman"/>
          <w:sz w:val="20"/>
          <w:u w:val="single"/>
        </w:rPr>
        <w:t>Section 6.07</w:t>
      </w:r>
      <w:r>
        <w:rPr>
          <w:rFonts w:ascii="Times New Roman" w:hAnsi="Times New Roman"/>
          <w:sz w:val="20"/>
        </w:rPr>
        <w:t xml:space="preserve"> may not be modified or amended without the consent of the Required Revolving Lenders) or </w:t>
      </w:r>
      <w:r>
        <w:rPr>
          <w:rFonts w:ascii="Times New Roman" w:hAnsi="Times New Roman"/>
          <w:sz w:val="20"/>
          <w:u w:val="single"/>
        </w:rPr>
        <w:t>Section 7.02</w:t>
      </w:r>
      <w:r>
        <w:rPr>
          <w:rFonts w:ascii="Times New Roman" w:hAnsi="Times New Roman"/>
          <w:sz w:val="20"/>
        </w:rPr>
        <w:t xml:space="preserve">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in this Agreement or the other Loan Documents to the contrary, this Agreement may be amended, supplemented or otherwise modified to effect any requisite changes to the definition of “LIBO Rate” </w:t>
      </w:r>
      <w:r>
        <w:rPr>
          <w:rFonts w:ascii="Times New Roman" w:hAnsi="Times New Roman"/>
          <w:color w:val="0000FF"/>
          <w:sz w:val="20"/>
          <w:u w:val="single"/>
          <w:bdr w:val="double" w:sz="2" w:space="1" w:color="000000"/>
        </w:rPr>
        <w:t xml:space="preserve">or Section 2.13, in each case, </w:t>
      </w:r>
      <w:r>
        <w:rPr>
          <w:rFonts w:ascii="Times New Roman" w:hAnsi="Times New Roman"/>
          <w:sz w:val="20"/>
        </w:rPr>
        <w:t>as set forth therein and such other related changes as may be applicable thereto, in each case, with only the consent of the Persons set forth in such definition of “LIBO Rate”</w:t>
      </w:r>
      <w:r>
        <w:rPr>
          <w:rFonts w:ascii="Times New Roman" w:hAnsi="Times New Roman"/>
          <w:color w:val="0000FF"/>
          <w:sz w:val="20"/>
          <w:u w:val="single"/>
          <w:bdr w:val="double" w:sz="2" w:space="1" w:color="000000"/>
        </w:rPr>
        <w:t xml:space="preserve"> or Section 2.13, as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pay, if the Effective Date occurs and the Transactions have been consummated, (i) all reasonable and documented and invoiced out-of-pocket costs and expenses incurred by the Administrative Agent, the Joint Lead Arrangers, each Issuing Bank, the Swingline Lender, the Lenders and their respective Affiliates (without duplication) (limited, in the case of (x) legal fees and expenses, to the reasonable and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p>
    <w:p>
      <w:pPr>
        <w:pStyle w:val="TextBody"/>
        <w:bidi w:val="0"/>
        <w:spacing w:before="0" w:after="0"/>
        <w:jc w:val="left"/>
        <w:rPr>
          <w:rFonts w:ascii="Times New Roman" w:hAnsi="Times New Roman"/>
          <w:sz w:val="20"/>
        </w:rPr>
      </w:pPr>
      <w:r>
        <w:rPr>
          <w:rFonts w:ascii="Times New Roman" w:hAnsi="Times New Roman"/>
          <w:sz w:val="20"/>
        </w:rPr>
        <w:t xml:space="preserve">to be necessary, one local counsel in each relevant material jurisdiction (which may include a single local counsel acting in multiple jurisdictions) and, in the case of an actual or perceived conflict of interest where the Administrative Agent, each Issuing Bank or any Lender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 each case for the 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Administrative Agent, each Issuing Bank or any Lender, including the fees, charges and disbursements of counsel for the Administrative Agent, the Issuing Banks and the Lenders (without duplication) (limited, in the case of (x) legal fees and expenses, to the reasonable, documented and invoiced fees, charges and disbursements of one primary counsel and to the extent reasonably determined by the Administrative Agent to be necessary, one local counsel in each relevant material jurisdiction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Bidco’s written consent (such consent not to be unreasonably withheld or delayed), in connection with the enforcement or protection of any rights or remedies (A) in connection with the Loan Documents (including all such costs and expenses incurred during any legal proceeding, including any proceeding under any Debtor Relief Laws), including its rights under this </w:t>
      </w:r>
      <w:r>
        <w:rPr>
          <w:rFonts w:ascii="Times New Roman" w:hAnsi="Times New Roman"/>
          <w:sz w:val="20"/>
          <w:u w:val="single"/>
        </w:rPr>
        <w:t>Section 9.03</w:t>
      </w:r>
      <w:r>
        <w:rPr>
          <w:rFonts w:ascii="Times New Roman" w:hAnsi="Times New Roman"/>
          <w:sz w:val="20"/>
        </w:rPr>
        <w:t xml:space="preserve"> or (B) in connection with the Loans made or Letters of Credit issued hereunder, including all such out-of-pocket costs and expenses incurred during any workout, restructuring or negotiations in respect of such Loans or Letters of Credit. </w:t>
      </w:r>
    </w:p>
    <w:p>
      <w:pPr>
        <w:pStyle w:val="TextBody"/>
        <w:bidi w:val="0"/>
        <w:spacing w:before="240" w:after="0"/>
        <w:jc w:val="left"/>
        <w:rPr>
          <w:rFonts w:ascii="Times New Roman" w:hAnsi="Times New Roman"/>
          <w:sz w:val="20"/>
        </w:rPr>
      </w:pPr>
      <w:r>
        <w:rPr>
          <w:rFonts w:ascii="Times New Roman" w:hAnsi="Times New Roman"/>
          <w:sz w:val="20"/>
        </w:rPr>
        <w:t>(b)     Without duplication of the expense reimbursement obligations pursuant to clause (a) above, the Borrowers shall indemnify the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incurred by or asserted against any Indemnitee by any third party or by Bidco, any Intermediate Parent, Holdings or any Subsidiary to the extent arising out of, in connection with, or as a result of any actual or prospective claim, litigation, investigation or proceeding, whether based on contract, tort or any other theory, whether brought by a third party or by Bidco, any Intermediate Parent, Holdings or any Subsidiary or their Affiliates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p>
    <w:p>
      <w:pPr>
        <w:pStyle w:val="TextBody"/>
        <w:bidi w:val="0"/>
        <w:spacing w:before="0" w:after="0"/>
        <w:jc w:val="left"/>
        <w:rPr>
          <w:rFonts w:ascii="Times New Roman" w:hAnsi="Times New Roman"/>
          <w:sz w:val="20"/>
        </w:rPr>
      </w:pPr>
      <w:r>
        <w:rPr>
          <w:rFonts w:ascii="Times New Roman" w:hAnsi="Times New Roman"/>
          <w:sz w:val="20"/>
        </w:rPr>
        <w:t xml:space="preserve">regardless of whether any Indemnitee is a party thereto relating to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or the syndication of the credit facilities provided for herein, (ii) any Loan or Letter of Credit or the use of the proceeds therefrom or (iii) to the extent in any way arising from or relating to any of the foregoing, any Release or threat of Release of Hazardous Materials on, at, to or from any real property or facility owned, leased or operated by Holdings, any Intermediate Parent, Bidco or any Subsidiary, or any other Environmental Liability of Holdings, any Intermediate Parent, Bidco or any Subsidiary;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Loan Documents by such Indemnitee or its Related Parties (as determined by a court of competent jurisdiction in a final and non-appealable judgment), (y) arise from disputes between or among Indemnitees (other than disputes involving claims against the Administrative Agent, the Collateral Agent or the Joint Lead Arrangers, any Issuing Bank or the Swingline Lender, in each case, in their respective capacities) that do not involve an act or omission by Holdings, Bidco or any Restricted Subsidiary or (z) resulted from any settlement effected without Bidco’s prior written consent (such consent not to be unreasonably withheld or delayed), but if settled with Bidco’s prior written consent, Bidco will indemnify and hold harmless each Indemnitee from and against any and all losses, claims, damages, liabilities and expenses by reason of such settlement in accordance with this paragraph;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Bidco shall not, without the prior written consent of the applicable Indemnitee (which consent shall not be unreasonably withheld, delayed or conditioned), effect any settlement of any pending or threatened claim, litigation, investigation or proceeding in respect of which indemnity could have been sought hereunder by such Indemnitee unless (a) such settlement includes a full and unconditional release of such Indemnitee in form and substance reasonably satisfactory to such Indemnitee from all liability on claims that are the subject matter of such claim, litigation, investigation or proceeding and (b) does not include any statement as to or any admission of fault, culpability or a failure to act by or on behalf of such Indemnitee and (2) to the extent of any amounts paid to an Indemnitee in respect of this </w:t>
      </w:r>
      <w:r>
        <w:rPr>
          <w:rFonts w:ascii="Times New Roman" w:hAnsi="Times New Roman"/>
          <w:sz w:val="20"/>
          <w:u w:val="single"/>
        </w:rPr>
        <w:t>Section 9.03</w:t>
      </w:r>
      <w:r>
        <w:rPr>
          <w:rFonts w:ascii="Times New Roman" w:hAnsi="Times New Roman"/>
          <w:sz w:val="20"/>
        </w:rPr>
        <w:t xml:space="preserve">, such Indemnitee, by its acceptance of the benefits hereof, agrees to refund and return any and all amounts paid by the Borrowers to it if, pursuant to the operation of any of the foregoing clauses (w) through (z), such Indemnitee was not entitled to receipt of such amount.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Borrowers fail to pay any amount required to be paid by it to any Agent or any Lender under paragraph (a) or (b) of this </w:t>
      </w:r>
      <w:r>
        <w:rPr>
          <w:rFonts w:ascii="Times New Roman" w:hAnsi="Times New Roman"/>
          <w:sz w:val="20"/>
          <w:u w:val="single"/>
        </w:rPr>
        <w:t>Section 9.03</w:t>
      </w:r>
      <w:r>
        <w:rPr>
          <w:rFonts w:ascii="Times New Roman" w:hAnsi="Times New Roman"/>
          <w:sz w:val="20"/>
        </w:rPr>
        <w:t xml:space="preserve">, each Lender severally agrees to pay to such Agent or such Lender, as the case may be, such Lender’s pro rata share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such Agent or such Lender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w:t>
      </w:r>
      <w:r>
        <w:rPr>
          <w:rFonts w:ascii="Times New Roman" w:hAnsi="Times New Roman"/>
          <w:sz w:val="20"/>
          <w:u w:val="single"/>
        </w:rPr>
        <w:t>Section 2.02(a)</w:t>
      </w:r>
      <w:r>
        <w:rPr>
          <w:rFonts w:ascii="Times New Roman" w:hAnsi="Times New Roman"/>
          <w:sz w:val="20"/>
        </w:rPr>
        <w:t xml:space="preserve"> (which shall apply </w:t>
      </w:r>
      <w:r>
        <w:rPr>
          <w:rFonts w:ascii="Times New Roman" w:hAnsi="Times New Roman"/>
          <w:i/>
          <w:sz w:val="20"/>
        </w:rPr>
        <w:t xml:space="preserve">mutatis mutandis </w:t>
      </w:r>
      <w:r>
        <w:rPr>
          <w:rFonts w:ascii="Times New Roman" w:hAnsi="Times New Roman"/>
          <w:sz w:val="20"/>
        </w:rPr>
        <w:t xml:space="preserve">to the Lenders’ obligations under this paragraph (c)).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the Borrowers fail to pay any amount required to be paid by it to any Issuing Bank under paragraph (a) or (b) of this </w:t>
      </w:r>
      <w:r>
        <w:rPr>
          <w:rFonts w:ascii="Times New Roman" w:hAnsi="Times New Roman"/>
          <w:sz w:val="20"/>
          <w:u w:val="single"/>
        </w:rPr>
        <w:t>Section 9.03</w:t>
      </w:r>
      <w:r>
        <w:rPr>
          <w:rFonts w:ascii="Times New Roman" w:hAnsi="Times New Roman"/>
          <w:sz w:val="20"/>
        </w:rPr>
        <w:t xml:space="preserve">, each Revolving Lender severally agrees to pay to such Issuing Bank such Revolving Lender’s pro rata share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such Issuing Bank in its capacity as such. For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p>
    <w:p>
      <w:pPr>
        <w:pStyle w:val="TextBody"/>
        <w:bidi w:val="0"/>
        <w:spacing w:before="0" w:after="0"/>
        <w:jc w:val="left"/>
        <w:rPr>
          <w:rFonts w:ascii="Times New Roman" w:hAnsi="Times New Roman"/>
          <w:sz w:val="20"/>
        </w:rPr>
      </w:pPr>
      <w:r>
        <w:rPr>
          <w:rFonts w:ascii="Times New Roman" w:hAnsi="Times New Roman"/>
          <w:sz w:val="20"/>
        </w:rPr>
        <w:t xml:space="preserve">hereof, a Revolving Lender’s “pro rata share” shall be determined based upon its share of the aggregate Revolving Exposures. The obligations of the Revolving Lenders under this paragraph (d) are subject to the last sentence of </w:t>
      </w:r>
      <w:r>
        <w:rPr>
          <w:rFonts w:ascii="Times New Roman" w:hAnsi="Times New Roman"/>
          <w:sz w:val="20"/>
          <w:u w:val="single"/>
        </w:rPr>
        <w:t>Section 2.02(a)</w:t>
      </w:r>
      <w:r>
        <w:rPr>
          <w:rFonts w:ascii="Times New Roman" w:hAnsi="Times New Roman"/>
          <w:sz w:val="20"/>
        </w:rPr>
        <w:t xml:space="preserve"> (which shall apply </w:t>
      </w:r>
      <w:r>
        <w:rPr>
          <w:rFonts w:ascii="Times New Roman" w:hAnsi="Times New Roman"/>
          <w:i/>
          <w:sz w:val="20"/>
        </w:rPr>
        <w:t>mutatis</w:t>
      </w:r>
      <w:r>
        <w:rPr>
          <w:rFonts w:ascii="Times New Roman" w:hAnsi="Times New Roman"/>
          <w:sz w:val="20"/>
        </w:rPr>
        <w:t xml:space="preserve"> </w:t>
      </w:r>
      <w:r>
        <w:rPr>
          <w:rFonts w:ascii="Times New Roman" w:hAnsi="Times New Roman"/>
          <w:i/>
          <w:sz w:val="20"/>
        </w:rPr>
        <w:t>mutandis</w:t>
      </w:r>
      <w:r>
        <w:rPr>
          <w:rFonts w:ascii="Times New Roman" w:hAnsi="Times New Roman"/>
          <w:sz w:val="20"/>
        </w:rPr>
        <w:t xml:space="preserve"> to the Revolving Lenders’ obligations under this paragraph (d)).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loss of profits, business or anticipated savings) (whether or not the claim therefor is based on contract, tort or duty imposed by any applicable legal requirement)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hAnsi="Times New Roman"/>
          <w:sz w:val="20"/>
          <w:u w:val="single"/>
        </w:rPr>
        <w:t>provided</w:t>
      </w:r>
      <w:r>
        <w:rPr>
          <w:rFonts w:ascii="Times New Roman" w:hAnsi="Times New Roman"/>
          <w:sz w:val="20"/>
        </w:rPr>
        <w:t xml:space="preserve"> that the foregoing shall in no event limit the Borrowers’ indemnification obligations under clause (b) above. </w:t>
      </w:r>
    </w:p>
    <w:p>
      <w:pPr>
        <w:pStyle w:val="TextBody"/>
        <w:bidi w:val="0"/>
        <w:spacing w:before="240" w:after="0"/>
        <w:jc w:val="left"/>
        <w:rPr>
          <w:rFonts w:ascii="Times New Roman" w:hAnsi="Times New Roman"/>
          <w:sz w:val="20"/>
        </w:rPr>
      </w:pPr>
      <w:r>
        <w:rPr>
          <w:rFonts w:ascii="Times New Roman" w:hAnsi="Times New Roman"/>
          <w:sz w:val="20"/>
        </w:rPr>
        <w:t xml:space="preserve">(f)     In case any proceeding is instituted involving any Indemnitee for which indemnification is to be sought hereunder by such Indemnitee, then such Indemnitee will promptly notify Bidco and the Borrowers of the commencement of any proceeding;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do so will not relieve the Borrowers from any liability that it may have to such Indemnitee hereunder, except to the extent that the Borrowers are materially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Agreement, to the extent permitted by applicable law, no party hereto nor any Indemnitee shall assert, and each hereby waives, any claim against any other Person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except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 </w:t>
      </w:r>
    </w:p>
    <w:p>
      <w:pPr>
        <w:pStyle w:val="TextBody"/>
        <w:bidi w:val="0"/>
        <w:spacing w:before="240" w:after="0"/>
        <w:jc w:val="left"/>
        <w:rPr>
          <w:rFonts w:ascii="Times New Roman" w:hAnsi="Times New Roman"/>
          <w:sz w:val="20"/>
        </w:rPr>
      </w:pPr>
      <w:r>
        <w:rPr>
          <w:rFonts w:ascii="Times New Roman" w:hAnsi="Times New Roman"/>
          <w:sz w:val="20"/>
        </w:rPr>
        <w:t xml:space="preserve">(h)     All amounts due under this </w:t>
      </w:r>
      <w:r>
        <w:rPr>
          <w:rFonts w:ascii="Times New Roman" w:hAnsi="Times New Roman"/>
          <w:sz w:val="20"/>
          <w:u w:val="single"/>
        </w:rPr>
        <w:t>Section 9.03</w:t>
      </w:r>
      <w:r>
        <w:rPr>
          <w:rFonts w:ascii="Times New Roman" w:hAnsi="Times New Roman"/>
          <w:sz w:val="20"/>
        </w:rPr>
        <w:t xml:space="preserve"> shall be payable not later than ten (10) Business Days after written demand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or otherwise transfer any of their rights or obligations hereunder without the prior written consent of each Lender, each Issuing Bank and the acknowledgement of the Administrative Agent (and any attempted assignment or transfer by the Borrowers without such consent shall be null and void), (ii) no assignment shall be made to any Defaulting Lender or any of its Subsidiaries, or any Persons who, upon becoming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p>
    <w:p>
      <w:pPr>
        <w:pStyle w:val="TextBody"/>
        <w:bidi w:val="0"/>
        <w:spacing w:before="0" w:after="0"/>
        <w:jc w:val="left"/>
        <w:rPr>
          <w:rFonts w:ascii="Times New Roman" w:hAnsi="Times New Roman"/>
          <w:sz w:val="20"/>
        </w:rPr>
      </w:pPr>
      <w:r>
        <w:rPr>
          <w:rFonts w:ascii="Times New Roman" w:hAnsi="Times New Roman"/>
          <w:sz w:val="20"/>
        </w:rPr>
        <w:t xml:space="preserve">Lender hereunder, would constitute any of the foregoing Persons described in this clause (ii) and (iii) no Lender may assign or otherwise transfer its rights or obligations hereunder except in accordance with this </w:t>
      </w:r>
      <w:r>
        <w:rPr>
          <w:rFonts w:ascii="Times New Roman" w:hAnsi="Times New Roman"/>
          <w:sz w:val="20"/>
          <w:u w:val="single"/>
        </w:rPr>
        <w:t>Section 9.04</w:t>
      </w:r>
      <w:r>
        <w:rPr>
          <w:rFonts w:ascii="Times New Roman" w:hAnsi="Times New Roman"/>
          <w:sz w:val="20"/>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w:t>
      </w:r>
      <w:r>
        <w:rPr>
          <w:rFonts w:ascii="Times New Roman" w:hAnsi="Times New Roman"/>
          <w:sz w:val="20"/>
          <w:u w:val="single"/>
        </w:rPr>
        <w:t>Section 9.04</w:t>
      </w:r>
      <w:r>
        <w:rPr>
          <w:rFonts w:ascii="Times New Roman" w:hAnsi="Times New Roman"/>
          <w:sz w:val="20"/>
        </w:rPr>
        <w:t xml:space="preserve">), the Indemnitees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 Subject to the conditions set forth in paragraphs (b)(ii), (f) and (j)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Bidco) not to be unreasonably withheld or delayed) of (A) Bidco; </w:t>
      </w:r>
      <w:r>
        <w:rPr>
          <w:rFonts w:ascii="Times New Roman" w:hAnsi="Times New Roman"/>
          <w:sz w:val="20"/>
          <w:u w:val="single"/>
        </w:rPr>
        <w:t>provided</w:t>
      </w:r>
      <w:r>
        <w:rPr>
          <w:rFonts w:ascii="Times New Roman" w:hAnsi="Times New Roman"/>
          <w:sz w:val="20"/>
        </w:rPr>
        <w:t xml:space="preserve"> that no consent of Bidco shall be required for an assignment (w) by any Joint Lead Arranger (or its Affiliate) to the extent that an assignment by such Joint Lead Arranger (or such Affiliate) is made in the primary syndication to Eligible Assignees to whom Bidco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or an Affiliate of a Revolving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assignee contemplated by the immediately preceding proviso shall be entitled to receive any greater payment under </w:t>
      </w:r>
      <w:r>
        <w:rPr>
          <w:rFonts w:ascii="Times New Roman" w:hAnsi="Times New Roman"/>
          <w:sz w:val="20"/>
          <w:u w:val="single"/>
        </w:rPr>
        <w:t>Section 2.14</w:t>
      </w:r>
      <w:r>
        <w:rPr>
          <w:rFonts w:ascii="Times New Roman" w:hAnsi="Times New Roman"/>
          <w:sz w:val="20"/>
        </w:rPr>
        <w:t xml:space="preserve"> than the applicable assignor would have been entitled to receive with respect to the assignment made to such assignee, unless the assignment to such assignee is made with Bidco’s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Bidco shall have the right to withhold its consent to any assignment if in order for such assignment to comply with applicable law, Bidco would be required to obtain the consent of, or make any filing or registration with, any Governmental Authority, (B)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a Term Loan to (x) a Lender, an Affiliate of a Lender or an Approved Fund or (y) subject to </w:t>
      </w:r>
      <w:r>
        <w:rPr>
          <w:rFonts w:ascii="Times New Roman" w:hAnsi="Times New Roman"/>
          <w:sz w:val="20"/>
          <w:u w:val="single"/>
        </w:rPr>
        <w:t>Section 9.04(f)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an Affiliated Lender, Holdings, Bidco or any of its Subsidiaries and (C) solely in the case of Revolving Loans and Revolving Commitments, each Issuing Bank and the Swingline Lender (not to be unreasonably withheld or delayed); </w:t>
      </w:r>
      <w:r>
        <w:rPr>
          <w:rFonts w:ascii="Times New Roman" w:hAnsi="Times New Roman"/>
          <w:sz w:val="20"/>
          <w:u w:val="single"/>
        </w:rPr>
        <w:t>provided</w:t>
      </w:r>
      <w:r>
        <w:rPr>
          <w:rFonts w:ascii="Times New Roman" w:hAnsi="Times New Roman"/>
          <w:sz w:val="20"/>
        </w:rPr>
        <w:t xml:space="preserve"> that, for the avoidance of doubt, no consent of any Issuing Bank or the Swingline Lender shall be required for an assignment of all or any portion of a Term Loan or Term Commitment. Notwithstanding anything in this </w:t>
      </w:r>
      <w:r>
        <w:rPr>
          <w:rFonts w:ascii="Times New Roman" w:hAnsi="Times New Roman"/>
          <w:sz w:val="20"/>
          <w:u w:val="single"/>
        </w:rPr>
        <w:t>Section 9.04</w:t>
      </w:r>
      <w:r>
        <w:rPr>
          <w:rFonts w:ascii="Times New Roman" w:hAnsi="Times New Roman"/>
          <w:sz w:val="20"/>
        </w:rPr>
        <w:t xml:space="preserve"> to the contrary, if Bidco has not given the Administrative Agent written notice of its objection to an assignment of Term Loans within ten (10) Business Days after written notice of such assignment, Bidco shall be deemed to have consented to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$2,500,000 (and integral multiples thereof) or, in the case of a Term Loan, $1,000,000 (and integral multiples thereof), unless Bidco and the Administrative Agent otherwise consent (in each case, such consent not to be unreasonably withheld or delayed); </w:t>
      </w:r>
      <w:r>
        <w:rPr>
          <w:rFonts w:ascii="Times New Roman" w:hAnsi="Times New Roman"/>
          <w:sz w:val="20"/>
          <w:u w:val="single"/>
        </w:rPr>
        <w:t>provided</w:t>
      </w:r>
      <w:r>
        <w:rPr>
          <w:rFonts w:ascii="Times New Roman" w:hAnsi="Times New Roman"/>
          <w:sz w:val="20"/>
        </w:rPr>
        <w:t xml:space="preserve"> that no such consent of Bidco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(B) shall not be construed to prohibit assignment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p>
    <w:p>
      <w:pPr>
        <w:pStyle w:val="TextBody"/>
        <w:bidi w:val="0"/>
        <w:spacing w:before="0" w:after="0"/>
        <w:jc w:val="left"/>
        <w:rPr>
          <w:rFonts w:ascii="Times New Roman" w:hAnsi="Times New Roman"/>
          <w:sz w:val="20"/>
        </w:rPr>
      </w:pPr>
      <w:r>
        <w:rPr>
          <w:rFonts w:ascii="Times New Roman" w:hAnsi="Times New Roman"/>
          <w:sz w:val="20"/>
        </w:rPr>
        <w:t xml:space="preserve">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Times New Roman" w:hAnsi="Times New Roman"/>
          <w:sz w:val="20"/>
          <w:u w:val="single"/>
        </w:rPr>
        <w:t>provided</w:t>
      </w:r>
      <w:r>
        <w:rPr>
          <w:rFonts w:ascii="Times New Roman" w:hAnsi="Times New Roman"/>
          <w:sz w:val="20"/>
        </w:rPr>
        <w:t xml:space="preserve"> that the Administrative Agent, in its sole discretion, may elect to waive or reduce such processing and recordation fee;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and Assumption shall include a representation by the assignee that the assignee is not a Disqualified Lender or an Affiliate of a Disqualified Lender; </w:t>
      </w:r>
      <w:r>
        <w:rPr>
          <w:rFonts w:ascii="Times New Roman" w:hAnsi="Times New Roman"/>
          <w:sz w:val="20"/>
          <w:u w:val="single"/>
        </w:rPr>
        <w:t>provided further</w:t>
      </w:r>
      <w:r>
        <w:rPr>
          <w:rFonts w:ascii="Times New Roman" w:hAnsi="Times New Roman"/>
          <w:sz w:val="20"/>
        </w:rPr>
        <w:t xml:space="preserve"> that assignments made pursuant to </w:t>
      </w:r>
      <w:r>
        <w:rPr>
          <w:rFonts w:ascii="Times New Roman" w:hAnsi="Times New Roman"/>
          <w:sz w:val="20"/>
          <w:u w:val="single"/>
        </w:rPr>
        <w:t>Section 2.18(b)</w:t>
      </w:r>
      <w:r>
        <w:rPr>
          <w:rFonts w:ascii="Times New Roman" w:hAnsi="Times New Roman"/>
          <w:sz w:val="20"/>
        </w:rPr>
        <w:t xml:space="preserve"> or </w:t>
      </w:r>
      <w:r>
        <w:rPr>
          <w:rFonts w:ascii="Times New Roman" w:hAnsi="Times New Roman"/>
          <w:sz w:val="20"/>
          <w:u w:val="single"/>
        </w:rPr>
        <w:t>Section 9.02(c)</w:t>
      </w:r>
      <w:r>
        <w:rPr>
          <w:rFonts w:ascii="Times New Roman" w:hAnsi="Times New Roman"/>
          <w:sz w:val="20"/>
        </w:rPr>
        <w:t xml:space="preserve"> shall not require the signature of the assigning Lender to become effective, (D) the assignee, if it shall not be a Lender, shall deliver to the Administrative Agent any tax forms required by </w:t>
      </w:r>
      <w:r>
        <w:rPr>
          <w:rFonts w:ascii="Times New Roman" w:hAnsi="Times New Roman"/>
          <w:sz w:val="20"/>
          <w:u w:val="single"/>
        </w:rPr>
        <w:t>Section 2.16(e)</w:t>
      </w:r>
      <w:r>
        <w:rPr>
          <w:rFonts w:ascii="Times New Roman" w:hAnsi="Times New Roman"/>
          <w:sz w:val="20"/>
        </w:rPr>
        <w:t xml:space="preserve"> and an Administrative Questionnaire in which the assignee designates one or more credit contacts to whom all syndicate-level information (which may contain Material Non-Public Information about Bidco, the Loan Parties and their Related Parties or their respective securities) will be made available and who may receive such information in accordance with the assignee’s compliance procedures and applicable laws, including Federal and state securities laws and (E) unless Bidco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w:t>
      </w:r>
      <w:r>
        <w:rPr>
          <w:rFonts w:ascii="Times New Roman" w:hAnsi="Times New Roman"/>
          <w:sz w:val="20"/>
          <w:u w:val="single"/>
        </w:rPr>
        <w:t>Section 2.04(b)</w:t>
      </w:r>
      <w:r>
        <w:rPr>
          <w:rFonts w:ascii="Times New Roman" w:hAnsi="Times New Roman"/>
          <w:sz w:val="20"/>
        </w:rPr>
        <w:t xml:space="preserve"> by an amount not to exceed the difference between the assignor’s Revolving Commitment prior to such assignment and the assignor’s Revolving Commitment following such assignment; </w:t>
      </w:r>
      <w:r>
        <w:rPr>
          <w:rFonts w:ascii="Times New Roman" w:hAnsi="Times New Roman"/>
          <w:sz w:val="20"/>
          <w:u w:val="single"/>
        </w:rPr>
        <w:t>provided</w:t>
      </w:r>
      <w:r>
        <w:rPr>
          <w:rFonts w:ascii="Times New Roman" w:hAnsi="Times New Roman"/>
          <w:sz w:val="20"/>
        </w:rPr>
        <w:t xml:space="preserve"> that no such consent of Bidco shall be required if a Specified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(b)(v) of this </w:t>
      </w:r>
      <w:r>
        <w:rPr>
          <w:rFonts w:ascii="Times New Roman" w:hAnsi="Times New Roman"/>
          <w:sz w:val="20"/>
          <w:u w:val="single"/>
        </w:rPr>
        <w:t>Section 9.04</w:t>
      </w:r>
      <w:r>
        <w:rPr>
          <w:rFonts w:ascii="Times New Roman" w:hAnsi="Times New Roman"/>
          <w:sz w:val="20"/>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Times New Roman" w:hAnsi="Times New Roman"/>
          <w:sz w:val="20"/>
          <w:u w:val="single"/>
        </w:rPr>
        <w:t>Sections 2.14</w:t>
      </w:r>
      <w:r>
        <w:rPr>
          <w:rFonts w:ascii="Times New Roman" w:hAnsi="Times New Roman"/>
          <w:sz w:val="20"/>
        </w:rPr>
        <w:t>,</w:t>
      </w:r>
      <w:r>
        <w:rPr>
          <w:rFonts w:ascii="Times New Roman" w:hAnsi="Times New Roman"/>
          <w:sz w:val="20"/>
          <w:u w:val="single"/>
        </w:rPr>
        <w:t xml:space="preserve">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to any fees payable hereunder that have accrued for such Lender’s account but have not yet been paid). Any assignment or transfer by a Lender of rights or obligations under this Agreement that does not comply with this </w:t>
      </w:r>
      <w:r>
        <w:rPr>
          <w:rFonts w:ascii="Times New Roman" w:hAnsi="Times New Roman"/>
          <w:sz w:val="20"/>
          <w:u w:val="single"/>
        </w:rPr>
        <w:t>Section 9.04</w:t>
      </w:r>
      <w:r>
        <w:rPr>
          <w:rFonts w:ascii="Times New Roman" w:hAnsi="Times New Roman"/>
          <w:sz w:val="20"/>
        </w:rPr>
        <w:t xml:space="preserve"> shall be treated for purposes of this Agreement as a sale by such Lender of a participation in such rights and obligations in accordance with paragraph (c)(i) of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Bidco,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Notwithstanding the foregoing, in no event shall the Administrative Agent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p>
    <w:p>
      <w:pPr>
        <w:pStyle w:val="TextBody"/>
        <w:bidi w:val="0"/>
        <w:spacing w:before="0" w:after="0"/>
        <w:jc w:val="left"/>
        <w:rPr>
          <w:rFonts w:ascii="Times New Roman" w:hAnsi="Times New Roman"/>
          <w:sz w:val="20"/>
        </w:rPr>
      </w:pPr>
      <w:r>
        <w:rPr>
          <w:rFonts w:ascii="Times New Roman" w:hAnsi="Times New Roman"/>
          <w:sz w:val="20"/>
        </w:rPr>
        <w:t xml:space="preserve">obligated to ascertain, monitor or inquire as to whether any Lender is an Affiliated Lender, nor shall the Administrative Agent be obligated to monitor the aggregate amount of the Loans held by Affiliated Lenders. The entries in the Register shall be conclusive absent manifest error, and Holdings, Bidco,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Bidco, the Borrowers, the Issuing Banks (with respect to Revolving Lenders only), the Collateral Agent, affiliates of the Administrative Agent and any Lender (in each case as to its own interest, but not the interest of any other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and an assignee, the assignee’s completed Administrative Questionnaire and any tax forms required by </w:t>
      </w:r>
      <w:r>
        <w:rPr>
          <w:rFonts w:ascii="Times New Roman" w:hAnsi="Times New Roman"/>
          <w:sz w:val="20"/>
          <w:u w:val="single"/>
        </w:rPr>
        <w:t>Section 2.16(e)</w:t>
      </w:r>
      <w:r>
        <w:rPr>
          <w:rFonts w:ascii="Times New Roman" w:hAnsi="Times New Roman"/>
          <w:sz w:val="20"/>
        </w:rPr>
        <w:t xml:space="preserve"> (unless the assignee shall already be a Lender hereunder), the processing and recordation fee referred to in paragraph (b) of this </w:t>
      </w:r>
      <w:r>
        <w:rPr>
          <w:rFonts w:ascii="Times New Roman" w:hAnsi="Times New Roman"/>
          <w:sz w:val="20"/>
          <w:u w:val="single"/>
        </w:rPr>
        <w:t>Section 9.04</w:t>
      </w:r>
      <w:r>
        <w:rPr>
          <w:rFonts w:ascii="Times New Roman" w:hAnsi="Times New Roman"/>
          <w:sz w:val="20"/>
        </w:rPr>
        <w:t xml:space="preserve"> and any written consent to such assignment required by paragraph (b) of this </w:t>
      </w:r>
      <w:r>
        <w:rPr>
          <w:rFonts w:ascii="Times New Roman" w:hAnsi="Times New Roman"/>
          <w:sz w:val="20"/>
          <w:u w:val="single"/>
        </w:rPr>
        <w:t>Section 9.04</w:t>
      </w:r>
      <w:r>
        <w:rPr>
          <w:rFonts w:ascii="Times New Roman" w:hAnsi="Times New Roman"/>
          <w:sz w:val="20"/>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Bidco, the Borrowers, the Administrative Agent, the Issuing Banks or the Swingline Lender, sell participations to one or more banks or other Persons (other than to a Person that is not an Eligible Assignee)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Holdings, Bidco,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clauses (i), (ii), (iii), (vi) and (vii) of the first proviso to </w:t>
      </w:r>
      <w:r>
        <w:rPr>
          <w:rFonts w:ascii="Times New Roman" w:hAnsi="Times New Roman"/>
          <w:sz w:val="20"/>
          <w:u w:val="single"/>
        </w:rPr>
        <w:t>Section 9.02(b)</w:t>
      </w:r>
      <w:r>
        <w:rPr>
          <w:rFonts w:ascii="Times New Roman" w:hAnsi="Times New Roman"/>
          <w:sz w:val="20"/>
        </w:rPr>
        <w:t xml:space="preserve"> that directly and adversely affects such Participant. Subject to paragraph (c)(iii) of this Section, Bidco agrees that each Participant shall be entitled to the benefits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2.16</w:t>
      </w:r>
      <w:r>
        <w:rPr>
          <w:rFonts w:ascii="Times New Roman" w:hAnsi="Times New Roman"/>
          <w:sz w:val="20"/>
        </w:rPr>
        <w:t xml:space="preserve"> (subject to the obligations and limitations thereof and </w:t>
      </w:r>
      <w:r>
        <w:rPr>
          <w:rFonts w:ascii="Times New Roman" w:hAnsi="Times New Roman"/>
          <w:sz w:val="20"/>
          <w:u w:val="single"/>
        </w:rPr>
        <w:t>Section 2.18</w:t>
      </w:r>
      <w:r>
        <w:rPr>
          <w:rFonts w:ascii="Times New Roman" w:hAnsi="Times New Roman"/>
          <w:sz w:val="20"/>
        </w:rPr>
        <w:t xml:space="preserve">, it being understood that any tax forms required by </w:t>
      </w:r>
      <w:r>
        <w:rPr>
          <w:rFonts w:ascii="Times New Roman" w:hAnsi="Times New Roman"/>
          <w:sz w:val="20"/>
          <w:u w:val="single"/>
        </w:rPr>
        <w:t>Section 2.16(e)</w:t>
      </w:r>
      <w:r>
        <w:rPr>
          <w:rFonts w:ascii="Times New Roman" w:hAnsi="Times New Roman"/>
          <w:sz w:val="20"/>
        </w:rPr>
        <w:t xml:space="preserve"> shall be provided solely to the participating Lender) to the same extent as if it were a Lender and had acquired its interest by assignment pursuant to paragraph (b) of this </w:t>
      </w:r>
      <w:r>
        <w:rPr>
          <w:rFonts w:ascii="Times New Roman" w:hAnsi="Times New Roman"/>
          <w:sz w:val="20"/>
          <w:u w:val="single"/>
        </w:rPr>
        <w:t>Section 9.04</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9.08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2.17(c)</w:t>
      </w:r>
      <w:r>
        <w:rPr>
          <w:rFonts w:ascii="Times New Roman" w:hAnsi="Times New Roman"/>
          <w:sz w:val="20"/>
        </w:rPr>
        <w:t xml:space="preserve"> as though it were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p>
    <w:p>
      <w:pPr>
        <w:pStyle w:val="TextBody"/>
        <w:bidi w:val="0"/>
        <w:spacing w:before="0" w:after="0"/>
        <w:jc w:val="left"/>
        <w:rPr>
          <w:rFonts w:ascii="Times New Roman" w:hAnsi="Times New Roman"/>
          <w:sz w:val="20"/>
        </w:rPr>
      </w:pPr>
      <w:r>
        <w:rPr>
          <w:rFonts w:ascii="Times New Roman" w:hAnsi="Times New Roman"/>
          <w:sz w:val="20"/>
        </w:rPr>
        <w:t>(ii)    Each Lender that sells a participation shall, acting solely for this purpose as a non-fiduciary agent of Bidco, maintain a register on which it enters the name and address of each Participant and the principal amounts (and related interest amounts)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(iii)    A Participant (other than a Revolving Lender pursuant to </w:t>
      </w:r>
      <w:r>
        <w:rPr>
          <w:rFonts w:ascii="Times New Roman" w:hAnsi="Times New Roman"/>
          <w:sz w:val="20"/>
          <w:u w:val="single"/>
        </w:rPr>
        <w:t>Section 2.04(e)</w:t>
      </w:r>
      <w:r>
        <w:rPr>
          <w:rFonts w:ascii="Times New Roman" w:hAnsi="Times New Roman"/>
          <w:sz w:val="20"/>
        </w:rPr>
        <w:t xml:space="preserve">) shall not be entitled to receive any greater payment under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Bidco’s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without the consent of Bidco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Times New Roman" w:hAnsi="Times New Roman"/>
          <w:sz w:val="20"/>
          <w:u w:val="single"/>
        </w:rPr>
        <w:t>Section 9.04</w:t>
      </w:r>
      <w:r>
        <w:rPr>
          <w:rFonts w:ascii="Times New Roman" w:hAnsi="Times New Roman"/>
          <w:sz w:val="20"/>
        </w:rPr>
        <w:t xml:space="preserve">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Bidco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herein, any Lender may, at any time, assign all or a portion of its rights and obligations under this Agreement to an Affiliated Lender subject to the following limitations: </w:t>
      </w:r>
    </w:p>
    <w:p>
      <w:pPr>
        <w:pStyle w:val="TextBody"/>
        <w:bidi w:val="0"/>
        <w:spacing w:before="120" w:after="0"/>
        <w:jc w:val="left"/>
        <w:rPr>
          <w:rFonts w:ascii="Times New Roman" w:hAnsi="Times New Roman"/>
          <w:sz w:val="20"/>
        </w:rPr>
      </w:pPr>
      <w:r>
        <w:rPr>
          <w:rFonts w:ascii="Times New Roman" w:hAnsi="Times New Roman"/>
          <w:sz w:val="20"/>
        </w:rPr>
        <w:t xml:space="preserve">(i)     Affiliated Lenders (other than Affiliated Debt Funds) will not receive information provided solely to Lenders by the Administrative Agent or any Lender and will not be permitted to attend or participate in meetings attended solely by the Lenders and the Administrative Agent, other than the right to receives notices of Borrowings, notices of prepayments and other administrative notices in respect of its Loans or Commitments required to be delivered to Lenders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for purposes of any amendment, waiver or modification of any Loan Document (including such modifications pursuant to </w:t>
      </w:r>
      <w:r>
        <w:rPr>
          <w:rFonts w:ascii="Times New Roman" w:hAnsi="Times New Roman"/>
          <w:sz w:val="20"/>
          <w:u w:val="single"/>
        </w:rPr>
        <w:t>Section 9.02</w:t>
      </w:r>
      <w:r>
        <w:rPr>
          <w:rFonts w:ascii="Times New Roman" w:hAnsi="Times New Roman"/>
          <w:sz w:val="20"/>
        </w:rPr>
        <w:t xml:space="preserve">), or, subject to </w:t>
      </w:r>
      <w:r>
        <w:rPr>
          <w:rFonts w:ascii="Times New Roman" w:hAnsi="Times New Roman"/>
          <w:sz w:val="20"/>
          <w:u w:val="single"/>
        </w:rPr>
        <w:t>Section 9.02(e)</w:t>
      </w:r>
      <w:r>
        <w:rPr>
          <w:rFonts w:ascii="Times New Roman" w:hAnsi="Times New Roman"/>
          <w:sz w:val="20"/>
        </w:rPr>
        <w:t xml:space="preserve">, any plan of reorganization pursuant to the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 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Times New Roman" w:hAnsi="Times New Roman"/>
          <w:sz w:val="20"/>
          <w:u w:val="single"/>
        </w:rPr>
        <w:t>provided</w:t>
      </w:r>
      <w:r>
        <w:rPr>
          <w:rFonts w:ascii="Times New Roman" w:hAnsi="Times New Roman"/>
          <w:sz w:val="20"/>
        </w:rPr>
        <w:t xml:space="preserve"> that Affiliated Debt Funds, will not be subject to such voting limitations and will be entitled to vote as any other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Affiliated Debt Funds may not account for more than 49.9% of the “Required Lenders” in any Required Lender vote;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principal amount of Term Loans purchased by assignment pursuant to this </w:t>
      </w:r>
      <w:r>
        <w:rPr>
          <w:rFonts w:ascii="Times New Roman" w:hAnsi="Times New Roman"/>
          <w:sz w:val="20"/>
          <w:u w:val="single"/>
        </w:rPr>
        <w:t>Section 9.04</w:t>
      </w:r>
      <w:r>
        <w:rPr>
          <w:rFonts w:ascii="Times New Roman" w:hAnsi="Times New Roman"/>
          <w:sz w:val="20"/>
        </w:rPr>
        <w:t xml:space="preserve"> and held at any one time by Affiliated Lenders (other than Affiliated Debt Funds) may not exceed 25% of the aggregate principal amount of all Term Loans outstanding at the time of such purchase, after giving effect to any substantially simultaneous cancellations thereof; </w:t>
      </w:r>
    </w:p>
    <w:p>
      <w:pPr>
        <w:pStyle w:val="TextBody"/>
        <w:bidi w:val="0"/>
        <w:spacing w:before="120" w:after="0"/>
        <w:jc w:val="left"/>
        <w:rPr>
          <w:rFonts w:ascii="Times New Roman" w:hAnsi="Times New Roman"/>
          <w:sz w:val="20"/>
        </w:rPr>
      </w:pPr>
      <w:r>
        <w:rPr>
          <w:rFonts w:ascii="Times New Roman" w:hAnsi="Times New Roman"/>
          <w:sz w:val="20"/>
        </w:rPr>
        <w:t xml:space="preserve">(iv)     Affiliated Lenders shall clearly identify themselves as an Affiliated Lender in the loan assignment documentation. In no event shall the Administrative Agent be obligated to ascertain, monitor or inquire as to whether any lender is an Affiliated Lender or Affiliated Debt Fund nor shall the Administrative Agent be obligated to monitor the number of Affiliated Lenders or Affiliated Debt Funds or the aggregate amount of Term Loans or Incremental Term Loans held by Affiliated Lenders or Affiliated Debt Funds; </w:t>
      </w:r>
    </w:p>
    <w:p>
      <w:pPr>
        <w:pStyle w:val="TextBody"/>
        <w:bidi w:val="0"/>
        <w:spacing w:before="120" w:after="0"/>
        <w:jc w:val="left"/>
        <w:rPr>
          <w:rFonts w:ascii="Times New Roman" w:hAnsi="Times New Roman"/>
          <w:sz w:val="20"/>
        </w:rPr>
      </w:pPr>
      <w:r>
        <w:rPr>
          <w:rFonts w:ascii="Times New Roman" w:hAnsi="Times New Roman"/>
          <w:sz w:val="20"/>
        </w:rPr>
        <w:t xml:space="preserve">(v)     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p>
    <w:p>
      <w:pPr>
        <w:pStyle w:val="TextBody"/>
        <w:bidi w:val="0"/>
        <w:spacing w:before="0" w:after="0"/>
        <w:jc w:val="left"/>
        <w:rPr>
          <w:rFonts w:ascii="Times New Roman" w:hAnsi="Times New Roman"/>
          <w:sz w:val="20"/>
        </w:rPr>
      </w:pPr>
      <w:r>
        <w:rPr>
          <w:rFonts w:ascii="Times New Roman" w:hAnsi="Times New Roman"/>
          <w:sz w:val="20"/>
        </w:rPr>
        <w:t xml:space="preserve">applicable laws or otherwise, with respect to the nondisclosure of the Material Non-Public Information. Each Lender entering into such an assignment further acknowledges that the Material Non-Public Information may not be available to the Administrative Agent or the other Lenders; and </w:t>
      </w:r>
    </w:p>
    <w:p>
      <w:pPr>
        <w:pStyle w:val="TextBody"/>
        <w:bidi w:val="0"/>
        <w:spacing w:before="120" w:after="0"/>
        <w:jc w:val="left"/>
        <w:rPr>
          <w:rFonts w:ascii="Times New Roman" w:hAnsi="Times New Roman"/>
          <w:sz w:val="20"/>
        </w:rPr>
      </w:pPr>
      <w:r>
        <w:rPr>
          <w:rFonts w:ascii="Times New Roman" w:hAnsi="Times New Roman"/>
          <w:sz w:val="20"/>
        </w:rPr>
        <w:t xml:space="preserve">(vi)    Affiliated Lenders may not purchase Revolving Loans, including pursuant to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w:t>
      </w:r>
      <w:r>
        <w:rPr>
          <w:rFonts w:ascii="Times New Roman" w:hAnsi="Times New Roman"/>
          <w:sz w:val="20"/>
          <w:u w:val="single"/>
        </w:rPr>
        <w:t>Section 2.10(a)(ii)</w:t>
      </w:r>
      <w:r>
        <w:rPr>
          <w:rFonts w:ascii="Times New Roman" w:hAnsi="Times New Roman"/>
          <w:sz w:val="20"/>
        </w:rPr>
        <w:t xml:space="preserve"> or other customary procedures acceptable to the Administrative Agent and/or (y) open market purchases on a non-pro rata basis, </w:t>
      </w:r>
      <w:r>
        <w:rPr>
          <w:rFonts w:ascii="Times New Roman" w:hAnsi="Times New Roman"/>
          <w:sz w:val="20"/>
          <w:u w:val="single"/>
        </w:rPr>
        <w:t>provided</w:t>
      </w:r>
      <w:r>
        <w:rPr>
          <w:rFonts w:ascii="Times New Roman" w:hAnsi="Times New Roman"/>
          <w:sz w:val="20"/>
        </w:rPr>
        <w:t xml:space="preserve"> that (i) the Borrowers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foregoing, no assignment may be made or participation sold to a Disqualified Lender without the prior written consent of Bidco; </w:t>
      </w:r>
      <w:r>
        <w:rPr>
          <w:rFonts w:ascii="Times New Roman" w:hAnsi="Times New Roman"/>
          <w:sz w:val="20"/>
          <w:u w:val="single"/>
        </w:rPr>
        <w:t>provided</w:t>
      </w:r>
      <w:r>
        <w:rPr>
          <w:rFonts w:ascii="Times New Roman" w:hAnsi="Times New Roman"/>
          <w:sz w:val="20"/>
        </w:rPr>
        <w:t xml:space="preserve"> that, upon inquiry by any Lender to the Administrative Agent as to whether a specified potential assignee or prospective participant is on the list of Disqualified Lenders, the Administrative Agent shall be permitted to disclose to such Lender whether such specific potential assignee or prospective participant is on the list of Disqualified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Bidco to such Lender and the Administrative Agent and otherwise in accordance with </w:t>
      </w:r>
      <w:r>
        <w:rPr>
          <w:rFonts w:ascii="Times New Roman" w:hAnsi="Times New Roman"/>
          <w:sz w:val="20"/>
          <w:u w:val="single"/>
        </w:rPr>
        <w:t>Section 2.18(b)</w:t>
      </w:r>
      <w:r>
        <w:rPr>
          <w:rFonts w:ascii="Times New Roman" w:hAnsi="Times New Roman"/>
          <w:sz w:val="20"/>
        </w:rPr>
        <w:t xml:space="preserve">, as applicable: (1) such Lender shall promptly assign all Loans and Commitments held by such Lender to an Eligible Assignee; </w:t>
      </w:r>
      <w:r>
        <w:rPr>
          <w:rFonts w:ascii="Times New Roman" w:hAnsi="Times New Roman"/>
          <w:sz w:val="20"/>
          <w:u w:val="single"/>
        </w:rPr>
        <w:t>provided</w:t>
      </w:r>
      <w:r>
        <w:rPr>
          <w:rFonts w:ascii="Times New Roman" w:hAnsi="Times New Roman"/>
          <w:sz w:val="20"/>
        </w:rPr>
        <w:t xml:space="preserve"> that (A) the Administrative Agent shall not have any obligation to Bidco, such Lender or any other Person to find such a replacement Lender, (B) Bidco shall not have any obligation to such Disqualified Lender or any other Person to find such a replacement Lender or accept or consent to any such assignment to itself or any other Person subject to Bidco’s consent in accordance with </w:t>
      </w:r>
      <w:r>
        <w:rPr>
          <w:rFonts w:ascii="Times New Roman" w:hAnsi="Times New Roman"/>
          <w:sz w:val="20"/>
          <w:u w:val="single"/>
        </w:rPr>
        <w:t>Section 9.04(b)(i)</w:t>
      </w:r>
      <w:r>
        <w:rPr>
          <w:rFonts w:ascii="Times New Roman" w:hAnsi="Times New Roman"/>
          <w:sz w:val="20"/>
        </w:rPr>
        <w:t xml:space="preserve">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p>
    <w:p>
      <w:pPr>
        <w:pStyle w:val="TextBody"/>
        <w:bidi w:val="0"/>
        <w:spacing w:before="0" w:after="0"/>
        <w:jc w:val="left"/>
        <w:rPr>
          <w:rFonts w:ascii="Times New Roman" w:hAnsi="Times New Roman"/>
          <w:sz w:val="20"/>
        </w:rPr>
      </w:pPr>
      <w:r>
        <w:rPr>
          <w:rFonts w:ascii="Times New Roman" w:hAnsi="Times New Roman"/>
          <w:sz w:val="20"/>
        </w:rPr>
        <w:t xml:space="preserve">Class), all affected Lenders (or all affected Lenders of any Class), a Majority in Interest of Lenders of any Class or the Required Lenders have taken or may take any action hereunder (including any consent to any amendment or waiver pursuant to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the foregoing, any Affiliated Lender shall be permitted, at its option, to contribute any Term Loans so assigned to such Affiliated Lender pursuant to this </w:t>
      </w:r>
      <w:r>
        <w:rPr>
          <w:rFonts w:ascii="Times New Roman" w:hAnsi="Times New Roman"/>
          <w:sz w:val="20"/>
          <w:u w:val="single"/>
        </w:rPr>
        <w:t>Section 9.04</w:t>
      </w:r>
      <w:r>
        <w:rPr>
          <w:rFonts w:ascii="Times New Roman" w:hAnsi="Times New Roman"/>
          <w:sz w:val="20"/>
        </w:rPr>
        <w:t xml:space="preserve"> to Holdings or any of its subsidiaries for purposes of cancellation, which contribution may be made (including, with Bidco’s consent, to Bidco, whether through Holdings or any Intermediate Parent or otherwise), in exchange for Qualified Equity Interests of Holdings, any Intermediate Parent or Bidco or Indebtedness of Bidco to the extent such Indebtedness is permitted to be incurred pursuant to </w:t>
      </w:r>
      <w:r>
        <w:rPr>
          <w:rFonts w:ascii="Times New Roman" w:hAnsi="Times New Roman"/>
          <w:sz w:val="20"/>
          <w:u w:val="single"/>
        </w:rPr>
        <w:t>Section 6.01</w:t>
      </w:r>
      <w:r>
        <w:rPr>
          <w:rFonts w:ascii="Times New Roman" w:hAnsi="Times New Roman"/>
          <w:sz w:val="20"/>
        </w:rPr>
        <w:t xml:space="preserve"> at such time. </w:t>
      </w:r>
    </w:p>
    <w:p>
      <w:pPr>
        <w:pStyle w:val="TextBody"/>
        <w:bidi w:val="0"/>
        <w:spacing w:before="240" w:after="0"/>
        <w:jc w:val="left"/>
        <w:rPr>
          <w:rFonts w:ascii="Times New Roman" w:hAnsi="Times New Roman"/>
          <w:sz w:val="20"/>
        </w:rPr>
      </w:pPr>
      <w:r>
        <w:rPr>
          <w:rFonts w:ascii="Times New Roman" w:hAnsi="Times New Roman"/>
          <w:sz w:val="20"/>
        </w:rPr>
        <w:t>(j)     Notwithstanding anything to the contrary in any Loan Document, on or prior to the expiry of the Certain Funds Period: (i) any assignment transfer, sub-participation or other syndication by a Lender of all or a portion of its rights and obligations under this Agreement (including all or a portion of its Commitment and the Loans at the time owing to it) shall require the prior written consent of Bidco (in its sole discretion) and (ii) if any Lender as at the date of this Agreement (an “</w:t>
      </w:r>
      <w:r>
        <w:rPr>
          <w:rFonts w:ascii="Times New Roman" w:hAnsi="Times New Roman"/>
          <w:sz w:val="20"/>
          <w:u w:val="single"/>
        </w:rPr>
        <w:t>Existing Lender</w:t>
      </w:r>
      <w:r>
        <w:rPr>
          <w:rFonts w:ascii="Times New Roman" w:hAnsi="Times New Roman"/>
          <w:sz w:val="20"/>
        </w:rPr>
        <w:t xml:space="preserve">”) assigns, transfers, sub-participates or syndicates its rights and obligations under this Agreement (including all or a portion of its Commitment and the Loans at the time owing to it) to an Eligible Assignee, the Existing Lender shall remain on risk and liable to fund any amount which any Eligible Assignee (or subsequent Eligible Assignee) is obliged to fund during the Certain Funds Period but has failed to fund on that date, as if such transfer never occurred. </w:t>
      </w:r>
    </w:p>
    <w:p>
      <w:pPr>
        <w:pStyle w:val="TextBody"/>
        <w:bidi w:val="0"/>
        <w:spacing w:before="240" w:after="0"/>
        <w:jc w:val="left"/>
        <w:rPr>
          <w:rFonts w:ascii="Times New Roman" w:hAnsi="Times New Roman"/>
          <w:sz w:val="20"/>
        </w:rPr>
      </w:pPr>
      <w:r>
        <w:rPr>
          <w:rFonts w:ascii="Times New Roman" w:hAnsi="Times New Roman"/>
          <w:sz w:val="20"/>
        </w:rPr>
        <w:t xml:space="preserve">(k)     Each party agrees that in case of any assignment, transfer and/or novation permitted under, and made in accordance with, the provisions of this Agreement or any Loan Document, any security interest provided pursuant to a Security Document and the guarantees given under this Agreement shall be preserved for the benefit of the Collateral Agent, the new Lender, the Participant and the remaining Secured Parties (including for purposes of article 1278 and article 1281 of the Luxembourg Civil Code). </w:t>
      </w:r>
    </w:p>
    <w:p>
      <w:pPr>
        <w:pStyle w:val="TextBody"/>
        <w:bidi w:val="0"/>
        <w:spacing w:before="360" w:after="0"/>
        <w:jc w:val="left"/>
        <w:rPr>
          <w:rFonts w:ascii="Times New Roman" w:hAnsi="Times New Roman"/>
          <w:sz w:val="20"/>
        </w:rPr>
      </w:pPr>
      <w:r>
        <w:rPr>
          <w:rFonts w:ascii="Times New Roman" w:hAnsi="Times New Roman"/>
          <w:sz w:val="20"/>
        </w:rPr>
        <w:t>SECTION 9.05    </w:t>
      </w:r>
      <w:r>
        <w:rPr>
          <w:rFonts w:ascii="Times New Roman" w:hAnsi="Times New Roman"/>
          <w:sz w:val="20"/>
          <w:u w:val="single"/>
        </w:rPr>
        <w:t>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w:t>
      </w:r>
      <w:r>
        <w:rPr>
          <w:rFonts w:ascii="Times New Roman" w:hAnsi="Times New Roman"/>
          <w:sz w:val="20"/>
          <w:u w:val="single"/>
        </w:rPr>
        <w:t>Sections 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w:t>
      </w:r>
      <w:r>
        <w:rPr>
          <w:rFonts w:ascii="Times New Roman" w:hAnsi="Times New Roman"/>
          <w:sz w:val="20"/>
          <w:u w:val="single"/>
        </w:rPr>
        <w:t>8.11</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shall survive and remain in full force and effect regardless of the consummation of the transactions contemplated hereby, the repayment of the Loans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p>
    <w:p>
      <w:pPr>
        <w:pStyle w:val="TextBody"/>
        <w:bidi w:val="0"/>
        <w:spacing w:before="0" w:after="0"/>
        <w:jc w:val="left"/>
        <w:rPr>
          <w:rFonts w:ascii="Times New Roman" w:hAnsi="Times New Roman"/>
          <w:sz w:val="20"/>
        </w:rPr>
      </w:pPr>
      <w:r>
        <w:rPr>
          <w:rFonts w:ascii="Times New Roman" w:hAnsi="Times New Roman"/>
          <w:sz w:val="20"/>
        </w:rPr>
        <w:t xml:space="preserve">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pursuant to arrangements reasonably satisfactory to the applicable Issuing Bank),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 w:hAnsi="Times New Roman"/>
          <w:sz w:val="20"/>
          <w:u w:val="single"/>
        </w:rPr>
        <w:t>Section 2.04(e)</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9.06    </w:t>
      </w:r>
      <w:r>
        <w:rPr>
          <w:rFonts w:ascii="Times New Roman" w:hAnsi="Times New Roman"/>
          <w:sz w:val="20"/>
          <w:u w:val="single"/>
        </w:rPr>
        <w:t>Counterparts; Integration;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 For the avoidance of doubt, the words “execution,” “signed,” “signature,” and words of like import in this Agreement, any other Loan Document or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360" w:after="0"/>
        <w:jc w:val="left"/>
        <w:rPr>
          <w:rFonts w:ascii="Times New Roman" w:hAnsi="Times New Roman"/>
          <w:sz w:val="20"/>
        </w:rPr>
      </w:pPr>
      <w:r>
        <w:rPr>
          <w:rFonts w:ascii="Times New Roman" w:hAnsi="Times New Roman"/>
          <w:sz w:val="20"/>
        </w:rPr>
        <w:t>SECTION 9.07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hAnsi="Times New Roman"/>
          <w:sz w:val="20"/>
          <w:u w:val="single"/>
        </w:rPr>
        <w:t>Section 9.07</w:t>
      </w:r>
      <w:r>
        <w:rPr>
          <w:rFonts w:ascii="Times New Roman" w:hAnsi="Times New Roman"/>
          <w:sz w:val="20"/>
        </w:rPr>
        <w:t xml:space="preserve">, if and to the extent that the enforceability of any provisions in this Agreement relating to Defaulting Lenders shall be limited by Debtor Relief Laws or the Legal Reservations, as determined in good faith by the Administrative Agent, the Issuing Banks or the Swingline Lender, as applicable, then such provisions shall be deemed to be in effect only to the extent not so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p>
    <w:p>
      <w:pPr>
        <w:pStyle w:val="TextBody"/>
        <w:bidi w:val="0"/>
        <w:spacing w:before="0" w:after="0"/>
        <w:jc w:val="left"/>
        <w:rPr>
          <w:rFonts w:ascii="Times New Roman" w:hAnsi="Times New Roman"/>
          <w:sz w:val="20"/>
        </w:rPr>
      </w:pPr>
      <w:r>
        <w:rPr>
          <w:rFonts w:ascii="Times New Roman" w:hAnsi="Times New Roman"/>
          <w:sz w:val="20"/>
        </w:rPr>
        <w:t>SECTION 9.08    </w:t>
      </w:r>
      <w:r>
        <w:rPr>
          <w:rFonts w:ascii="Times New Roman" w:hAnsi="Times New Roman"/>
          <w:sz w:val="20"/>
          <w:u w:val="single"/>
        </w:rPr>
        <w:t>Right of Setoff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a Borrower (excluding, for the avoidance of doubt, any Settlement Assets except to effect Settlement Payments such Lender is obligated to make to a third party in respect of such Settlement Assets or as otherwise agreed in writing between the applicable Borrower and such Lender) against any of and all the obligations of the Borrowers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2.21</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applicable Borrower and the Administrative Agent of such setoff and application; </w:t>
      </w:r>
      <w:r>
        <w:rPr>
          <w:rFonts w:ascii="Times New Roman" w:hAnsi="Times New Roman"/>
          <w:sz w:val="20"/>
          <w:u w:val="single"/>
        </w:rPr>
        <w:t>provided</w:t>
      </w:r>
      <w:r>
        <w:rPr>
          <w:rFonts w:ascii="Times New Roman" w:hAnsi="Times New Roman"/>
          <w:sz w:val="20"/>
        </w:rPr>
        <w:t xml:space="preserve"> that any failure to give or any delay in giving such notice shall not affect the validity of any such setoff and application under this </w:t>
      </w:r>
      <w:r>
        <w:rPr>
          <w:rFonts w:ascii="Times New Roman" w:hAnsi="Times New Roman"/>
          <w:sz w:val="20"/>
          <w:u w:val="single"/>
        </w:rPr>
        <w:t>Section 9.08</w:t>
      </w:r>
      <w:r>
        <w:rPr>
          <w:rFonts w:ascii="Times New Roman" w:hAnsi="Times New Roman"/>
          <w:sz w:val="20"/>
        </w:rPr>
        <w:t xml:space="preserve">. The rights of each Lender and each Issuing Bank under this </w:t>
      </w:r>
      <w:r>
        <w:rPr>
          <w:rFonts w:ascii="Times New Roman" w:hAnsi="Times New Roman"/>
          <w:sz w:val="20"/>
          <w:u w:val="single"/>
        </w:rPr>
        <w:t>Section 9.08</w:t>
      </w:r>
      <w:r>
        <w:rPr>
          <w:rFonts w:ascii="Times New Roman" w:hAnsi="Times New Roman"/>
          <w:sz w:val="20"/>
        </w:rPr>
        <w:t xml:space="preserve"> are in addition to other rights and remedies (including other rights of setoff) that such Lender or such Issuing Bank may have. Notwithstanding the foregoing, no amount set off from any Loan Party (other than the Borrowers) shall be applied to any Excluded Swap Obligation of such Loan Party (other than the Borrowers). </w:t>
      </w:r>
    </w:p>
    <w:p>
      <w:pPr>
        <w:pStyle w:val="TextBody"/>
        <w:bidi w:val="0"/>
        <w:spacing w:before="360" w:after="0"/>
        <w:jc w:val="left"/>
        <w:rPr>
          <w:rFonts w:ascii="Times New Roman" w:hAnsi="Times New Roman"/>
          <w:sz w:val="20"/>
        </w:rPr>
      </w:pPr>
      <w:r>
        <w:rPr>
          <w:rFonts w:ascii="Times New Roman" w:hAnsi="Times New Roman"/>
          <w:sz w:val="20"/>
        </w:rPr>
        <w:t>SECTION 9.09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to enforce any award or judgment or exercise any rights under the Security Documents against any Collateral in any other forum in which Collateral is located.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w:t>
      </w:r>
      <w:r>
        <w:rPr>
          <w:rFonts w:ascii="Times New Roman" w:hAnsi="Times New Roman"/>
          <w:sz w:val="20"/>
          <w:u w:val="single"/>
        </w:rPr>
        <w:t>Section 9.09</w:t>
      </w:r>
      <w:r>
        <w:rPr>
          <w:rFonts w:ascii="Times New Roman" w:hAnsi="Times New Roman"/>
          <w:sz w:val="20"/>
        </w:rPr>
        <w:t xml:space="preserve">. Each of the parties hereto hereby irrevocably waives, to the fullest extent permitted by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p>
    <w:p>
      <w:pPr>
        <w:pStyle w:val="TextBody"/>
        <w:bidi w:val="0"/>
        <w:spacing w:before="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w:t>
      </w:r>
      <w:r>
        <w:rPr>
          <w:rFonts w:ascii="Times New Roman" w:hAnsi="Times New Roman"/>
          <w:sz w:val="20"/>
          <w:u w:val="single"/>
        </w:rPr>
        <w:t>Section 9.01</w:t>
      </w:r>
      <w:r>
        <w:rPr>
          <w:rFonts w:ascii="Times New Roman" w:hAnsi="Times New Roman"/>
          <w:sz w:val="20"/>
        </w:rPr>
        <w:t xml:space="preserve">. Nothing in any Loan Document will affect the right of any party to this Agreement to serve process in any other manner permitted by law. Without limiting the other provisions of this </w:t>
      </w:r>
      <w:r>
        <w:rPr>
          <w:rFonts w:ascii="Times New Roman" w:hAnsi="Times New Roman"/>
          <w:sz w:val="20"/>
          <w:u w:val="single"/>
        </w:rPr>
        <w:t>Section 9.09</w:t>
      </w:r>
      <w:r>
        <w:rPr>
          <w:rFonts w:ascii="Times New Roman" w:hAnsi="Times New Roman"/>
          <w:sz w:val="20"/>
        </w:rPr>
        <w:t xml:space="preserve"> and in addition to the service of process provided for herein, the Finco Borrower, Bidco and Holdings hereby irrevocably designate, appoints and empowers the U.S. Borrower (and the U.S. Borrower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If for any reason the U.S. Borrower shall cease to be available to act as such, the Finco Borrower, Bidco and Holdings agree to promptly designate a new authorized designee, appointee and agent in New York City on the terms and for the purposes of this provision reasonably satisfactory to the Administrative Agent under this Agreement. </w:t>
      </w:r>
    </w:p>
    <w:p>
      <w:pPr>
        <w:pStyle w:val="TextBody"/>
        <w:bidi w:val="0"/>
        <w:spacing w:before="360" w:after="0"/>
        <w:jc w:val="left"/>
        <w:rPr>
          <w:rFonts w:ascii="Times New Roman" w:hAnsi="Times New Roman"/>
          <w:sz w:val="20"/>
        </w:rPr>
      </w:pPr>
      <w:r>
        <w:rPr>
          <w:rFonts w:ascii="Times New Roman" w:hAnsi="Times New Roman"/>
          <w:sz w:val="20"/>
        </w:rPr>
        <w:t>SECTION 9.10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9.11    </w:t>
      </w:r>
      <w:r>
        <w:rPr>
          <w:rFonts w:ascii="Times New Roman" w:hAnsi="Times New Roman"/>
          <w:sz w:val="20"/>
          <w:u w:val="single"/>
        </w:rPr>
        <w:t>Headings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360" w:after="0"/>
        <w:jc w:val="left"/>
        <w:rPr>
          <w:rFonts w:ascii="Times New Roman" w:hAnsi="Times New Roman"/>
          <w:sz w:val="20"/>
        </w:rPr>
      </w:pPr>
      <w:r>
        <w:rPr>
          <w:rFonts w:ascii="Times New Roman" w:hAnsi="Times New Roman"/>
          <w:sz w:val="20"/>
        </w:rPr>
        <w:t>SECTION 9.12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w:t>
      </w:r>
      <w:r>
        <w:rPr>
          <w:rFonts w:ascii="Times New Roman" w:hAnsi="Times New Roman"/>
          <w:sz w:val="20"/>
          <w:u w:val="single"/>
        </w:rPr>
        <w:t>Section 9.12</w:t>
      </w:r>
      <w:r>
        <w:rPr>
          <w:rFonts w:ascii="Times New Roman" w:hAnsi="Times New Roman"/>
          <w:sz w:val="20"/>
        </w:rPr>
        <w:t xml:space="preserve"> shall constitute a breach of this </w:t>
      </w:r>
      <w:r>
        <w:rPr>
          <w:rFonts w:ascii="Times New Roman" w:hAnsi="Times New Roman"/>
          <w:sz w:val="20"/>
          <w:u w:val="single"/>
        </w:rPr>
        <w:t>Section 9.12</w:t>
      </w:r>
      <w:r>
        <w:rPr>
          <w:rFonts w:ascii="Times New Roman" w:hAnsi="Times New Roman"/>
          <w:sz w:val="20"/>
        </w:rPr>
        <w:t xml:space="preserve"> by the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hAnsi="Times New Roman"/>
          <w:sz w:val="20"/>
          <w:u w:val="single"/>
        </w:rPr>
        <w:t>provided</w:t>
      </w:r>
      <w:r>
        <w:rPr>
          <w:rFonts w:ascii="Times New Roman" w:hAnsi="Times New Roman"/>
          <w:sz w:val="20"/>
        </w:rPr>
        <w:t xml:space="preserve"> that (x) solely to the extent permitted by law and other than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p>
    <w:p>
      <w:pPr>
        <w:pStyle w:val="TextBody"/>
        <w:bidi w:val="0"/>
        <w:spacing w:before="0" w:after="0"/>
        <w:jc w:val="left"/>
        <w:rPr>
          <w:rFonts w:ascii="Times New Roman" w:hAnsi="Times New Roman"/>
          <w:sz w:val="20"/>
        </w:rPr>
      </w:pPr>
      <w:r>
        <w:rPr>
          <w:rFonts w:ascii="Times New Roman" w:hAnsi="Times New Roman"/>
          <w:sz w:val="20"/>
        </w:rPr>
        <w:t xml:space="preserve">connection with routine audits and reviews by regulatory and self-regulatory authorities, each Lender and the Administrative Agent shall notify Bidco and the Borrowers as promptly as practicable of any such requested or required disclosure in connection with any legal or regulatory proceeding and (y) in the case of clause (ii) only, each Lender and the Administrative Agent shall use commercially reasonable efforts to ensure that such Information is kept confidential in connection with the exercise of such remedies;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any Lender or the Administrative Agent be obligated or required to return any materials furnished by Bidco or any Subsidiary of Holdings, (iii) to any other party to this Agreement, (iv) subject to an agreement containing confidentiality undertakings substantially similar to those of this </w:t>
      </w:r>
      <w:r>
        <w:rPr>
          <w:rFonts w:ascii="Times New Roman" w:hAnsi="Times New Roman"/>
          <w:sz w:val="20"/>
          <w:u w:val="single"/>
        </w:rPr>
        <w:t>Section 9.12</w:t>
      </w:r>
      <w:r>
        <w:rPr>
          <w:rFonts w:ascii="Times New Roman" w:hAnsi="Times New Roman"/>
          <w:sz w:val="20"/>
        </w:rPr>
        <w:t xml:space="preserve">,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w:t>
      </w:r>
      <w:r>
        <w:rPr>
          <w:rFonts w:ascii="Times New Roman" w:hAnsi="Times New Roman"/>
          <w:sz w:val="20"/>
          <w:u w:val="single"/>
        </w:rPr>
        <w:t>Section 9.04(d)</w:t>
      </w:r>
      <w:r>
        <w:rPr>
          <w:rFonts w:ascii="Times New Roman" w:hAnsi="Times New Roman"/>
          <w:sz w:val="20"/>
        </w:rPr>
        <w:t xml:space="preserve">, (v) if required by any rating agency; </w:t>
      </w:r>
      <w:r>
        <w:rPr>
          <w:rFonts w:ascii="Times New Roman" w:hAnsi="Times New Roman"/>
          <w:sz w:val="20"/>
          <w:u w:val="single"/>
        </w:rPr>
        <w:t>provided</w:t>
      </w:r>
      <w:r>
        <w:rPr>
          <w:rFonts w:ascii="Times New Roman" w:hAnsi="Times New Roman"/>
          <w:sz w:val="20"/>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w:t>
      </w:r>
      <w:r>
        <w:rPr>
          <w:rFonts w:ascii="Times New Roman" w:hAnsi="Times New Roman"/>
          <w:sz w:val="20"/>
          <w:u w:val="single"/>
        </w:rPr>
        <w:t>e.g</w:t>
      </w:r>
      <w:r>
        <w:rPr>
          <w:rFonts w:ascii="Times New Roman" w:hAnsi="Times New Roman"/>
          <w:sz w:val="20"/>
        </w:rPr>
        <w:t xml:space="preserve">., identities of parties, maturity dates, interest rates, etc.) on a confidential basis, or (vii) to the extent such Information (x) becomes publicly available other than as a result of a breach of this </w:t>
      </w:r>
      <w:r>
        <w:rPr>
          <w:rFonts w:ascii="Times New Roman" w:hAnsi="Times New Roman"/>
          <w:sz w:val="20"/>
          <w:u w:val="single"/>
        </w:rPr>
        <w:t>Section 9.12</w:t>
      </w:r>
      <w:r>
        <w:rPr>
          <w:rFonts w:ascii="Times New Roman" w:hAnsi="Times New Roman"/>
          <w:sz w:val="20"/>
        </w:rPr>
        <w:t>, (y) becomes available to the Administrative Agent, any Issuing Bank, any Lender or any of their respective Affiliates on a nonconfidential basis from a source other than Holdings, Bidco or any Subsidiary, which source is not known by the recipient of such information to be subject to a confidentiality obligation or (z) is independently developed without the use of other Information. For the purposes hereof, “</w:t>
      </w:r>
      <w:r>
        <w:rPr>
          <w:rFonts w:ascii="Times New Roman" w:hAnsi="Times New Roman"/>
          <w:sz w:val="20"/>
          <w:u w:val="single"/>
        </w:rPr>
        <w:t>Information</w:t>
      </w:r>
      <w:r>
        <w:rPr>
          <w:rFonts w:ascii="Times New Roman" w:hAnsi="Times New Roman"/>
          <w:sz w:val="20"/>
        </w:rPr>
        <w:t xml:space="preserve">” means all information received from or on behalf of Holdings or Bidco relating to Holdings, Bidco, any other Subsidiary or their business, other than any such information that is available to the Administrative Agent, any Issuing Bank or any Lender on a nonconfidential basis prior to disclosure by Holdings, Bidco or any Subsidiary; </w:t>
      </w:r>
      <w:r>
        <w:rPr>
          <w:rFonts w:ascii="Times New Roman" w:hAnsi="Times New Roman"/>
          <w:sz w:val="20"/>
          <w:u w:val="single"/>
        </w:rPr>
        <w:t>provided</w:t>
      </w:r>
      <w:r>
        <w:rPr>
          <w:rFonts w:ascii="Times New Roman" w:hAnsi="Times New Roman"/>
          <w:sz w:val="20"/>
        </w:rPr>
        <w:t xml:space="preserve"> that, in the case of information received from Holdings, Bidco or any Subsidiary after the Effective Date, such information is clearly identified at the time of delivery as confidential. Any Person required to maintain the confidentiality of Information as provided in this </w:t>
      </w:r>
      <w:r>
        <w:rPr>
          <w:rFonts w:ascii="Times New Roman" w:hAnsi="Times New Roman"/>
          <w:sz w:val="20"/>
          <w:u w:val="single"/>
        </w:rPr>
        <w:t>Section 9.12</w:t>
      </w:r>
      <w:r>
        <w:rPr>
          <w:rFonts w:ascii="Times New Roman" w:hAnsi="Times New Roman"/>
          <w:sz w:val="20"/>
        </w:rPr>
        <w:t xml:space="preserve">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Bidco’s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ACKNOWLEDGES THAT INFORMATION (AS DEFINED IN </w:t>
      </w:r>
      <w:r>
        <w:rPr>
          <w:rFonts w:ascii="Times New Roman" w:hAnsi="Times New Roman"/>
          <w:sz w:val="20"/>
          <w:u w:val="single"/>
        </w:rPr>
        <w:t>SECTION 9.12(A)</w:t>
      </w:r>
      <w:r>
        <w:rPr>
          <w:rFonts w:ascii="Times New Roman" w:hAnsi="Times New Roman"/>
          <w:sz w:val="20"/>
        </w:rPr>
        <w:t xml:space="preserve">) FURNISHED TO IT PURSUANT TO THIS AGREEMENT MAY INCLUDE MATERIAL NON-PUBLIC INFORMATION CONCERNING HOLDINGS, BIDCO,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ALL INFORMATION, INCLUDING REQUESTS FOR WAIVERS AND AMENDMENTS FURNISHED BY BIDCO, THE BORROWERS OR THE ADMINISTRATIVE AGENT PURSUANT TO, OR IN THE COURSE OF ADMINISTERING, THIS AGREEMENT, WILL BE SYNDICATE-LEVEL INFORMATION, WHICH MAY CONTAIN MATERIAL NON-PUBLIC INFORMATION ABOUT HOLDINGS, BIDCO, THE LOAN PARTIES AND THEIR RELATED PARTIES OR THEIR RESPECTIVE SECURITIES. ACCORDINGLY, EACH LENDER REPRESENTS TO BIDCO AND THE BORROWERS AND THE ADMINISTRATIVE AGENT THAT IT HAS IDENTIFIED IN ITS ADMINISTRATIVE QUESTIONNAIRE A CREDIT CONTACT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p>
    <w:p>
      <w:pPr>
        <w:pStyle w:val="TextBody"/>
        <w:bidi w:val="0"/>
        <w:spacing w:before="0" w:after="0"/>
        <w:jc w:val="left"/>
        <w:rPr>
          <w:rFonts w:ascii="Times New Roman" w:hAnsi="Times New Roman"/>
          <w:sz w:val="20"/>
        </w:rPr>
      </w:pPr>
      <w:r>
        <w:rPr>
          <w:rFonts w:ascii="Times New Roman" w:hAnsi="Times New Roman"/>
          <w:sz w:val="20"/>
        </w:rPr>
        <w:t xml:space="preserve">MAY RECEIVE INFORMATION THAT MAY CONTAIN MATERIAL NON-PUBLIC INFORMATION IN ACCORDANCE WITH ITS COMPLIANCE PROCEDURES AND APPLICABLE LAW, INCLUDING FEDERAL AND STATE SECURITIES LAWS. </w:t>
      </w:r>
    </w:p>
    <w:p>
      <w:pPr>
        <w:pStyle w:val="TextBody"/>
        <w:bidi w:val="0"/>
        <w:spacing w:before="360" w:after="0"/>
        <w:jc w:val="left"/>
        <w:rPr>
          <w:rFonts w:ascii="Times New Roman" w:hAnsi="Times New Roman"/>
          <w:sz w:val="20"/>
        </w:rPr>
      </w:pPr>
      <w:r>
        <w:rPr>
          <w:rFonts w:ascii="Times New Roman" w:hAnsi="Times New Roman"/>
          <w:sz w:val="20"/>
        </w:rPr>
        <w:t>SECTION 9.13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that is subject to the USA PATRIOT Act and the Beneficial Ownership Regulation and the Administrative Agent (for itself and not on behalf of any Lender) hereby notifies Bidco and the Borrowers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 </w:t>
      </w:r>
    </w:p>
    <w:p>
      <w:pPr>
        <w:pStyle w:val="TextBody"/>
        <w:bidi w:val="0"/>
        <w:spacing w:before="360" w:after="0"/>
        <w:jc w:val="left"/>
        <w:rPr>
          <w:rFonts w:ascii="Times New Roman" w:hAnsi="Times New Roman"/>
          <w:sz w:val="20"/>
        </w:rPr>
      </w:pPr>
      <w:r>
        <w:rPr>
          <w:rFonts w:ascii="Times New Roman" w:hAnsi="Times New Roman"/>
          <w:sz w:val="20"/>
        </w:rPr>
        <w:t>SECTION 9.14    </w:t>
      </w:r>
      <w:r>
        <w:rPr>
          <w:rFonts w:ascii="Times New Roman" w:hAnsi="Times New Roman"/>
          <w:sz w:val="20"/>
          <w:u w:val="single"/>
        </w:rPr>
        <w:t>Release of Liens and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or designation permitted by this Agreement as a result of which such Subsidiary Loan Party ceases to be a Restricted Subsidiary (including pursuant to a permitted merger with a Subsidiary that is not a Loan Party or a designation as an Unrestricted Subsidiary) or becomes an Excluded Subsidiary (other than solely as a result of becoming a Non-Wholly Owned Subsidiary) or (2) at the written election of Bidco or any Borrower, in connection with a transaction permitted under this Agreement, as a result of which such Subsidiary Loan Party ceases to be a Wholly Owned Subsidiary, unless the primary purpose (as reasonably determined by Bidco) of such transaction was to release such Subsidiary Loan Party from its obligations under the Loan Documents; </w:t>
      </w:r>
      <w:r>
        <w:rPr>
          <w:rFonts w:ascii="Times New Roman" w:hAnsi="Times New Roman"/>
          <w:sz w:val="20"/>
          <w:u w:val="single"/>
        </w:rPr>
        <w:t>provided</w:t>
      </w:r>
      <w:r>
        <w:rPr>
          <w:rFonts w:ascii="Times New Roman" w:hAnsi="Times New Roman"/>
          <w:sz w:val="20"/>
        </w:rPr>
        <w:t xml:space="preserve"> that, if so required by this Agreement, the Required Lenders shall have consented to such transaction and the terms of such consent shall not have provided otherwise. Upon any sale, disposition or other transfer by any Loan Party (other than to Holdings, any Intermediate Parent, Bidco, any Borrower or any Subsidiary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Loan Documents and all security interests created by the Security Documents shall be automatically released. In connection with any termination or release pursuant to this </w:t>
      </w:r>
      <w:r>
        <w:rPr>
          <w:rFonts w:ascii="Times New Roman" w:hAnsi="Times New Roman"/>
          <w:sz w:val="20"/>
          <w:u w:val="single"/>
        </w:rPr>
        <w:t>Section 9.14</w:t>
      </w:r>
      <w:r>
        <w:rPr>
          <w:rFonts w:ascii="Times New Roman" w:hAnsi="Times New Roman"/>
          <w:sz w:val="20"/>
        </w:rPr>
        <w:t xml:space="preserve">, the Administrative Agent or the Collateral Agent, as the case may be, shall execute and deliver to any Loan Party, at such Loan Party’s expense, all documents that such Loan Party shall reasonably request to file or register in any office, or to evidence such termination or release, so long as Bidco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or the Collateral Agent, as the case may be, will, at the Borrowers’ expense, execute and deliver to the applicable Loan Party or file or register in any office such documents as such Loan Party may reasonably request to subordinate its Lien on any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p>
    <w:p>
      <w:pPr>
        <w:pStyle w:val="TextBody"/>
        <w:bidi w:val="0"/>
        <w:spacing w:before="0" w:after="0"/>
        <w:jc w:val="left"/>
        <w:rPr>
          <w:rFonts w:ascii="Times New Roman" w:hAnsi="Times New Roman"/>
          <w:sz w:val="20"/>
        </w:rPr>
      </w:pPr>
      <w:r>
        <w:rPr>
          <w:rFonts w:ascii="Times New Roman" w:hAnsi="Times New Roman"/>
          <w:sz w:val="20"/>
        </w:rPr>
        <w:t xml:space="preserve">granted to or held by the Administrative Agent or the Collateral Agent, as the case may be, under any Loan Document to the holder of any Lien on such property that is permitted by clause (6) of the definition of “Permitted Liens” (solely with respect to the reference to </w:t>
      </w:r>
      <w:r>
        <w:rPr>
          <w:rFonts w:ascii="Times New Roman" w:hAnsi="Times New Roman"/>
          <w:sz w:val="20"/>
          <w:u w:val="single"/>
        </w:rPr>
        <w:t>Section 6.01(b)(iii)</w:t>
      </w:r>
      <w:r>
        <w:rPr>
          <w:rFonts w:ascii="Times New Roman" w:hAnsi="Times New Roman"/>
          <w:sz w:val="20"/>
        </w:rPr>
        <w:t xml:space="preserve">) and clause (8) of the definition of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Lenders and the Issuing Banks irrevocably authorizes the Administrative Agent or the Collateral Agent, as the case may be, to provide any release or evidence of release, termination or subordination contemplated by this </w:t>
      </w:r>
      <w:r>
        <w:rPr>
          <w:rFonts w:ascii="Times New Roman" w:hAnsi="Times New Roman"/>
          <w:sz w:val="20"/>
          <w:u w:val="single"/>
        </w:rPr>
        <w:t>Section 9.14</w:t>
      </w:r>
      <w:r>
        <w:rPr>
          <w:rFonts w:ascii="Times New Roman" w:hAnsi="Times New Roman"/>
          <w:sz w:val="20"/>
        </w:rPr>
        <w:t xml:space="preserve">.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9.15    </w:t>
      </w:r>
      <w:r>
        <w:rPr>
          <w:rFonts w:ascii="Times New Roman" w:hAnsi="Times New Roman"/>
          <w:sz w:val="20"/>
          <w:u w:val="single"/>
        </w:rPr>
        <w:t>No Advisory or Fiduciary Responsibility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all aspects of each transaction contemplated hereby (including in connection with any amendment, waiver or other modification hereof or of any other Loan Document), each of Bidco, the Borrowers and Holdings acknowledges and agrees that (i) (A) the arranging and other services regarding this Agreement provided by the Administrative Agent, the Joint Lead Arrangers, the Issuing Banks and the Lenders are arm’s-length commercial transactions between the Borrowers, Holdings and their respective Affiliates, on the one hand, and the Administrative Agent, the Joint Lead Arrangers, the Issuing Banks and the Lenders on the other hand, (B) each of Bidco, the Borrowers and Holdings has consulted its own legal, accounting, regulatory and tax advisors to the extent it has deemed appropriate, and (C) each of Bidco, the Borrowers and Holdings is capable of evaluating, and understands and accepts, the terms, risks and conditions of the transactions contemplated hereby and by the other Loan Documents; (ii) (A) 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Bidco, the Borrowers, Holdings, any of their respective Affiliates or any other Person and (B) none of the Administrative Agent, the Joint Lead Arrangers, the Issuing Banks and the Lenders has any obligation to Bidco, the Borrowers, Holdings or any of their respective Affiliates with respect to the transactions contemplated hereby except those obligations expressly set forth herein and in the other Loan Documents; and (iii) the Administrative Agent, the Joint Lead Arrangers, the Issuing Banks and the Lenders and their respective Affiliates may be engaged in a broad range of transactions that involve interests that differ from those of Bidco, the Borrowers, Holdings and their respective Affiliates, and none of the Administrative Agent, the Joint Lead Arrangers, the Issuing Banks and the Lenders has any obligation to disclose any of such interests to Bidco, the Borrowers, Holdings or any of their respective Affiliates. To the fullest extent permitted by law, each of Bidco, the Borrowers and Holdings hereby waives and releases any claims that it may have against the Administrative Agent, the Joint Lead Arrangers, the Issuing Banks and the Lenders with respect to any breach or alleged breach of agency or fiduciary duty in connection with any aspect of any transaction contemplated hereby. </w:t>
      </w:r>
    </w:p>
    <w:p>
      <w:pPr>
        <w:pStyle w:val="TextBody"/>
        <w:bidi w:val="0"/>
        <w:spacing w:before="360" w:after="0"/>
        <w:jc w:val="left"/>
        <w:rPr>
          <w:rFonts w:ascii="Times New Roman" w:hAnsi="Times New Roman"/>
          <w:sz w:val="20"/>
        </w:rPr>
      </w:pPr>
      <w:r>
        <w:rPr>
          <w:rFonts w:ascii="Times New Roman" w:hAnsi="Times New Roman"/>
          <w:sz w:val="20"/>
        </w:rPr>
        <w:t>SECTION 9.16    </w:t>
      </w:r>
      <w:r>
        <w:rPr>
          <w:rFonts w:ascii="Times New Roman" w:hAnsi="Times New Roman"/>
          <w:sz w:val="20"/>
          <w:u w:val="single"/>
        </w:rPr>
        <w:t>Interest Rate Limitation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p>
    <w:p>
      <w:pPr>
        <w:pStyle w:val="TextBody"/>
        <w:bidi w:val="0"/>
        <w:spacing w:before="0" w:after="0"/>
        <w:jc w:val="left"/>
        <w:rPr>
          <w:rFonts w:ascii="Times New Roman" w:hAnsi="Times New Roman"/>
          <w:sz w:val="20"/>
        </w:rPr>
      </w:pPr>
      <w:r>
        <w:rPr>
          <w:rFonts w:ascii="Times New Roman" w:hAnsi="Times New Roman"/>
          <w:sz w:val="20"/>
        </w:rPr>
        <w:t xml:space="preserve">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360" w:after="0"/>
        <w:jc w:val="left"/>
        <w:rPr>
          <w:rFonts w:ascii="Times New Roman" w:hAnsi="Times New Roman"/>
          <w:sz w:val="20"/>
        </w:rPr>
      </w:pPr>
      <w:r>
        <w:rPr>
          <w:rFonts w:ascii="Times New Roman" w:hAnsi="Times New Roman"/>
          <w:sz w:val="20"/>
        </w:rPr>
        <w:t>SECTION 9.17    </w:t>
      </w:r>
      <w:r>
        <w:rPr>
          <w:rFonts w:ascii="Times New Roman" w:hAnsi="Times New Roman"/>
          <w:sz w:val="20"/>
          <w:u w:val="single"/>
        </w:rPr>
        <w:t>Intercreditor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Agreement or in any other Loan Document: (a) the Liens granted to the Collateral Agent in favor of the Secured Parties pursuant to the Loan Documents and the exercise of any right related to any Collateral shall be subject, in each case, to the terms of the Pari Passu Intercreditor Agreement and Customary Intercreditor Agreements then in effect, (b) in the event of any conflict between the express terms and provisions of this Agreement or any other Loan Document, on the one hand, and of the Pari Passu Intercreditor Agreement and any Customary Intercreditor Agreements then in effect, on the other hand, the terms and provisions of the Pari Passu Intercreditor Agreement and relevant Customary Intercreditor Agreements shall control, and (c) each Lender authorizes the Administrative Agent and/or the Collateral Agent to execute the Pari Passu Intercreditor Agreement and any such Customary Intercreditor Agreement (or amendment thereof) on behalf of such Lender, and such Lender agrees to be bound by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(b)     Each Secured Party hereby agrees that the Administrative Agent and/or Collateral Agent may enter into any intercreditor agreement and/or subordination agreement (or amendment thereof) pursuant to, or contemplated by, the terms of this Agreement (including with respect to Indebtedness permitted pursuant to </w:t>
      </w:r>
      <w:r>
        <w:rPr>
          <w:rFonts w:ascii="Times New Roman" w:hAnsi="Times New Roman"/>
          <w:sz w:val="20"/>
          <w:u w:val="single"/>
        </w:rPr>
        <w:t>Section 6.01</w:t>
      </w:r>
      <w:r>
        <w:rPr>
          <w:rFonts w:ascii="Times New Roman" w:hAnsi="Times New Roman"/>
          <w:sz w:val="20"/>
        </w:rPr>
        <w:t xml:space="preserve">, any applicable Liens on Collateral permitted pursuant to </w:t>
      </w:r>
      <w:r>
        <w:rPr>
          <w:rFonts w:ascii="Times New Roman" w:hAnsi="Times New Roman"/>
          <w:sz w:val="20"/>
          <w:u w:val="single"/>
        </w:rPr>
        <w:t>Section 6.02</w:t>
      </w:r>
      <w:r>
        <w:rPr>
          <w:rFonts w:ascii="Times New Roman" w:hAnsi="Times New Roman"/>
          <w:sz w:val="20"/>
        </w:rPr>
        <w:t xml:space="preserve"> and, in each case, together with the defined terms referenced therein) on its behalf and agrees to be bound by the terms thereof and, in each case, consents and agrees to the appointment of Barclays Bank PLC (or its affiliated designee, representative or agent) on its behalf as collateral agent, respectively, thereunder.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Pari Passu Intercreditor Agreement and/or the Second Lien Intercreditor Agreement, as applicable, shall be deemed to be reasonable and acceptable to the Administrative Agent and the Lenders, and the Administrative Agent and the Lenders shall be deemed to have consented to the use of each such intercreditor agreement (and to the Administrative Agent’s execution thereof) in connection with any Indebtedness permitted to be incurred, issued and/or assumed by the Borrower or any of its Subsidiaries pursuant to </w:t>
      </w:r>
      <w:r>
        <w:rPr>
          <w:rFonts w:ascii="Times New Roman" w:hAnsi="Times New Roman"/>
          <w:sz w:val="20"/>
          <w:u w:val="single"/>
        </w:rPr>
        <w:t>Section 6.01</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9.18    </w:t>
      </w:r>
      <w:r>
        <w:rPr>
          <w:rFonts w:ascii="Times New Roman" w:hAnsi="Times New Roman"/>
          <w:sz w:val="20"/>
          <w:u w:val="single"/>
        </w:rPr>
        <w:t>Cashless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Bidco, the Administrative Agent and such Lender. </w:t>
      </w:r>
    </w:p>
    <w:p>
      <w:pPr>
        <w:pStyle w:val="TextBody"/>
        <w:bidi w:val="0"/>
        <w:spacing w:before="360" w:after="0"/>
        <w:jc w:val="left"/>
        <w:rPr>
          <w:rFonts w:ascii="Times New Roman" w:hAnsi="Times New Roman"/>
          <w:sz w:val="20"/>
        </w:rPr>
      </w:pPr>
      <w:r>
        <w:rPr>
          <w:rFonts w:ascii="Times New Roman" w:hAnsi="Times New Roman"/>
          <w:sz w:val="20"/>
        </w:rPr>
        <w:t>SECTION 9.19    </w:t>
      </w:r>
      <w:r>
        <w:rPr>
          <w:rFonts w:ascii="Times New Roman" w:hAnsi="Times New Roman"/>
          <w:sz w:val="20"/>
          <w:u w:val="single"/>
        </w:rPr>
        <w:t>Acknowledgement and Consent to Bail-In of Affected Financial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p>
    <w:p>
      <w:pPr>
        <w:pStyle w:val="TextBody"/>
        <w:bidi w:val="0"/>
        <w:spacing w:before="0" w:after="0"/>
        <w:jc w:val="left"/>
        <w:rPr>
          <w:rFonts w:ascii="Times New Roman" w:hAnsi="Times New Roman"/>
          <w:sz w:val="20"/>
        </w:rPr>
      </w:pPr>
      <w:r>
        <w:rPr>
          <w:rFonts w:ascii="Times New Roman" w:hAnsi="Times New Roman"/>
          <w:sz w:val="20"/>
        </w:rPr>
        <w:t xml:space="preserve">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any Swap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p>
    <w:p>
      <w:pPr>
        <w:pStyle w:val="TextBody"/>
        <w:bidi w:val="0"/>
        <w:spacing w:before="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9.20</w:t>
      </w:r>
      <w:r>
        <w:rPr>
          <w:rFonts w:ascii="Times New Roman" w:hAnsi="Times New Roman"/>
          <w:sz w:val="20"/>
        </w:rPr>
        <w:t xml:space="preserve">, the following terms have the following meanings: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Joint and Several Liability</w:t>
      </w:r>
      <w:r>
        <w:rPr>
          <w:rFonts w:ascii="Times New Roman" w:hAnsi="Times New Roman"/>
          <w:sz w:val="20"/>
        </w:rPr>
        <w:t xml:space="preserve">. Each Borrower agrees that it is jointly and severally liable for the obligations of the other Borrowers hereunder, including with respect to the payment of principal of and interest on all Loans and the payment of fees and indemnities and reimbursement of costs and expenses. This shall not prejudice the obligations of any Borrower (solely in its capacity as a Guarantor) in respect of any Indebtedness that does not have a co-borrower 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applicable Agent could purchase the first currency with such other currency on the Business Day preceding that on which final judgment is given. The obligation of any Borrower in respect of any such sum due from it to the applicable Agent or the Lenders hereunder or under the other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applicable Agent of any sum adjudged to be so due in the Judgment Currency, the applicable Agent may in accordance with normal banking procedures purchase the Agreement Currency with the Judgment Currency. If the amount of the Agreement Currency so purchased is less than the sum originally due to the applicable Agent from the applicable Borrower in the Agreement Currency, the Borrowers agree, as a separate obligation and notwithstanding any such judgment, to indemnify the applicable Agent or the Person to whom such obligation was owing against such loss. If the amount of the Agreement Currency so purchased is greater than the sum originally due to the applicable Agent in such currency, the applicable Agent agrees to return the amount. </w:t>
      </w:r>
    </w:p>
    <w:p>
      <w:pPr>
        <w:pStyle w:val="TextBody"/>
        <w:bidi w:val="0"/>
        <w:spacing w:before="360" w:after="0"/>
        <w:jc w:val="left"/>
        <w:rPr>
          <w:rFonts w:ascii="Times New Roman" w:hAnsi="Times New Roman"/>
          <w:sz w:val="20"/>
        </w:rPr>
      </w:pPr>
      <w:r>
        <w:rPr>
          <w:rFonts w:ascii="Times New Roman" w:hAnsi="Times New Roman"/>
          <w:sz w:val="20"/>
        </w:rPr>
        <w:t>SECTION 9.23    </w:t>
      </w:r>
      <w:r>
        <w:rPr>
          <w:rFonts w:ascii="Times New Roman" w:hAnsi="Times New Roman"/>
          <w:sz w:val="20"/>
          <w:u w:val="single"/>
        </w:rPr>
        <w:t>Lender Affiliates and Facility Offices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respect of a Revolving Loan or Letters of Credit to a particular Borrower (“</w:t>
      </w:r>
      <w:r>
        <w:rPr>
          <w:rFonts w:ascii="Times New Roman" w:hAnsi="Times New Roman"/>
          <w:sz w:val="20"/>
          <w:u w:val="single"/>
        </w:rPr>
        <w:t>Designated Loans</w:t>
      </w:r>
      <w:r>
        <w:rPr>
          <w:rFonts w:ascii="Times New Roman" w:hAnsi="Times New Roman"/>
          <w:sz w:val="20"/>
        </w:rPr>
        <w:t>”), a Revolving Lender (a “</w:t>
      </w:r>
      <w:r>
        <w:rPr>
          <w:rFonts w:ascii="Times New Roman" w:hAnsi="Times New Roman"/>
          <w:sz w:val="20"/>
          <w:u w:val="single"/>
        </w:rPr>
        <w:t>Designating Lender</w:t>
      </w:r>
      <w:r>
        <w:rPr>
          <w:rFonts w:ascii="Times New Roman" w:hAnsi="Times New Roman"/>
          <w:sz w:val="20"/>
        </w:rPr>
        <w:t xml:space="preserve">”) may at any time and from time to time designate (by written notice to the Administrative Agent and the Borrower Representative): </w:t>
      </w:r>
    </w:p>
    <w:p>
      <w:pPr>
        <w:pStyle w:val="TextBody"/>
        <w:bidi w:val="0"/>
        <w:spacing w:before="240" w:after="0"/>
        <w:jc w:val="left"/>
        <w:rPr>
          <w:rFonts w:ascii="Times New Roman" w:hAnsi="Times New Roman"/>
          <w:sz w:val="20"/>
        </w:rPr>
      </w:pPr>
      <w:r>
        <w:rPr>
          <w:rFonts w:ascii="Times New Roman" w:hAnsi="Times New Roman"/>
          <w:sz w:val="20"/>
        </w:rPr>
        <w:t>(i)    a substitute Lending Office from which it will make Designated Loans (a “</w:t>
      </w:r>
      <w:r>
        <w:rPr>
          <w:rFonts w:ascii="Times New Roman" w:hAnsi="Times New Roman"/>
          <w:sz w:val="20"/>
          <w:u w:val="single"/>
        </w:rPr>
        <w:t>Substitute Lending Office</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p>
    <w:p>
      <w:pPr>
        <w:pStyle w:val="TextBody"/>
        <w:bidi w:val="0"/>
        <w:spacing w:before="0" w:after="0"/>
        <w:jc w:val="left"/>
        <w:rPr>
          <w:rFonts w:ascii="Times New Roman" w:hAnsi="Times New Roman"/>
          <w:sz w:val="20"/>
        </w:rPr>
      </w:pPr>
      <w:r>
        <w:rPr>
          <w:rFonts w:ascii="Times New Roman" w:hAnsi="Times New Roman"/>
          <w:sz w:val="20"/>
        </w:rPr>
        <w:t>(ii)    nominate an Affiliate to act as the Lender of Designated Loans (a “</w:t>
      </w:r>
      <w:r>
        <w:rPr>
          <w:rFonts w:ascii="Times New Roman" w:hAnsi="Times New Roman"/>
          <w:sz w:val="20"/>
          <w:u w:val="single"/>
        </w:rPr>
        <w:t>Substitute</w:t>
      </w:r>
      <w:r>
        <w:rPr>
          <w:rFonts w:ascii="Times New Roman" w:hAnsi="Times New Roman"/>
          <w:sz w:val="20"/>
        </w:rPr>
        <w:t xml:space="preserve"> </w:t>
      </w:r>
      <w:r>
        <w:rPr>
          <w:rFonts w:ascii="Times New Roman" w:hAnsi="Times New Roman"/>
          <w:sz w:val="20"/>
          <w:u w:val="single"/>
        </w:rPr>
        <w:t>Affiliate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 notice to nominate a Substitute Affiliate Lender must be in the form set out in </w:t>
      </w:r>
      <w:r>
        <w:rPr>
          <w:rFonts w:ascii="Times New Roman" w:hAnsi="Times New Roman"/>
          <w:sz w:val="20"/>
          <w:u w:val="single"/>
        </w:rPr>
        <w:t>Exhibit Y</w:t>
      </w:r>
      <w:r>
        <w:rPr>
          <w:rFonts w:ascii="Times New Roman" w:hAnsi="Times New Roman"/>
          <w:sz w:val="20"/>
        </w:rPr>
        <w:t xml:space="preserve"> and be countersigned by the relevant Substitute Affiliate Lender confirming it will be bound as a Lender under this Agreement in respect of the Designated Loans in respect of which it acts as Lender. </w:t>
      </w:r>
    </w:p>
    <w:p>
      <w:pPr>
        <w:pStyle w:val="TextBody"/>
        <w:bidi w:val="0"/>
        <w:spacing w:before="240" w:after="0"/>
        <w:jc w:val="left"/>
        <w:rPr>
          <w:rFonts w:ascii="Times New Roman" w:hAnsi="Times New Roman"/>
          <w:sz w:val="20"/>
        </w:rPr>
      </w:pPr>
      <w:r>
        <w:rPr>
          <w:rFonts w:ascii="Times New Roman" w:hAnsi="Times New Roman"/>
          <w:sz w:val="20"/>
        </w:rPr>
        <w:t xml:space="preserve">(c)     The Designating Lender will act as the representative of any Substitute Affiliate Lender it nominates for all administrative purposes under this Agreement. The Loan Parties, the Administrative Agent, the Collateral Agent and the other Secured Parties will be entitled to deal only with the Designating Lender, except that payments will be made in respect of Designated Loans to the Lending Office of the Substitute Affiliate Lender. In particular the Commitments of the Designating Lender will not be treated as reduced by the introduction of the Substitute Affiliate Lender for voting purposes under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(d)     If a Designating Lender nominates a Substitute Lending Office or a Substitute Affiliate Lender and as a result of circumstances existing at the date of such substitution, a Loan Party would be obliged to make a payment on account of, or to, the Substitute Lending Office or Substitute Affiliate Lender (as applicable) under Section 2.16 (Taxes) then the Lender acting through its Substitute Lending Office or the Substitute Affiliate Lender (as applicable) is only entitled to receive payment under Section 2.16 to the same extent as the Designating Lender would have been if the substitution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(e)     Save as mentioned in clause (c) above, a Substitute Affiliate Lender will be treated as a Lender for all purposes under the Loan Documents and having a Revolving Credit Commitment equal to the principal amount of all Designated Loans in which it is participating if and for so long as it continues to be a Substitute Affiliate Lender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 Designating Lender may revoke its designation of an Affiliate as a Substitute Affiliate Lender by notice in writing to the Administrative Agent, Bidco and the Borrower Representative;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 </w:t>
      </w:r>
    </w:p>
    <w:p>
      <w:pPr>
        <w:pStyle w:val="TextBody"/>
        <w:bidi w:val="0"/>
        <w:spacing w:before="240" w:after="0"/>
        <w:jc w:val="left"/>
        <w:rPr>
          <w:rFonts w:ascii="Times New Roman" w:hAnsi="Times New Roman"/>
          <w:sz w:val="20"/>
        </w:rPr>
      </w:pPr>
      <w:r>
        <w:rPr>
          <w:rFonts w:ascii="Times New Roman" w:hAnsi="Times New Roman"/>
          <w:sz w:val="20"/>
        </w:rPr>
        <w:t xml:space="preserve">(g)    If a Designating Lender designates a Substitute Lending Office or Substitute Affiliate Lender in accordance with this clause: </w:t>
      </w:r>
    </w:p>
    <w:p>
      <w:pPr>
        <w:pStyle w:val="TextBody"/>
        <w:bidi w:val="0"/>
        <w:spacing w:before="120" w:after="0"/>
        <w:jc w:val="left"/>
        <w:rPr>
          <w:rFonts w:ascii="Times New Roman" w:hAnsi="Times New Roman"/>
          <w:sz w:val="20"/>
        </w:rPr>
      </w:pPr>
      <w:r>
        <w:rPr>
          <w:rFonts w:ascii="Times New Roman" w:hAnsi="Times New Roman"/>
          <w:sz w:val="20"/>
        </w:rPr>
        <w:t xml:space="preserve">(i)    any Substitute Affiliate Lender shall be treated for the purposes of Section 2.16 as having become a Lender on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w:t>
      </w:r>
      <w:r>
        <w:rPr>
          <w:rFonts w:ascii="Times New Roman" w:hAnsi="Times New Roman"/>
          <w:sz w:val="20"/>
          <w:u w:val="single"/>
        </w:rPr>
        <w:t>Section 9.23(e)</w:t>
      </w:r>
      <w:r>
        <w:rPr>
          <w:rFonts w:ascii="Times New Roman" w:hAnsi="Times New Roman"/>
          <w:sz w:val="20"/>
        </w:rPr>
        <w:t xml:space="preserve"> shall not apply to or in respect of any Substitute Lending Office or Substitute Affiliate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Interim Facilities Agreement</w:t>
      </w:r>
      <w:r>
        <w:rPr>
          <w:rFonts w:ascii="Times New Roman" w:hAnsi="Times New Roman"/>
          <w:sz w:val="20"/>
        </w:rPr>
        <w:t xml:space="preserve">. Each party to this Agreement that is a party to the Interim Facilities Agreement hereby acknowledges and agrees, in its capacity as a party to the Interim Facilities Agreement only (and, for the avoidance of doubt, without prejudice to any such party’s obligations under this Agreement), that upon, and effective as of, the borrowing of the Initial Term Loans on the Effective Date, (i) all commitments of the Interim Finance Parties under the Interim Facilities Agreement to make loans or otherwise extend credit to the Finco Borrower, in its capacity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p>
    <w:p>
      <w:pPr>
        <w:pStyle w:val="TextBody"/>
        <w:bidi w:val="0"/>
        <w:spacing w:before="0" w:after="0"/>
        <w:jc w:val="left"/>
        <w:rPr>
          <w:rFonts w:ascii="Times New Roman" w:hAnsi="Times New Roman"/>
          <w:sz w:val="20"/>
        </w:rPr>
      </w:pPr>
      <w:r>
        <w:rPr>
          <w:rFonts w:ascii="Times New Roman" w:hAnsi="Times New Roman"/>
          <w:sz w:val="20"/>
        </w:rPr>
        <w:t xml:space="preserve">Borrower under and as defined in the Interim Facilities Agreement, shall be terminated, and (ii) the Interim Facilities Agreement and all other Interim Finance Documents (as defined in the Interim Facilities Agreement) shall terminate and have no further force or effect, except only those provisions that are expressly specified in the Interim Facilities Agreement and all other Interim Finance Documents as surviving that respective agreement’s termination.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right"/>
        <w:rPr>
          <w:rFonts w:ascii="Times New Roman" w:hAnsi="Times New Roman"/>
          <w:b/>
          <w:sz w:val="20"/>
        </w:rPr>
      </w:pPr>
      <w:r>
        <w:rPr>
          <w:rFonts w:ascii="Times New Roman" w:hAnsi="Times New Roman"/>
          <w:b/>
          <w:sz w:val="20"/>
        </w:rPr>
        <w:t xml:space="preserve">EXHIBIT T </w:t>
      </w:r>
    </w:p>
    <w:p>
      <w:pPr>
        <w:pStyle w:val="TextBody"/>
        <w:bidi w:val="0"/>
        <w:spacing w:before="240" w:after="0"/>
        <w:jc w:val="center"/>
        <w:rPr>
          <w:rFonts w:ascii="Times New Roman" w:hAnsi="Times New Roman"/>
          <w:b/>
          <w:sz w:val="20"/>
        </w:rPr>
      </w:pPr>
      <w:r>
        <w:rPr>
          <w:rFonts w:ascii="Times New Roman" w:hAnsi="Times New Roman"/>
          <w:b/>
          <w:sz w:val="20"/>
          <w:u w:val="single"/>
        </w:rPr>
        <w:t>Form of Notice of Borrowing</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Barclays Bank PLC,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for the Lenders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400 Jefferson Park </w:t>
      </w:r>
    </w:p>
    <w:p>
      <w:pPr>
        <w:pStyle w:val="TextBody"/>
        <w:bidi w:val="0"/>
        <w:spacing w:before="0" w:after="0"/>
        <w:jc w:val="left"/>
        <w:rPr>
          <w:rFonts w:ascii="Times New Roman" w:hAnsi="Times New Roman"/>
          <w:sz w:val="20"/>
        </w:rPr>
      </w:pPr>
      <w:r>
        <w:rPr>
          <w:rFonts w:ascii="Times New Roman" w:hAnsi="Times New Roman"/>
          <w:sz w:val="20"/>
        </w:rPr>
        <w:t xml:space="preserve">Whippany, New Jersey 07981 </w:t>
      </w:r>
    </w:p>
    <w:p>
      <w:pPr>
        <w:pStyle w:val="TextBody"/>
        <w:bidi w:val="0"/>
        <w:spacing w:before="0" w:after="0"/>
        <w:jc w:val="left"/>
        <w:rPr>
          <w:rFonts w:ascii="Times New Roman" w:hAnsi="Times New Roman"/>
          <w:sz w:val="20"/>
        </w:rPr>
      </w:pPr>
      <w:r>
        <w:rPr>
          <w:rFonts w:ascii="Times New Roman" w:hAnsi="Times New Roman"/>
          <w:sz w:val="20"/>
        </w:rPr>
        <w:t xml:space="preserve">Attention: Arelis Cepeda </w:t>
      </w:r>
    </w:p>
    <w:p>
      <w:pPr>
        <w:pStyle w:val="TextBody"/>
        <w:bidi w:val="0"/>
        <w:spacing w:before="0" w:after="0"/>
        <w:jc w:val="left"/>
        <w:rPr>
          <w:rFonts w:ascii="Times New Roman" w:hAnsi="Times New Roman"/>
          <w:sz w:val="20"/>
        </w:rPr>
      </w:pPr>
      <w:r>
        <w:rPr>
          <w:rFonts w:ascii="Times New Roman" w:hAnsi="Times New Roman"/>
          <w:sz w:val="20"/>
        </w:rPr>
        <w:t xml:space="preserve">Telephone: (201) 499-0297 </w:t>
      </w:r>
    </w:p>
    <w:p>
      <w:pPr>
        <w:pStyle w:val="TextBody"/>
        <w:bidi w:val="0"/>
        <w:spacing w:before="0" w:after="0"/>
        <w:jc w:val="left"/>
        <w:rPr>
          <w:rFonts w:ascii="Times New Roman" w:hAnsi="Times New Roman"/>
          <w:sz w:val="20"/>
        </w:rPr>
      </w:pPr>
      <w:r>
        <w:rPr>
          <w:rFonts w:ascii="Times New Roman" w:hAnsi="Times New Roman"/>
          <w:sz w:val="20"/>
        </w:rPr>
        <w:t xml:space="preserve">Fax: (201) 499-4547 </w:t>
      </w:r>
    </w:p>
    <w:p>
      <w:pPr>
        <w:pStyle w:val="TextBody"/>
        <w:bidi w:val="0"/>
        <w:spacing w:before="0" w:after="0"/>
        <w:jc w:val="left"/>
        <w:rPr>
          <w:rFonts w:ascii="Times New Roman" w:hAnsi="Times New Roman"/>
          <w:sz w:val="20"/>
        </w:rPr>
      </w:pPr>
      <w:r>
        <w:rPr>
          <w:rFonts w:ascii="Times New Roman" w:hAnsi="Times New Roman"/>
          <w:sz w:val="20"/>
        </w:rPr>
        <w:t xml:space="preserve">Email: 12145455230@tls.ldsprod.com/arelis.cepeda@barclays.com </w:t>
      </w:r>
    </w:p>
    <w:p>
      <w:pPr>
        <w:pStyle w:val="TextBody"/>
        <w:bidi w:val="0"/>
        <w:spacing w:before="240" w:after="0"/>
        <w:jc w:val="left"/>
        <w:rPr>
          <w:rFonts w:ascii="Times New Roman" w:hAnsi="Times New Roman"/>
          <w:sz w:val="20"/>
        </w:rPr>
      </w:pPr>
      <w:r>
        <w:rPr>
          <w:rFonts w:ascii="Times New Roman" w:hAnsi="Times New Roman"/>
          <w:sz w:val="20"/>
        </w:rPr>
        <w:t xml:space="preserve">[●] [●], 20[●]1 </w:t>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hereby made to that certain Credit Agreement dated as of December 12, 2019 (as amended, restated, amended and restated, supplemented or otherwise modified from time to time, the “</w:t>
      </w:r>
      <w:r>
        <w:rPr>
          <w:rFonts w:ascii="Times New Roman" w:hAnsi="Times New Roman"/>
          <w:sz w:val="20"/>
          <w:u w:val="single"/>
        </w:rPr>
        <w:t>Credit Agreement</w:t>
      </w:r>
      <w:r>
        <w:rPr>
          <w:rFonts w:ascii="Times New Roman" w:hAnsi="Times New Roman"/>
          <w:sz w:val="20"/>
        </w:rPr>
        <w:t>”), by and among CONNECT MIDCO LIMITED, a non-cellular company limited by shares incorporated under the laws of Guernsey with company number 66186, CONNECT BIDCO LIMITED, a non-cellular company limited by shares incorporated under the laws of Guernsey with company number 66187, CONNECT FINCO SARL, a private limited liability company (</w:t>
      </w:r>
      <w:r>
        <w:rPr>
          <w:rFonts w:ascii="Times New Roman" w:hAnsi="Times New Roman"/>
          <w:i/>
          <w:sz w:val="20"/>
        </w:rPr>
        <w:t>société à responsabilité limitée</w:t>
      </w:r>
      <w:r>
        <w:rPr>
          <w:rFonts w:ascii="Times New Roman" w:hAnsi="Times New Roman"/>
          <w:sz w:val="20"/>
        </w:rPr>
        <w:t>) incorporated in Luxembourg, having its registered office at 1-3, Boulevard de la Foire, L-1528 Luxembourg, registered with the Luxembourg Companies Register under number B233109 (the “</w:t>
      </w:r>
      <w:r>
        <w:rPr>
          <w:rFonts w:ascii="Times New Roman" w:hAnsi="Times New Roman"/>
          <w:sz w:val="20"/>
          <w:u w:val="single"/>
        </w:rPr>
        <w:t>Finco Borrower</w:t>
      </w:r>
      <w:r>
        <w:rPr>
          <w:rFonts w:ascii="Times New Roman" w:hAnsi="Times New Roman"/>
          <w:sz w:val="20"/>
        </w:rPr>
        <w:t>”), CONNECT U.S. FINCO LLC, a Delaware limited liability company (the “</w:t>
      </w:r>
      <w:r>
        <w:rPr>
          <w:rFonts w:ascii="Times New Roman" w:hAnsi="Times New Roman"/>
          <w:sz w:val="20"/>
          <w:u w:val="single"/>
        </w:rPr>
        <w:t>U.S. Borrower</w:t>
      </w:r>
      <w:r>
        <w:rPr>
          <w:rFonts w:ascii="Times New Roman" w:hAnsi="Times New Roman"/>
          <w:sz w:val="20"/>
        </w:rPr>
        <w:t>”), the lenders and issuing banks from time to time party thereto and BARCLAYS BANK PLC, as Administrative Agent (the “</w:t>
      </w:r>
      <w:r>
        <w:rPr>
          <w:rFonts w:ascii="Times New Roman" w:hAnsi="Times New Roman"/>
          <w:sz w:val="20"/>
          <w:u w:val="single"/>
        </w:rPr>
        <w:t>Administrative Agent</w:t>
      </w:r>
      <w:r>
        <w:rPr>
          <w:rFonts w:ascii="Times New Roman" w:hAnsi="Times New Roman"/>
          <w:sz w:val="20"/>
        </w:rPr>
        <w:t xml:space="preserve">”) and Collateral Agent. Terms defined in the Credit Agreement are used herein with the same meanings unless otherwise defined herein.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Administrative Agent must be notified by telephone and confirmed promptly in writing in substantially in the form of this </w:t>
            </w:r>
            <w:r>
              <w:rPr>
                <w:rFonts w:ascii="Times New Roman" w:hAnsi="Times New Roman"/>
                <w:sz w:val="20"/>
                <w:u w:val="single"/>
              </w:rPr>
              <w:t>Exhibit T</w:t>
            </w:r>
            <w:r>
              <w:rPr>
                <w:rFonts w:ascii="Times New Roman" w:hAnsi="Times New Roman"/>
                <w:sz w:val="20"/>
              </w:rPr>
              <w:t xml:space="preserve">), which must be received by the Administrative Agent (by hand delivery, fax or other electronic transmission (including “.pdf” or “.tif”)) not later than (i) in the case of a Eurodollar Borrowing or Term Benchmark Borrowing in Dollars, 2:00 p.m., New York City time, three (3) Business Days prior to the requested day of such Eurodollar Borrowing or Term Benchmark Borrowing (or in the case of any Eurodollar Borrowing or Term Benchmark Borrowing in Dollars to be made on the Effective Date or in the sole discretion of the Administrative Agent, one (1) Business Day), (ii) in the case of a Eurodollar Borrowing in an Alternative Currency other than Yen, 2:00 p.m., New York City time, four (4) Business Days prior to the requested day of such Eurodollar Borrowing (or any shorter period agreed by the Administrative Agent and the Revolving Lenders in their sole discretion), (iii) in the case of a Eurodollar Borrowing in Yen, 2:00 p.m., New York City time, five (5) Business Days prior to the requested day of such Eurodollar Borrowing (or any shorter period agreed by the Administrative Agent and the Revolving Lenders in their sole discretion) or (iv) in the case of an ABR Borrowing, 11:00 a.m., New York City time, on the requested date of such ABR Borrowing.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undersigned hereby gives you notice pursuant to Section 2.03 of the Credit Agreement that it requests a Borrowing under the Credit Agreement and in that connection sets forth below the terms on which such Borrowing is requested to be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0"/>
        <w:gridCol w:w="120"/>
        <w:gridCol w:w="4785"/>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85"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(A)     Date of Borrowing (which shall be a Business Day):</w:t>
            </w:r>
          </w:p>
        </w:tc>
        <w:tc>
          <w:tcPr>
            <w:tcW w:w="120" w:type="dxa"/>
            <w:tcBorders/>
            <w:vAlign w:val="bottom"/>
          </w:tcPr>
          <w:p>
            <w:pPr>
              <w:pStyle w:val="TableContents"/>
              <w:bidi w:val="0"/>
              <w:spacing w:before="0" w:after="283"/>
              <w:jc w:val="left"/>
              <w:rPr/>
            </w:pPr>
            <w:r>
              <w:rPr/>
              <w:t>  </w:t>
            </w:r>
          </w:p>
        </w:tc>
        <w:tc>
          <w:tcPr>
            <w:tcW w:w="4785" w:type="dxa"/>
            <w:tcBorders/>
          </w:tcPr>
          <w:p>
            <w:pPr>
              <w:pStyle w:val="TableContents"/>
              <w:bidi w:val="0"/>
              <w:spacing w:before="0" w:after="283"/>
              <w:jc w:val="left"/>
              <w:rPr/>
            </w:pPr>
            <w:r>
              <w:rPr/>
              <w:t>[●]</w:t>
            </w:r>
          </w:p>
        </w:tc>
      </w:tr>
      <w:tr>
        <w:trPr>
          <w:trHeight w:val="120" w:hRule="atLeast"/>
        </w:trPr>
        <w:tc>
          <w:tcPr>
            <w:tcW w:w="5300"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(B)     Aggregate Amount and currency of Borrowing:</w:t>
            </w:r>
          </w:p>
        </w:tc>
        <w:tc>
          <w:tcPr>
            <w:tcW w:w="120" w:type="dxa"/>
            <w:tcBorders/>
            <w:vAlign w:val="bottom"/>
          </w:tcPr>
          <w:p>
            <w:pPr>
              <w:pStyle w:val="TableContents"/>
              <w:bidi w:val="0"/>
              <w:spacing w:before="0" w:after="283"/>
              <w:jc w:val="left"/>
              <w:rPr/>
            </w:pPr>
            <w:r>
              <w:rPr/>
              <w:t>  </w:t>
            </w:r>
          </w:p>
        </w:tc>
        <w:tc>
          <w:tcPr>
            <w:tcW w:w="4785" w:type="dxa"/>
            <w:tcBorders/>
          </w:tcPr>
          <w:p>
            <w:pPr>
              <w:pStyle w:val="TableContents"/>
              <w:bidi w:val="0"/>
              <w:spacing w:before="0" w:after="283"/>
              <w:jc w:val="left"/>
              <w:rPr/>
            </w:pPr>
            <w:r>
              <w:rPr/>
              <w:t>[$][€][£][¥][●]</w:t>
            </w:r>
          </w:p>
        </w:tc>
      </w:tr>
      <w:tr>
        <w:trPr>
          <w:trHeight w:val="120" w:hRule="atLeast"/>
        </w:trPr>
        <w:tc>
          <w:tcPr>
            <w:tcW w:w="5300"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(C)     Type of Borrowing:2</w:t>
            </w:r>
          </w:p>
        </w:tc>
        <w:tc>
          <w:tcPr>
            <w:tcW w:w="120" w:type="dxa"/>
            <w:tcBorders/>
            <w:vAlign w:val="bottom"/>
          </w:tcPr>
          <w:p>
            <w:pPr>
              <w:pStyle w:val="TableContents"/>
              <w:bidi w:val="0"/>
              <w:spacing w:before="0" w:after="283"/>
              <w:jc w:val="left"/>
              <w:rPr/>
            </w:pPr>
            <w:r>
              <w:rPr/>
              <w:t>  </w:t>
            </w:r>
          </w:p>
        </w:tc>
        <w:tc>
          <w:tcPr>
            <w:tcW w:w="4785" w:type="dxa"/>
            <w:tcBorders/>
          </w:tcPr>
          <w:p>
            <w:pPr>
              <w:pStyle w:val="TableContents"/>
              <w:bidi w:val="0"/>
              <w:spacing w:before="0" w:after="283"/>
              <w:jc w:val="left"/>
              <w:rPr/>
            </w:pPr>
            <w:r>
              <w:rPr/>
              <w:t>[●]</w:t>
            </w:r>
          </w:p>
        </w:tc>
      </w:tr>
      <w:tr>
        <w:trPr>
          <w:trHeight w:val="120" w:hRule="atLeast"/>
        </w:trPr>
        <w:tc>
          <w:tcPr>
            <w:tcW w:w="5300"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(D)     Class of Borrowing:3</w:t>
            </w:r>
          </w:p>
        </w:tc>
        <w:tc>
          <w:tcPr>
            <w:tcW w:w="120" w:type="dxa"/>
            <w:tcBorders/>
            <w:vAlign w:val="bottom"/>
          </w:tcPr>
          <w:p>
            <w:pPr>
              <w:pStyle w:val="TableContents"/>
              <w:bidi w:val="0"/>
              <w:spacing w:before="0" w:after="283"/>
              <w:jc w:val="left"/>
              <w:rPr/>
            </w:pPr>
            <w:r>
              <w:rPr/>
              <w:t>  </w:t>
            </w:r>
          </w:p>
        </w:tc>
        <w:tc>
          <w:tcPr>
            <w:tcW w:w="4785" w:type="dxa"/>
            <w:tcBorders/>
          </w:tcPr>
          <w:p>
            <w:pPr>
              <w:pStyle w:val="TableContents"/>
              <w:bidi w:val="0"/>
              <w:spacing w:before="0" w:after="283"/>
              <w:jc w:val="left"/>
              <w:rPr/>
            </w:pPr>
            <w:r>
              <w:rPr/>
              <w:t>[●]</w:t>
            </w:r>
          </w:p>
        </w:tc>
      </w:tr>
      <w:tr>
        <w:trPr>
          <w:trHeight w:val="120" w:hRule="atLeast"/>
        </w:trPr>
        <w:tc>
          <w:tcPr>
            <w:tcW w:w="5300"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(E)     Interest Period4 (in the case of a Eurodollar Borrowing or Term Benchmark Borrowing):</w:t>
            </w:r>
          </w:p>
        </w:tc>
        <w:tc>
          <w:tcPr>
            <w:tcW w:w="120" w:type="dxa"/>
            <w:tcBorders/>
            <w:vAlign w:val="bottom"/>
          </w:tcPr>
          <w:p>
            <w:pPr>
              <w:pStyle w:val="TableContents"/>
              <w:bidi w:val="0"/>
              <w:spacing w:before="0" w:after="283"/>
              <w:jc w:val="left"/>
              <w:rPr/>
            </w:pPr>
            <w:r>
              <w:rPr/>
              <w:t>  </w:t>
            </w:r>
          </w:p>
        </w:tc>
        <w:tc>
          <w:tcPr>
            <w:tcW w:w="4785" w:type="dxa"/>
            <w:tcBorders/>
          </w:tcPr>
          <w:p>
            <w:pPr>
              <w:pStyle w:val="TableContents"/>
              <w:bidi w:val="0"/>
              <w:spacing w:before="0" w:after="283"/>
              <w:jc w:val="left"/>
              <w:rPr/>
            </w:pPr>
            <w:r>
              <w:rPr/>
              <w:t>[●]</w:t>
            </w:r>
          </w:p>
        </w:tc>
      </w:tr>
      <w:tr>
        <w:trPr>
          <w:trHeight w:val="120" w:hRule="atLeast"/>
        </w:trPr>
        <w:tc>
          <w:tcPr>
            <w:tcW w:w="5300" w:type="dxa"/>
            <w:tcBorders/>
            <w:vAlign w:val="center"/>
          </w:tcPr>
          <w:p>
            <w:pPr>
              <w:pStyle w:val="TableContents"/>
              <w:bidi w:val="0"/>
              <w:spacing w:before="0" w:after="283"/>
              <w:jc w:val="left"/>
              <w:rPr>
                <w:sz w:val="4"/>
                <w:szCs w:val="4"/>
              </w:rPr>
            </w:pPr>
            <w:r>
              <w:rPr>
                <w:sz w:val="4"/>
                <w:szCs w:val="4"/>
              </w:rPr>
            </w:r>
          </w:p>
        </w:tc>
        <w:tc>
          <w:tcPr>
            <w:tcW w:w="4905"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(F)     Location and Number of the [Finco Borrower][U.S. Borrower]’s Account to which funds are to be disbursed5 (or the identity of the Issuing Bank that made the LC Disbursement)6:</w:t>
            </w:r>
          </w:p>
        </w:tc>
        <w:tc>
          <w:tcPr>
            <w:tcW w:w="120" w:type="dxa"/>
            <w:tcBorders/>
            <w:vAlign w:val="bottom"/>
          </w:tcPr>
          <w:p>
            <w:pPr>
              <w:pStyle w:val="TableContents"/>
              <w:bidi w:val="0"/>
              <w:spacing w:before="0" w:after="283"/>
              <w:jc w:val="left"/>
              <w:rPr/>
            </w:pPr>
            <w:r>
              <w:rPr/>
              <w:t>  </w:t>
            </w:r>
          </w:p>
        </w:tc>
        <w:tc>
          <w:tcPr>
            <w:tcW w:w="4785"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this Borrowing Request shall be subject to and conditioned [upon the effectiveness of the Credit Agreement] [●].] </w:t>
      </w:r>
    </w:p>
    <w:p>
      <w:pPr>
        <w:pStyle w:val="TextBody"/>
        <w:bidi w:val="0"/>
        <w:spacing w:before="240" w:after="0"/>
        <w:jc w:val="left"/>
        <w:rPr>
          <w:rFonts w:ascii="Times New Roman" w:hAnsi="Times New Roman"/>
          <w:sz w:val="20"/>
        </w:rPr>
      </w:pPr>
      <w:r>
        <w:rPr>
          <w:rFonts w:ascii="Times New Roman" w:hAnsi="Times New Roman"/>
          <w:sz w:val="20"/>
        </w:rPr>
        <w:t xml:space="preserve">The [Finco Borrower][U.S. Borrower] hereby represents and warrants that (i) the representations and warranties of each Loan Party set forth in the Loan Documents shall be true and correct in all material respects on and as of the date of such proposed Borrowing;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 (ii) at the time of and immediately after giving effect to such proposed Borrowing, no Default or Event of Default shall have occurred and be continuing.]7 .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whether such Borrowing is to be a Eurodollar Borrowing, Term Benchmark Borrowing or an ABR Borrowing. If no Type of Borrowing is specified, then the requested Borrowing shall be an ABR Borrowing.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whether such Borrowing is to be of Revolving Loans, Term Loans, Incremental Term Loans, Other Revolving Loans, Other Term Loan, etc.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 period contemplated by the definition of “Interest Period” in the Credit Agreement. If no Interest Period is specified with respect to any requested Eurodollar Borrowing or Term Benchmark Borrowing, then the applicable Borrower shall be deemed to have selected an Interest Period of one-month’s duration.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information shall comply with the requirements of Section 2.05 of the Credit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for the case of any ABR Revolving Borrowing requested to finance the reimbursement of a LC Disbursement as provided in Section 2.04(f) of the Credit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for Borrowings after the Effective Date that are not a conversion or a continuation of a Borrowing only; </w:t>
            </w:r>
            <w:r>
              <w:rPr>
                <w:rFonts w:ascii="Times New Roman" w:hAnsi="Times New Roman"/>
                <w:sz w:val="20"/>
                <w:u w:val="single"/>
              </w:rPr>
              <w:t>provided</w:t>
            </w:r>
            <w:r>
              <w:rPr>
                <w:rFonts w:ascii="Times New Roman" w:hAnsi="Times New Roman"/>
                <w:sz w:val="20"/>
              </w:rPr>
              <w:t xml:space="preserve"> that this shall not be included for (a) any Borrowing under any Incremental Facility or (b) any Borrowing the proceeds of which are being used to finance a Limited Condition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[CONNECT FINCO SARL</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[CONNECT U.S. FINCO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TextBody"/>
        <w:bidi w:val="0"/>
        <w:spacing w:before="0" w:after="0"/>
        <w:jc w:val="right"/>
        <w:rPr>
          <w:rFonts w:ascii="Times New Roman" w:hAnsi="Times New Roman"/>
          <w:b/>
          <w:sz w:val="20"/>
        </w:rPr>
      </w:pPr>
      <w:r>
        <w:rPr>
          <w:rFonts w:ascii="Times New Roman" w:hAnsi="Times New Roman"/>
          <w:b/>
          <w:sz w:val="20"/>
        </w:rPr>
        <w:t xml:space="preserve">EXHIBIT X </w:t>
      </w:r>
    </w:p>
    <w:p>
      <w:pPr>
        <w:pStyle w:val="TextBody"/>
        <w:bidi w:val="0"/>
        <w:spacing w:before="240" w:after="0"/>
        <w:jc w:val="center"/>
        <w:rPr>
          <w:rFonts w:ascii="Times New Roman" w:hAnsi="Times New Roman"/>
          <w:b/>
          <w:sz w:val="20"/>
        </w:rPr>
      </w:pPr>
      <w:r>
        <w:rPr>
          <w:rFonts w:ascii="Times New Roman" w:hAnsi="Times New Roman"/>
          <w:b/>
          <w:sz w:val="20"/>
          <w:u w:val="single"/>
        </w:rPr>
        <w:t>Form of Prepayment Notice</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Barclays Bank PLC, </w:t>
            </w:r>
          </w:p>
        </w:tc>
      </w:tr>
    </w:tbl>
    <w:p>
      <w:pPr>
        <w:pStyle w:val="TextBody"/>
        <w:bidi w:val="0"/>
        <w:spacing w:before="0" w:after="0"/>
        <w:jc w:val="left"/>
        <w:rPr>
          <w:rFonts w:ascii="Times New Roman" w:hAnsi="Times New Roman"/>
          <w:sz w:val="20"/>
        </w:rPr>
      </w:pPr>
      <w:r>
        <w:rPr>
          <w:rFonts w:ascii="Times New Roman" w:hAnsi="Times New Roman"/>
          <w:sz w:val="20"/>
        </w:rPr>
        <w:t xml:space="preserve">as the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400 Jefferson Park </w:t>
      </w:r>
    </w:p>
    <w:p>
      <w:pPr>
        <w:pStyle w:val="TextBody"/>
        <w:bidi w:val="0"/>
        <w:spacing w:before="0" w:after="0"/>
        <w:jc w:val="left"/>
        <w:rPr>
          <w:rFonts w:ascii="Times New Roman" w:hAnsi="Times New Roman"/>
          <w:sz w:val="20"/>
        </w:rPr>
      </w:pPr>
      <w:r>
        <w:rPr>
          <w:rFonts w:ascii="Times New Roman" w:hAnsi="Times New Roman"/>
          <w:sz w:val="20"/>
        </w:rPr>
        <w:t xml:space="preserve">Whippany, New Jersey 07981 </w:t>
      </w:r>
    </w:p>
    <w:p>
      <w:pPr>
        <w:pStyle w:val="TextBody"/>
        <w:bidi w:val="0"/>
        <w:spacing w:before="0" w:after="0"/>
        <w:jc w:val="left"/>
        <w:rPr>
          <w:rFonts w:ascii="Times New Roman" w:hAnsi="Times New Roman"/>
          <w:sz w:val="20"/>
        </w:rPr>
      </w:pPr>
      <w:r>
        <w:rPr>
          <w:rFonts w:ascii="Times New Roman" w:hAnsi="Times New Roman"/>
          <w:sz w:val="20"/>
        </w:rPr>
        <w:t xml:space="preserve">Attention: Arelis Cepeda </w:t>
      </w:r>
    </w:p>
    <w:p>
      <w:pPr>
        <w:pStyle w:val="TextBody"/>
        <w:bidi w:val="0"/>
        <w:spacing w:before="0" w:after="0"/>
        <w:jc w:val="left"/>
        <w:rPr>
          <w:rFonts w:ascii="Times New Roman" w:hAnsi="Times New Roman"/>
          <w:sz w:val="20"/>
        </w:rPr>
      </w:pPr>
      <w:r>
        <w:rPr>
          <w:rFonts w:ascii="Times New Roman" w:hAnsi="Times New Roman"/>
          <w:sz w:val="20"/>
        </w:rPr>
        <w:t xml:space="preserve">Telephone: (201) 499-0297 </w:t>
      </w:r>
    </w:p>
    <w:p>
      <w:pPr>
        <w:pStyle w:val="TextBody"/>
        <w:bidi w:val="0"/>
        <w:spacing w:before="0" w:after="0"/>
        <w:jc w:val="left"/>
        <w:rPr>
          <w:rFonts w:ascii="Times New Roman" w:hAnsi="Times New Roman"/>
          <w:sz w:val="20"/>
        </w:rPr>
      </w:pPr>
      <w:r>
        <w:rPr>
          <w:rFonts w:ascii="Times New Roman" w:hAnsi="Times New Roman"/>
          <w:sz w:val="20"/>
        </w:rPr>
        <w:t xml:space="preserve">Fax: (201) 499-4547 </w:t>
      </w:r>
    </w:p>
    <w:p>
      <w:pPr>
        <w:pStyle w:val="TextBody"/>
        <w:bidi w:val="0"/>
        <w:spacing w:before="0" w:after="0"/>
        <w:jc w:val="left"/>
        <w:rPr>
          <w:rFonts w:ascii="Times New Roman" w:hAnsi="Times New Roman"/>
          <w:sz w:val="20"/>
        </w:rPr>
      </w:pPr>
      <w:r>
        <w:rPr>
          <w:rFonts w:ascii="Times New Roman" w:hAnsi="Times New Roman"/>
          <w:sz w:val="20"/>
        </w:rPr>
        <w:t xml:space="preserve">Email: 12145455230@tls.ldsprod.com/arelis.cepeda@barclays.com </w:t>
      </w:r>
    </w:p>
    <w:p>
      <w:pPr>
        <w:pStyle w:val="TextBody"/>
        <w:bidi w:val="0"/>
        <w:spacing w:before="240" w:after="0"/>
        <w:jc w:val="right"/>
        <w:rPr/>
      </w:pPr>
      <w:r>
        <w:rPr/>
        <w:t>                     </w:t>
      </w:r>
      <w:r>
        <w:rPr>
          <w:rFonts w:ascii="Times New Roman" w:hAnsi="Times New Roman"/>
          <w:sz w:val="20"/>
        </w:rPr>
        <w:t xml:space="preserve">, 201    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made to the Credit Agreement, dated as of December 12, 2019, among CONNECT MIDCO LIMITED (f/k/a Triton Midco (Guernsey) Limited), a non-cellular company limited by shares incorporated under the laws of Guernsey with company number 66186 (“</w:t>
      </w:r>
      <w:r>
        <w:rPr>
          <w:rFonts w:ascii="Times New Roman" w:hAnsi="Times New Roman"/>
          <w:sz w:val="20"/>
          <w:u w:val="single"/>
        </w:rPr>
        <w:t>Initial Holdings</w:t>
      </w:r>
      <w:r>
        <w:rPr>
          <w:rFonts w:ascii="Times New Roman" w:hAnsi="Times New Roman"/>
          <w:sz w:val="20"/>
        </w:rPr>
        <w:t>”), CONNECT BIDCO LIMITED (f/k/a Triton Bidco (Guernsey) Limited), a non-cellular company limited by shares incorporated under the laws of Guernsey with company number 66187 (“</w:t>
      </w:r>
      <w:r>
        <w:rPr>
          <w:rFonts w:ascii="Times New Roman" w:hAnsi="Times New Roman"/>
          <w:sz w:val="20"/>
          <w:u w:val="single"/>
        </w:rPr>
        <w:t>Bidco</w:t>
      </w:r>
      <w:r>
        <w:rPr>
          <w:rFonts w:ascii="Times New Roman" w:hAnsi="Times New Roman"/>
          <w:sz w:val="20"/>
        </w:rPr>
        <w:t>”), CONNECT FINCO SARL (f/k/a Triton Finco SARL), a private limited liability company (</w:t>
      </w:r>
      <w:r>
        <w:rPr>
          <w:rFonts w:ascii="Times New Roman" w:hAnsi="Times New Roman"/>
          <w:i/>
          <w:sz w:val="20"/>
        </w:rPr>
        <w:t>société à responsabilité limitée</w:t>
      </w:r>
      <w:r>
        <w:rPr>
          <w:rFonts w:ascii="Times New Roman" w:hAnsi="Times New Roman"/>
          <w:sz w:val="20"/>
        </w:rPr>
        <w:t>) incorporated in Luxembourg, having its registered office at 1-3, Boulevard de la Foire, L-1528 Luxembourg, registered with the Luxembourg Companies Register under number B233109 (the “</w:t>
      </w:r>
      <w:r>
        <w:rPr>
          <w:rFonts w:ascii="Times New Roman" w:hAnsi="Times New Roman"/>
          <w:sz w:val="20"/>
          <w:u w:val="single"/>
        </w:rPr>
        <w:t>Finco Borrower</w:t>
      </w:r>
      <w:r>
        <w:rPr>
          <w:rFonts w:ascii="Times New Roman" w:hAnsi="Times New Roman"/>
          <w:sz w:val="20"/>
        </w:rPr>
        <w:t>”), as a Revolving Borrower and a Term Borrower, CONNECT U.S. FINCO LLC, a Delaware limited liability company (the “</w:t>
      </w:r>
      <w:r>
        <w:rPr>
          <w:rFonts w:ascii="Times New Roman" w:hAnsi="Times New Roman"/>
          <w:sz w:val="20"/>
          <w:u w:val="single"/>
        </w:rPr>
        <w:t>U.S. Borrower</w:t>
      </w:r>
      <w:r>
        <w:rPr>
          <w:rFonts w:ascii="Times New Roman" w:hAnsi="Times New Roman"/>
          <w:sz w:val="20"/>
        </w:rPr>
        <w:t>”), as a Revolving Borrower and a Term Borrower (the U.S. Borrower, in its capacity as a term borrower, together with the Finco Borrower, the “</w:t>
      </w:r>
      <w:r>
        <w:rPr>
          <w:rFonts w:ascii="Times New Roman" w:hAnsi="Times New Roman"/>
          <w:sz w:val="20"/>
          <w:u w:val="single"/>
        </w:rPr>
        <w:t>Term Borrowers</w:t>
      </w:r>
      <w:r>
        <w:rPr>
          <w:rFonts w:ascii="Times New Roman" w:hAnsi="Times New Roman"/>
          <w:sz w:val="20"/>
        </w:rPr>
        <w:t>” and, the U.S. Borrower in its capacity as a revolving borrower, together with the Finco Borrower in its capacity as a revolving borrower and any Additional Borrowers from time to time party hereto, the “</w:t>
      </w:r>
      <w:r>
        <w:rPr>
          <w:rFonts w:ascii="Times New Roman" w:hAnsi="Times New Roman"/>
          <w:sz w:val="20"/>
          <w:u w:val="single"/>
        </w:rPr>
        <w:t>Revolving Borrowers</w:t>
      </w:r>
      <w:r>
        <w:rPr>
          <w:rFonts w:ascii="Times New Roman" w:hAnsi="Times New Roman"/>
          <w:sz w:val="20"/>
        </w:rPr>
        <w:t>” and, collectively with the Term Borrowers, the “</w:t>
      </w:r>
      <w:r>
        <w:rPr>
          <w:rFonts w:ascii="Times New Roman" w:hAnsi="Times New Roman"/>
          <w:sz w:val="20"/>
          <w:u w:val="single"/>
        </w:rPr>
        <w:t>Borrowers</w:t>
      </w:r>
      <w:r>
        <w:rPr>
          <w:rFonts w:ascii="Times New Roman" w:hAnsi="Times New Roman"/>
          <w:sz w:val="20"/>
        </w:rPr>
        <w:t>”), the LENDERS and ISSUING BANKS party thereto and Barclays Bank PLC (“</w:t>
      </w:r>
      <w:r>
        <w:rPr>
          <w:rFonts w:ascii="Times New Roman" w:hAnsi="Times New Roman"/>
          <w:sz w:val="20"/>
          <w:u w:val="single"/>
        </w:rPr>
        <w:t>Barclays</w:t>
      </w:r>
      <w:r>
        <w:rPr>
          <w:rFonts w:ascii="Times New Roman" w:hAnsi="Times New Roman"/>
          <w:sz w:val="20"/>
        </w:rPr>
        <w:t>”), as Administrative Agent and Collateral Agent (as amended, restated, amended and restated, supplemented or otherwise modified from time to time in accordance with the terms thereof prior to the date hereof, the “</w:t>
      </w:r>
      <w:r>
        <w:rPr>
          <w:rFonts w:ascii="Times New Roman" w:hAnsi="Times New Roman"/>
          <w:sz w:val="20"/>
          <w:u w:val="single"/>
        </w:rPr>
        <w:t>Credit Agreement</w:t>
      </w:r>
      <w:r>
        <w:rPr>
          <w:rFonts w:ascii="Times New Roman" w:hAnsi="Times New Roman"/>
          <w:sz w:val="20"/>
        </w:rPr>
        <w:t xml:space="preserve">”). Unless otherwise defined herein, capitalized terms used herein shall have the respective meaning set forth in the Credit Agreement.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notified in writing (by hand delivery, fax or other electronic transmission (including “.pdf” or “.tif”)) signed by a Responsible Officer of Bidco or a Borrower (i) in the case of a prepayment of a Eurodollar Borrowing or Term Benchmark Borrowing, not later than 11:00 a.m., New York City time, three (3) Business Days (or, in the sole discretion of the Administrative Agent, one (1) Business Day) before the date of prepayment or (ii) in the case of prepayment of an ABR Borrowing, not later than 11:00 a.m., New York City time, one (1) Business Day before the date of prepayment.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undersigned hereby gives you notice pursuant to </w:t>
      </w:r>
      <w:r>
        <w:rPr>
          <w:rFonts w:ascii="Times New Roman" w:hAnsi="Times New Roman"/>
          <w:sz w:val="20"/>
          <w:u w:val="single"/>
        </w:rPr>
        <w:t>Section 2.10</w:t>
      </w:r>
      <w:r>
        <w:rPr>
          <w:rFonts w:ascii="Times New Roman" w:hAnsi="Times New Roman"/>
          <w:sz w:val="20"/>
        </w:rPr>
        <w:t xml:space="preserve"> of the Credit Agreement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Finco Borrower][The U.S. Borrower] will make a prepayment of the principal of [Term Loans][Revolving Loans] to be prepaid in the amount of $[        ] on </w:t>
            </w:r>
            <w:r>
              <w:rPr>
                <w:rFonts w:ascii="Times New Roman" w:hAnsi="Times New Roman"/>
                <w:b/>
                <w:sz w:val="20"/>
              </w:rPr>
              <w:t>[insert applicable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Loans][Revolving Loans] to be prepaid are of the following Type: [Eurodollar Loans] [Term Benchmark Loans] [ABR Loans].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Term Loans are to be prepaid, prepayment shall be made to the following Class of Term Loans: [                ].] </w:t>
            </w:r>
          </w:p>
        </w:tc>
      </w:tr>
    </w:tbl>
    <w:p>
      <w:pPr>
        <w:pStyle w:val="TextBody"/>
        <w:bidi w:val="0"/>
        <w:spacing w:before="240" w:after="0"/>
        <w:jc w:val="left"/>
        <w:rPr>
          <w:rFonts w:ascii="Times New Roman" w:hAnsi="Times New Roman"/>
          <w:sz w:val="20"/>
        </w:rPr>
      </w:pPr>
      <w:r>
        <w:rPr>
          <w:rFonts w:ascii="Times New Roman" w:hAnsi="Times New Roman"/>
          <w:sz w:val="20"/>
        </w:rPr>
        <w:t xml:space="preserve">[[Bidco][The Finco Borrower][The U.S. Borrower] hereby further notifies you that the proposed prepayment set forth herein is contingent upon the effectiveness of other transactions. Pursuant to Section 2.10(f) of the Credit Agreement, [Bidco][the Finco Borrower][the U.S. Borrower] hereby retains the right to revoke or extend this Prepayment Notice if the other transactions are not consummated or otherwise delayed.]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p>
    <w:tbl>
      <w:tblPr>
        <w:tblW w:w="2000" w:type="pct"/>
        <w:jc w:val="right"/>
        <w:tblInd w:w="0" w:type="dxa"/>
        <w:tblLayout w:type="fixed"/>
        <w:tblCellMar>
          <w:top w:w="0" w:type="dxa"/>
          <w:left w:w="0" w:type="dxa"/>
          <w:bottom w:w="0" w:type="dxa"/>
          <w:right w:w="0" w:type="dxa"/>
        </w:tblCellMar>
      </w:tblPr>
      <w:tblGrid>
        <w:gridCol w:w="351"/>
        <w:gridCol w:w="60"/>
        <w:gridCol w:w="3671"/>
      </w:tblGrid>
      <w:tr>
        <w:trPr/>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[CONNECT BIDCO LIMITED</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pBdr>
                <w:bottom w:val="single" w:sz="2" w:space="1" w:color="000000"/>
              </w:pBdr>
              <w:bidi w:val="0"/>
              <w:spacing w:before="0" w:after="20"/>
              <w:jc w:val="left"/>
              <w:rPr/>
            </w:pPr>
            <w:r>
              <w:rPr/>
              <w:t>                                                             </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pPr>
            <w:r>
              <w:rPr/>
              <w:t>Name:</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[CONNECT FINCO SARL</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pBdr>
                <w:bottom w:val="single" w:sz="2" w:space="1" w:color="000000"/>
              </w:pBdr>
              <w:bidi w:val="0"/>
              <w:spacing w:before="0" w:after="20"/>
              <w:jc w:val="left"/>
              <w:rPr/>
            </w:pPr>
            <w:r>
              <w:rPr/>
              <w:t> </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pPr>
            <w:r>
              <w:rPr/>
              <w:t>Name:</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[CONNECT U.S. FINCO LLC</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pBdr>
                <w:bottom w:val="single" w:sz="2" w:space="1" w:color="000000"/>
              </w:pBdr>
              <w:bidi w:val="0"/>
              <w:spacing w:before="0" w:after="20"/>
              <w:jc w:val="left"/>
              <w:rPr/>
            </w:pPr>
            <w:r>
              <w:rPr/>
              <w:t> </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pPr>
            <w:r>
              <w:rPr/>
              <w:t>Name:</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p>
    <w:p>
      <w:pPr>
        <w:pStyle w:val="TextBody"/>
        <w:bidi w:val="0"/>
        <w:spacing w:before="0" w:after="0"/>
        <w:jc w:val="left"/>
        <w:rPr/>
      </w:pPr>
      <w:bookmarkStart w:id="1241" w:name="vsat-ex31_1.htm"/>
      <w:bookmarkStart w:id="1242" w:name="ksvsatex31_1"/>
      <w:bookmarkEnd w:id="1241"/>
      <w:bookmarkEnd w:id="1242"/>
      <w:r>
        <w:rPr/>
        <w:t> </w:t>
      </w:r>
      <w:r>
        <w:br w:type="page"/>
      </w:r>
    </w:p>
    <w:p>
      <w:pPr>
        <w:pStyle w:val="TextBody"/>
        <w:bidi w:val="0"/>
        <w:spacing w:before="0" w:after="0"/>
        <w:jc w:val="right"/>
        <w:rPr>
          <w:rFonts w:ascii="Times New Roman" w:hAnsi="Times New Roman"/>
          <w:sz w:val="20"/>
        </w:rPr>
      </w:pPr>
      <w:r>
        <w:rPr>
          <w:rFonts w:ascii="Arial;sans-serif" w:hAnsi="Arial;sans-serif"/>
          <w:b/>
          <w:sz w:val="20"/>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val="false"/>
          <w:sz w:val="20"/>
        </w:rPr>
        <w:t>CERTIFICATION OF CHIEF EXECUTIVE OFFICER PURSUANT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val="false"/>
          <w:sz w:val="20"/>
        </w:rPr>
        <w:t>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 Mark Dankberg, Chief Executive Officer of Viasat, Inc., certify that:</w:t>
      </w:r>
      <w:r>
        <w:rPr>
          <w:rFonts w:ascii="Times New Roman" w:hAnsi="Times New Roman"/>
          <w:sz w:val="20"/>
        </w:rPr>
        <w:t xml:space="preserve"> </w:t>
      </w:r>
    </w:p>
    <w:p>
      <w:pPr>
        <w:pStyle w:val="TextBody"/>
        <w:bidi w:val="0"/>
        <w:spacing w:before="120" w:after="0"/>
        <w:jc w:val="left"/>
        <w:rPr>
          <w:rFonts w:ascii="Arial" w:hAnsi="Arial"/>
          <w:b w:val="false"/>
          <w:sz w:val="20"/>
        </w:rPr>
      </w:pPr>
      <w:r>
        <w:rPr>
          <w:rFonts w:ascii="Arial" w:hAnsi="Arial"/>
          <w:b w:val="false"/>
          <w:sz w:val="20"/>
        </w:rPr>
        <w:t>1.</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I have reviewed this quarterly report on Form 10-Q of Viasat, Inc.; </w:t>
      </w:r>
    </w:p>
    <w:p>
      <w:pPr>
        <w:pStyle w:val="TextBody"/>
        <w:bidi w:val="0"/>
        <w:spacing w:before="120" w:after="0"/>
        <w:jc w:val="left"/>
        <w:rPr>
          <w:rFonts w:ascii="Arial" w:hAnsi="Arial"/>
          <w:b w:val="false"/>
          <w:sz w:val="20"/>
        </w:rPr>
      </w:pPr>
      <w:r>
        <w:rPr>
          <w:rFonts w:ascii="Arial" w:hAnsi="Arial"/>
          <w:b w:val="false"/>
          <w:sz w:val="20"/>
        </w:rPr>
        <w:t>2.</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Arial" w:hAnsi="Arial"/>
          <w:b w:val="false"/>
          <w:sz w:val="20"/>
        </w:rPr>
      </w:pPr>
      <w:r>
        <w:rPr>
          <w:rFonts w:ascii="Arial" w:hAnsi="Arial"/>
          <w:b w:val="false"/>
          <w:sz w:val="20"/>
        </w:rPr>
        <w:t>3.</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Arial" w:hAnsi="Arial"/>
          <w:b w:val="false"/>
          <w:sz w:val="20"/>
        </w:rPr>
      </w:pPr>
      <w:r>
        <w:rPr>
          <w:rFonts w:ascii="Arial" w:hAnsi="Arial"/>
          <w:b w:val="false"/>
          <w:sz w:val="20"/>
        </w:rPr>
        <w:t>4.</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Arial" w:hAnsi="Arial"/>
          <w:b w:val="false"/>
          <w:sz w:val="20"/>
        </w:rPr>
      </w:pPr>
      <w:r>
        <w:rPr>
          <w:rFonts w:ascii="Arial" w:hAnsi="Arial"/>
          <w:b w:val="false"/>
          <w:sz w:val="20"/>
        </w:rPr>
        <w:t>c.</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Arial" w:hAnsi="Arial"/>
          <w:b w:val="false"/>
          <w:sz w:val="20"/>
        </w:rPr>
      </w:pPr>
      <w:r>
        <w:rPr>
          <w:rFonts w:ascii="Arial" w:hAnsi="Arial"/>
          <w:b w:val="false"/>
          <w:sz w:val="20"/>
        </w:rPr>
        <w:t>d.</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Arial" w:hAnsi="Arial"/>
          <w:b w:val="false"/>
          <w:sz w:val="20"/>
        </w:rPr>
      </w:pPr>
      <w:r>
        <w:rPr>
          <w:rFonts w:ascii="Arial" w:hAnsi="Arial"/>
          <w:b w:val="false"/>
          <w:sz w:val="20"/>
        </w:rPr>
        <w:t>5.</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4288" w:type="dxa"/>
        <w:jc w:val="left"/>
        <w:tblInd w:w="0" w:type="dxa"/>
        <w:tblLayout w:type="fixed"/>
        <w:tblCellMar>
          <w:top w:w="28" w:type="dxa"/>
          <w:left w:w="28" w:type="dxa"/>
          <w:bottom w:w="28" w:type="dxa"/>
          <w:right w:w="28" w:type="dxa"/>
        </w:tblCellMar>
      </w:tblPr>
      <w:tblGrid>
        <w:gridCol w:w="1966"/>
        <w:gridCol w:w="14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9, 2023</w:t>
            </w:r>
          </w:p>
        </w:tc>
        <w:tc>
          <w:tcPr>
            <w:tcW w:w="146" w:type="dxa"/>
            <w:tcBorders/>
            <w:vAlign w:val="center"/>
          </w:tcPr>
          <w:p>
            <w:pPr>
              <w:pStyle w:val="TableContents"/>
              <w:bidi w:val="0"/>
              <w:spacing w:before="0" w:after="0"/>
              <w:ind w:left="0" w:right="0" w:hanging="0"/>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M</w:t>
            </w:r>
            <w:r>
              <w:rPr>
                <w:rFonts w:ascii="Arial;sans-serif" w:hAnsi="Arial;sans-serif"/>
                <w:b w:val="false"/>
                <w:smallCaps/>
                <w:sz w:val="16"/>
              </w:rPr>
              <w:t>ARK</w:t>
            </w:r>
            <w:r>
              <w:rPr>
                <w:rFonts w:ascii="Times New Roman" w:hAnsi="Times New Roman"/>
                <w:smallCaps/>
                <w:sz w:val="20"/>
              </w:rPr>
              <w:t> </w:t>
            </w:r>
            <w:r>
              <w:rPr>
                <w:rFonts w:ascii="Arial;sans-serif" w:hAnsi="Arial;sans-serif"/>
                <w:b w:val="false"/>
                <w:smallCaps/>
                <w:sz w:val="20"/>
              </w:rPr>
              <w:t>Dankber</w:t>
            </w:r>
            <w:r>
              <w:rPr>
                <w:rFonts w:ascii="Arial;sans-serif" w:hAnsi="Arial;sans-serif"/>
                <w:b w:val="false"/>
                <w:smallCaps/>
                <w:sz w:val="16"/>
              </w:rPr>
              <w:t>G</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Dankberg</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243" w:name="vsat-ex31_2.htm"/>
      <w:bookmarkStart w:id="1244" w:name="ksvsatex31_2"/>
      <w:bookmarkEnd w:id="1243"/>
      <w:bookmarkEnd w:id="1244"/>
      <w:r>
        <w:rPr/>
        <w:t> </w:t>
      </w:r>
      <w:r>
        <w:br w:type="page"/>
      </w:r>
    </w:p>
    <w:p>
      <w:pPr>
        <w:pStyle w:val="TextBody"/>
        <w:bidi w:val="0"/>
        <w:spacing w:before="0" w:after="0"/>
        <w:jc w:val="right"/>
        <w:rPr>
          <w:rFonts w:ascii="Times New Roman" w:hAnsi="Times New Roman"/>
          <w:sz w:val="20"/>
        </w:rPr>
      </w:pPr>
      <w:r>
        <w:rPr>
          <w:rFonts w:ascii="Arial;sans-serif" w:hAnsi="Arial;sans-serif"/>
          <w:b/>
          <w:sz w:val="20"/>
        </w:rPr>
        <w:t>Exhibit 31.2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val="false"/>
          <w:sz w:val="20"/>
        </w:rPr>
        <w:t>CERTIFICATION OF CHIEF FINANCIAL OFFICER PURSUANT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Arial;sans-serif" w:hAnsi="Arial;sans-serif"/>
          <w:b w:val="false"/>
          <w:sz w:val="20"/>
        </w:rPr>
        <w:t>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 Shawn Duffy, Chief Financial Officer of Viasat, Inc., certify that:</w:t>
      </w:r>
      <w:r>
        <w:rPr>
          <w:rFonts w:ascii="Times New Roman" w:hAnsi="Times New Roman"/>
          <w:sz w:val="20"/>
        </w:rPr>
        <w:t xml:space="preserve"> </w:t>
      </w:r>
    </w:p>
    <w:p>
      <w:pPr>
        <w:pStyle w:val="TextBody"/>
        <w:bidi w:val="0"/>
        <w:spacing w:before="120" w:after="0"/>
        <w:jc w:val="left"/>
        <w:rPr>
          <w:rFonts w:ascii="Arial" w:hAnsi="Arial"/>
          <w:b w:val="false"/>
          <w:sz w:val="20"/>
        </w:rPr>
      </w:pPr>
      <w:r>
        <w:rPr>
          <w:rFonts w:ascii="Arial" w:hAnsi="Arial"/>
          <w:b w:val="false"/>
          <w:sz w:val="20"/>
        </w:rPr>
        <w:t>1.</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I have reviewed this quarterly report on Form 10-Q of Viasat, Inc.; </w:t>
      </w:r>
    </w:p>
    <w:p>
      <w:pPr>
        <w:pStyle w:val="TextBody"/>
        <w:bidi w:val="0"/>
        <w:spacing w:before="120" w:after="0"/>
        <w:jc w:val="left"/>
        <w:rPr>
          <w:rFonts w:ascii="Arial" w:hAnsi="Arial"/>
          <w:b w:val="false"/>
          <w:sz w:val="20"/>
        </w:rPr>
      </w:pPr>
      <w:r>
        <w:rPr>
          <w:rFonts w:ascii="Arial" w:hAnsi="Arial"/>
          <w:b w:val="false"/>
          <w:sz w:val="20"/>
        </w:rPr>
        <w:t>2.</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Arial" w:hAnsi="Arial"/>
          <w:b w:val="false"/>
          <w:sz w:val="20"/>
        </w:rPr>
      </w:pPr>
      <w:r>
        <w:rPr>
          <w:rFonts w:ascii="Arial" w:hAnsi="Arial"/>
          <w:b w:val="false"/>
          <w:sz w:val="20"/>
        </w:rPr>
        <w:t>3.</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Arial" w:hAnsi="Arial"/>
          <w:b w:val="false"/>
          <w:sz w:val="20"/>
        </w:rPr>
      </w:pPr>
      <w:r>
        <w:rPr>
          <w:rFonts w:ascii="Arial" w:hAnsi="Arial"/>
          <w:b w:val="false"/>
          <w:sz w:val="20"/>
        </w:rPr>
        <w:t>4.</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Arial" w:hAnsi="Arial"/>
          <w:b w:val="false"/>
          <w:sz w:val="20"/>
        </w:rPr>
      </w:pPr>
      <w:r>
        <w:rPr>
          <w:rFonts w:ascii="Arial" w:hAnsi="Arial"/>
          <w:b w:val="false"/>
          <w:sz w:val="20"/>
        </w:rPr>
        <w:t>c.</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Arial" w:hAnsi="Arial"/>
          <w:b w:val="false"/>
          <w:sz w:val="20"/>
        </w:rPr>
      </w:pPr>
      <w:r>
        <w:rPr>
          <w:rFonts w:ascii="Arial" w:hAnsi="Arial"/>
          <w:b w:val="false"/>
          <w:sz w:val="20"/>
        </w:rPr>
        <w:t>d.</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Arial" w:hAnsi="Arial"/>
          <w:b w:val="false"/>
          <w:sz w:val="20"/>
        </w:rPr>
      </w:pPr>
      <w:r>
        <w:rPr>
          <w:rFonts w:ascii="Arial" w:hAnsi="Arial"/>
          <w:b w:val="false"/>
          <w:sz w:val="20"/>
        </w:rPr>
        <w:t>5.</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Arial" w:hAnsi="Arial"/>
          <w:b w:val="false"/>
          <w:sz w:val="20"/>
        </w:rPr>
      </w:pPr>
      <w:r>
        <w:rPr>
          <w:rFonts w:ascii="Arial" w:hAnsi="Arial"/>
          <w:b w:val="false"/>
          <w:sz w:val="20"/>
        </w:rPr>
        <w:t>b.</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4198" w:type="dxa"/>
        <w:jc w:val="left"/>
        <w:tblInd w:w="0" w:type="dxa"/>
        <w:tblLayout w:type="fixed"/>
        <w:tblCellMar>
          <w:top w:w="28" w:type="dxa"/>
          <w:left w:w="28" w:type="dxa"/>
          <w:bottom w:w="28" w:type="dxa"/>
          <w:right w:w="28" w:type="dxa"/>
        </w:tblCellMar>
      </w:tblPr>
      <w:tblGrid>
        <w:gridCol w:w="1966"/>
        <w:gridCol w:w="14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9, 2023</w:t>
            </w:r>
          </w:p>
        </w:tc>
        <w:tc>
          <w:tcPr>
            <w:tcW w:w="146" w:type="dxa"/>
            <w:tcBorders/>
            <w:vAlign w:val="center"/>
          </w:tcPr>
          <w:p>
            <w:pPr>
              <w:pStyle w:val="TableContents"/>
              <w:bidi w:val="0"/>
              <w:spacing w:before="0" w:after="0"/>
              <w:ind w:left="0" w:right="0" w:hanging="0"/>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S</w:t>
            </w:r>
            <w:r>
              <w:rPr>
                <w:rFonts w:ascii="Arial;sans-serif" w:hAnsi="Arial;sans-serif"/>
                <w:b w:val="false"/>
                <w:sz w:val="16"/>
              </w:rPr>
              <w:t>HAWN</w:t>
            </w:r>
            <w:r>
              <w:rPr>
                <w:rFonts w:ascii="Times New Roman" w:hAnsi="Times New Roman"/>
                <w:sz w:val="20"/>
              </w:rPr>
              <w:t> </w:t>
            </w:r>
            <w:r>
              <w:rPr>
                <w:rFonts w:ascii="Arial;sans-serif" w:hAnsi="Arial;sans-serif"/>
                <w:b w:val="false"/>
                <w:sz w:val="20"/>
              </w:rPr>
              <w:t>D</w:t>
            </w:r>
            <w:r>
              <w:rPr>
                <w:rFonts w:ascii="Arial;sans-serif" w:hAnsi="Arial;sans-serif"/>
                <w:b w:val="false"/>
                <w:sz w:val="16"/>
              </w:rPr>
              <w:t>UFFY</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1245" w:name="vsat-ex32_1.htm"/>
      <w:bookmarkStart w:id="1246" w:name="ksvsatex32_1"/>
      <w:bookmarkEnd w:id="1245"/>
      <w:bookmarkEnd w:id="1246"/>
      <w:r>
        <w:rPr/>
        <w:t> </w:t>
      </w:r>
      <w:r>
        <w:br w:type="page"/>
      </w:r>
    </w:p>
    <w:p>
      <w:pPr>
        <w:pStyle w:val="TextBody"/>
        <w:bidi w:val="0"/>
        <w:spacing w:before="0" w:after="0"/>
        <w:jc w:val="right"/>
        <w:rPr>
          <w:rFonts w:ascii="Times New Roman" w:hAnsi="Times New Roman"/>
          <w:sz w:val="20"/>
        </w:rPr>
      </w:pPr>
      <w:r>
        <w:rPr>
          <w:rFonts w:ascii="Arial;sans-serif" w:hAnsi="Arial;sans-serif"/>
          <w:b/>
          <w:sz w:val="20"/>
        </w:rPr>
        <w:t>Exhibit 32.1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val="false"/>
          <w:sz w:val="20"/>
        </w:rPr>
        <w:t>CERTIFICATION OF CHIEF EXECUTIVE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sz w:val="20"/>
        </w:rPr>
        <w:t xml:space="preserve"> </w:t>
      </w:r>
    </w:p>
    <w:p>
      <w:pPr>
        <w:pStyle w:val="TextBody"/>
        <w:bidi w:val="0"/>
        <w:spacing w:before="120" w:after="0"/>
        <w:jc w:val="left"/>
        <w:rPr/>
      </w:pPr>
      <w:r>
        <w:rPr>
          <w:rFonts w:ascii="Arial" w:hAnsi="Arial"/>
          <w:b w:val="false"/>
          <w:sz w:val="20"/>
        </w:rPr>
        <w:t>a)</w:t>
      </w:r>
      <w:r>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accompanying quarterly report on Form 10-Q of the Company for the quarterly period ended June 30, 2023 (the “Report”) fully complies with the requirements of Section 13(a) or Section 15(d), as applicable, of the Securities Exchange Act of 1934, as amended; and </w:t>
      </w:r>
    </w:p>
    <w:p>
      <w:pPr>
        <w:pStyle w:val="TextBody"/>
        <w:bidi w:val="0"/>
        <w:spacing w:before="120" w:after="0"/>
        <w:jc w:val="left"/>
        <w:rPr/>
      </w:pPr>
      <w:r>
        <w:rPr>
          <w:rFonts w:ascii="Arial" w:hAnsi="Arial"/>
          <w:b w:val="false"/>
          <w:sz w:val="20"/>
        </w:rPr>
        <w:t>b)</w:t>
      </w:r>
      <w:r>
        <w:rPr/>
        <w:t xml:space="preserve"> </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the information contained in the Report fairly presents, in all material respects, the financial condition and results of operations of the Company. </w:t>
      </w:r>
    </w:p>
    <w:p>
      <w:pPr>
        <w:pStyle w:val="TextBody"/>
        <w:bidi w:val="0"/>
        <w:spacing w:before="0" w:after="0"/>
        <w:jc w:val="left"/>
        <w:rPr/>
      </w:pPr>
      <w:r>
        <w:rPr/>
        <w:t> </w:t>
      </w:r>
    </w:p>
    <w:tbl>
      <w:tblPr>
        <w:tblW w:w="4288" w:type="dxa"/>
        <w:jc w:val="left"/>
        <w:tblInd w:w="0" w:type="dxa"/>
        <w:tblLayout w:type="fixed"/>
        <w:tblCellMar>
          <w:top w:w="28" w:type="dxa"/>
          <w:left w:w="28" w:type="dxa"/>
          <w:bottom w:w="28" w:type="dxa"/>
          <w:right w:w="28" w:type="dxa"/>
        </w:tblCellMar>
      </w:tblPr>
      <w:tblGrid>
        <w:gridCol w:w="1966"/>
        <w:gridCol w:w="14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9, 2023</w:t>
            </w:r>
          </w:p>
        </w:tc>
        <w:tc>
          <w:tcPr>
            <w:tcW w:w="146" w:type="dxa"/>
            <w:tcBorders/>
            <w:vAlign w:val="center"/>
          </w:tcPr>
          <w:p>
            <w:pPr>
              <w:pStyle w:val="TableContents"/>
              <w:bidi w:val="0"/>
              <w:spacing w:before="0" w:after="0"/>
              <w:ind w:left="0" w:right="0" w:hanging="0"/>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M</w:t>
            </w:r>
            <w:r>
              <w:rPr>
                <w:rFonts w:ascii="Arial;sans-serif" w:hAnsi="Arial;sans-serif"/>
                <w:b w:val="false"/>
                <w:sz w:val="16"/>
              </w:rPr>
              <w:t>ARK</w:t>
            </w:r>
            <w:r>
              <w:rPr>
                <w:rFonts w:ascii="Times New Roman" w:hAnsi="Times New Roman"/>
                <w:sz w:val="20"/>
              </w:rPr>
              <w:t> </w:t>
            </w:r>
            <w:r>
              <w:rPr>
                <w:rFonts w:ascii="Arial;sans-serif" w:hAnsi="Arial;sans-serif"/>
                <w:b w:val="false"/>
                <w:sz w:val="20"/>
              </w:rPr>
              <w:t>D</w:t>
            </w:r>
            <w:r>
              <w:rPr>
                <w:rFonts w:ascii="Arial;sans-serif" w:hAnsi="Arial;sans-serif"/>
                <w:b w:val="false"/>
                <w:sz w:val="16"/>
              </w:rPr>
              <w:t>ANKBERG</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Dankberg</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Executive Officer</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Arial;sans-serif" w:hAnsi="Arial;sans-serif"/>
          <w:b w:val="false"/>
          <w:sz w:val="20"/>
        </w:rPr>
        <w:t>CERTIFICATION OF CHIEF FINANCIAL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sz w:val="20"/>
        </w:rPr>
        <w:t xml:space="preserve"> </w:t>
      </w:r>
    </w:p>
    <w:p>
      <w:pPr>
        <w:pStyle w:val="TextBody"/>
        <w:bidi w:val="0"/>
        <w:spacing w:before="120" w:after="0"/>
        <w:jc w:val="left"/>
        <w:rPr/>
      </w:pPr>
      <w:r>
        <w:rPr>
          <w:rFonts w:ascii="Arial" w:hAnsi="Arial"/>
          <w:b w:val="false"/>
          <w:sz w:val="20"/>
        </w:rPr>
        <w:t>a)</w:t>
      </w:r>
      <w:r>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the accompanying quarterly report on Form 10-Q of the Company for the quarterly period ended June 30, 2023 (the “Report”) fully complies with the requirements of Section 13(a) or Section 15(d), as applicable, of the Securities Exchange Act of 1934, as amended; and </w:t>
      </w:r>
    </w:p>
    <w:p>
      <w:pPr>
        <w:pStyle w:val="TextBody"/>
        <w:bidi w:val="0"/>
        <w:spacing w:before="120" w:after="0"/>
        <w:jc w:val="left"/>
        <w:rPr/>
      </w:pPr>
      <w:r>
        <w:rPr>
          <w:rFonts w:ascii="Arial" w:hAnsi="Arial"/>
          <w:b w:val="false"/>
          <w:sz w:val="20"/>
        </w:rPr>
        <w:t>b)</w:t>
      </w:r>
      <w:r>
        <w:rPr/>
        <w:t xml:space="preserve"> </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the information contained in the Report fairly presents, in all material respects, the financial condition and results of operations of the Company. </w:t>
      </w:r>
    </w:p>
    <w:p>
      <w:pPr>
        <w:pStyle w:val="TextBody"/>
        <w:bidi w:val="0"/>
        <w:spacing w:before="0" w:after="0"/>
        <w:jc w:val="left"/>
        <w:rPr/>
      </w:pPr>
      <w:r>
        <w:rPr/>
        <w:t> </w:t>
      </w:r>
    </w:p>
    <w:tbl>
      <w:tblPr>
        <w:tblW w:w="4198" w:type="dxa"/>
        <w:jc w:val="left"/>
        <w:tblInd w:w="0" w:type="dxa"/>
        <w:tblLayout w:type="fixed"/>
        <w:tblCellMar>
          <w:top w:w="28" w:type="dxa"/>
          <w:left w:w="28" w:type="dxa"/>
          <w:bottom w:w="28" w:type="dxa"/>
          <w:right w:w="28" w:type="dxa"/>
        </w:tblCellMar>
      </w:tblPr>
      <w:tblGrid>
        <w:gridCol w:w="1966"/>
        <w:gridCol w:w="14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9, 2023</w:t>
            </w:r>
          </w:p>
        </w:tc>
        <w:tc>
          <w:tcPr>
            <w:tcW w:w="146" w:type="dxa"/>
            <w:tcBorders/>
            <w:vAlign w:val="center"/>
          </w:tcPr>
          <w:p>
            <w:pPr>
              <w:pStyle w:val="TableContents"/>
              <w:bidi w:val="0"/>
              <w:spacing w:before="0" w:after="0"/>
              <w:ind w:left="0" w:right="0" w:hanging="0"/>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/s/ S</w:t>
            </w:r>
            <w:r>
              <w:rPr>
                <w:rFonts w:ascii="Arial;sans-serif" w:hAnsi="Arial;sans-serif"/>
                <w:b w:val="false"/>
                <w:sz w:val="16"/>
              </w:rPr>
              <w:t>HAWN</w:t>
            </w:r>
            <w:r>
              <w:rPr>
                <w:rFonts w:ascii="Times New Roman" w:hAnsi="Times New Roman"/>
                <w:sz w:val="20"/>
              </w:rPr>
              <w:t> </w:t>
            </w:r>
            <w:r>
              <w:rPr>
                <w:rFonts w:ascii="Arial;sans-serif" w:hAnsi="Arial;sans-serif"/>
                <w:b w:val="false"/>
                <w:sz w:val="20"/>
              </w:rPr>
              <w:t>D</w:t>
            </w:r>
            <w:r>
              <w:rPr>
                <w:rFonts w:ascii="Arial;sans-serif" w:hAnsi="Arial;sans-serif"/>
                <w:b w:val="false"/>
                <w:sz w:val="16"/>
              </w:rPr>
              <w:t>UFFY</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Shawn Duffy</w:t>
            </w:r>
          </w:p>
        </w:tc>
      </w:tr>
      <w:tr>
        <w:trPr/>
        <w:tc>
          <w:tcPr>
            <w:tcW w:w="1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altName w:val="sans-serif"/>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095017023023444/vsat-ex2_1a.htm" TargetMode="External"/><Relationship Id="rId4" Type="http://schemas.openxmlformats.org/officeDocument/2006/relationships/hyperlink" Target="https://www.sec.gov/Archives/edgar/data/797721/000119312523159891/d505957dex31.htm" TargetMode="External"/><Relationship Id="rId5" Type="http://schemas.openxmlformats.org/officeDocument/2006/relationships/hyperlink" Target="https://www.sec.gov/Archives/edgar/data/797721/000095017023023444/vsat-ex10_11.htm" TargetMode="External"/><Relationship Id="rId6" Type="http://schemas.openxmlformats.org/officeDocument/2006/relationships/hyperlink" Target="https://www.sec.gov/Archives/edgar/data/797721/000119312523159891/d505957dex101.htm" TargetMode="External"/><Relationship Id="rId7" Type="http://schemas.openxmlformats.org/officeDocument/2006/relationships/hyperlink" Target="https://www.sec.gov/Archives/edgar/data/797721/000119312523159891/d505957d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303</Pages>
  <Words>716194</Words>
  <Characters>3839382</Characters>
  <CharactersWithSpaces>4559303</CharactersWithSpaces>
  <Paragraphs>23331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